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北京舞蹈学院下沉广场扶梯电梯购置</w:t>
      </w:r>
    </w:p>
    <w:p>
      <w:pPr>
        <w:spacing w:line="360" w:lineRule="auto"/>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及安装项目</w:t>
      </w:r>
    </w:p>
    <w:p>
      <w:pPr>
        <w:spacing w:line="360" w:lineRule="auto"/>
        <w:jc w:val="center"/>
        <w:rPr>
          <w:rFonts w:asciiTheme="minorEastAsia" w:hAnsiTheme="minorEastAsia" w:eastAsiaTheme="minorEastAsia"/>
          <w:b/>
          <w:sz w:val="18"/>
          <w:szCs w:val="18"/>
        </w:rPr>
      </w:pPr>
    </w:p>
    <w:p>
      <w:pPr>
        <w:spacing w:line="360" w:lineRule="auto"/>
        <w:jc w:val="center"/>
        <w:rPr>
          <w:rFonts w:ascii="宋体" w:hAnsi="宋体"/>
          <w:b/>
          <w:sz w:val="84"/>
          <w:szCs w:val="84"/>
        </w:rPr>
      </w:pPr>
      <w:r>
        <w:rPr>
          <w:rFonts w:hint="eastAsia" w:ascii="宋体" w:hAnsi="宋体"/>
          <w:b/>
          <w:sz w:val="84"/>
          <w:szCs w:val="84"/>
        </w:rPr>
        <w:t>招 标 文 件</w:t>
      </w:r>
    </w:p>
    <w:p>
      <w:pPr>
        <w:spacing w:line="360" w:lineRule="auto"/>
        <w:jc w:val="center"/>
        <w:rPr>
          <w:rFonts w:ascii="宋体" w:hAnsi="宋体"/>
          <w:b/>
          <w:sz w:val="32"/>
          <w:szCs w:val="32"/>
        </w:rPr>
      </w:pPr>
      <w:r>
        <w:rPr>
          <w:rFonts w:hint="eastAsia" w:ascii="宋体" w:hAnsi="宋体"/>
          <w:b/>
          <w:sz w:val="32"/>
          <w:szCs w:val="32"/>
        </w:rPr>
        <w:t>项目代理编号：</w:t>
      </w:r>
      <w:r>
        <w:rPr>
          <w:rFonts w:ascii="宋体" w:hAnsi="宋体"/>
          <w:b/>
          <w:sz w:val="32"/>
          <w:szCs w:val="32"/>
        </w:rPr>
        <w:t>HCZB-</w:t>
      </w:r>
      <w:r>
        <w:rPr>
          <w:rFonts w:hint="eastAsia" w:ascii="宋体" w:hAnsi="宋体"/>
          <w:b/>
          <w:sz w:val="32"/>
          <w:szCs w:val="32"/>
        </w:rPr>
        <w:t>2019</w:t>
      </w:r>
      <w:r>
        <w:rPr>
          <w:rFonts w:ascii="宋体" w:hAnsi="宋体"/>
          <w:b/>
          <w:sz w:val="32"/>
          <w:szCs w:val="32"/>
        </w:rPr>
        <w:t>-ZB</w:t>
      </w:r>
      <w:r>
        <w:rPr>
          <w:rFonts w:hint="eastAsia" w:ascii="宋体" w:hAnsi="宋体"/>
          <w:b/>
          <w:sz w:val="32"/>
          <w:szCs w:val="32"/>
        </w:rPr>
        <w:t xml:space="preserve">0266 </w:t>
      </w:r>
    </w:p>
    <w:p>
      <w:pPr>
        <w:spacing w:line="360" w:lineRule="auto"/>
        <w:jc w:val="center"/>
        <w:rPr>
          <w:rFonts w:ascii="宋体" w:hAnsi="宋体"/>
          <w:b/>
          <w:sz w:val="32"/>
          <w:szCs w:val="32"/>
        </w:rPr>
      </w:pPr>
      <w:r>
        <w:drawing>
          <wp:inline distT="0" distB="0" distL="0" distR="0">
            <wp:extent cx="3514725" cy="4295775"/>
            <wp:effectExtent l="0" t="0" r="952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24" cstate="print">
                      <a:lum contrast="20000"/>
                      <a:extLst>
                        <a:ext uri="{28A0092B-C50C-407E-A947-70E740481C1C}">
                          <a14:useLocalDpi xmlns:a14="http://schemas.microsoft.com/office/drawing/2010/main" val="0"/>
                        </a:ext>
                      </a:extLst>
                    </a:blip>
                    <a:srcRect/>
                    <a:stretch>
                      <a:fillRect/>
                    </a:stretch>
                  </pic:blipFill>
                  <pic:spPr>
                    <a:xfrm>
                      <a:off x="0" y="0"/>
                      <a:ext cx="3514725" cy="4295775"/>
                    </a:xfrm>
                    <a:prstGeom prst="rect">
                      <a:avLst/>
                    </a:prstGeom>
                    <a:noFill/>
                    <a:ln>
                      <a:noFill/>
                    </a:ln>
                  </pic:spPr>
                </pic:pic>
              </a:graphicData>
            </a:graphic>
          </wp:inline>
        </w:drawing>
      </w:r>
    </w:p>
    <w:p>
      <w:pPr>
        <w:spacing w:line="360" w:lineRule="auto"/>
        <w:jc w:val="center"/>
        <w:rPr>
          <w:rFonts w:ascii="宋体" w:hAnsi="宋体"/>
          <w:b/>
          <w:sz w:val="32"/>
          <w:szCs w:val="32"/>
        </w:rPr>
      </w:pPr>
    </w:p>
    <w:p>
      <w:pPr>
        <w:spacing w:line="360" w:lineRule="auto"/>
        <w:jc w:val="center"/>
        <w:rPr>
          <w:rFonts w:ascii="宋体" w:hAnsi="宋体"/>
          <w:b/>
          <w:sz w:val="24"/>
        </w:rPr>
      </w:pPr>
      <w:r>
        <w:rPr>
          <w:rFonts w:hint="eastAsia" w:ascii="宋体" w:hAnsi="宋体"/>
          <w:b/>
          <w:sz w:val="32"/>
          <w:szCs w:val="32"/>
        </w:rPr>
        <w:t xml:space="preserve"> 北京华采招标代理有限公司</w:t>
      </w:r>
    </w:p>
    <w:p>
      <w:pPr>
        <w:spacing w:line="360" w:lineRule="auto"/>
        <w:jc w:val="center"/>
        <w:rPr>
          <w:rFonts w:ascii="宋体" w:hAnsi="宋体"/>
          <w:b/>
          <w:w w:val="80"/>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418" w:right="1418" w:bottom="1418" w:left="1418" w:header="851" w:footer="851" w:gutter="0"/>
          <w:pgNumType w:start="1"/>
          <w:cols w:space="720" w:num="1"/>
          <w:titlePg/>
          <w:docGrid w:linePitch="462" w:charSpace="0"/>
        </w:sectPr>
      </w:pPr>
      <w:r>
        <w:rPr>
          <w:rFonts w:hint="eastAsia" w:ascii="宋体" w:hAnsi="宋体"/>
          <w:b/>
          <w:w w:val="80"/>
          <w:sz w:val="32"/>
          <w:szCs w:val="32"/>
        </w:rPr>
        <w:t xml:space="preserve">二〇一九年四月     </w:t>
      </w:r>
    </w:p>
    <w:p>
      <w:pPr>
        <w:pStyle w:val="29"/>
        <w:spacing w:before="0" w:line="360" w:lineRule="auto"/>
        <w:rPr>
          <w:sz w:val="36"/>
          <w:szCs w:val="36"/>
        </w:rPr>
      </w:pPr>
      <w:bookmarkStart w:id="0" w:name="_Toc310196405"/>
      <w:bookmarkStart w:id="1" w:name="_Toc310195773"/>
      <w:bookmarkStart w:id="2" w:name="_Toc310195689"/>
      <w:r>
        <w:rPr>
          <w:rFonts w:hint="eastAsia"/>
          <w:sz w:val="36"/>
          <w:szCs w:val="36"/>
        </w:rPr>
        <w:t>目 录</w:t>
      </w:r>
      <w:bookmarkEnd w:id="0"/>
      <w:bookmarkEnd w:id="1"/>
      <w:bookmarkEnd w:id="2"/>
      <w:bookmarkStart w:id="3" w:name="_Toc236642918"/>
    </w:p>
    <w:p>
      <w:pPr>
        <w:pStyle w:val="29"/>
        <w:rPr>
          <w:rFonts w:asciiTheme="minorHAnsi" w:hAnsiTheme="minorHAnsi" w:eastAsiaTheme="minorEastAsia" w:cstheme="minorBidi"/>
          <w:b w:val="0"/>
          <w:bCs w:val="0"/>
          <w:iCs w:val="0"/>
          <w:sz w:val="21"/>
          <w:szCs w:val="22"/>
        </w:rPr>
      </w:pPr>
      <w:r>
        <w:rPr>
          <w:b w:val="0"/>
          <w:sz w:val="30"/>
          <w:szCs w:val="30"/>
        </w:rPr>
        <w:fldChar w:fldCharType="begin"/>
      </w:r>
      <w:r>
        <w:rPr>
          <w:rFonts w:hint="eastAsia"/>
          <w:b w:val="0"/>
          <w:sz w:val="30"/>
          <w:szCs w:val="30"/>
        </w:rPr>
        <w:instrText xml:space="preserve">TOC \o "1-3" \h \z \u</w:instrText>
      </w:r>
      <w:r>
        <w:rPr>
          <w:b w:val="0"/>
          <w:sz w:val="30"/>
          <w:szCs w:val="30"/>
        </w:rPr>
        <w:fldChar w:fldCharType="separate"/>
      </w:r>
      <w:r>
        <w:fldChar w:fldCharType="begin"/>
      </w:r>
      <w:r>
        <w:instrText xml:space="preserve"> HYPERLINK \l "_Toc6665504" </w:instrText>
      </w:r>
      <w:r>
        <w:fldChar w:fldCharType="separate"/>
      </w:r>
      <w:r>
        <w:rPr>
          <w:rStyle w:val="55"/>
          <w:rFonts w:hint="eastAsia" w:hAnsi="宋体"/>
        </w:rPr>
        <w:t>第一章</w:t>
      </w:r>
      <w:r>
        <w:rPr>
          <w:rStyle w:val="55"/>
          <w:rFonts w:hAnsi="宋体"/>
        </w:rPr>
        <w:t xml:space="preserve">  </w:t>
      </w:r>
      <w:r>
        <w:rPr>
          <w:rStyle w:val="55"/>
          <w:rFonts w:hint="eastAsia" w:hAnsi="宋体"/>
        </w:rPr>
        <w:t>投</w:t>
      </w:r>
      <w:r>
        <w:rPr>
          <w:rStyle w:val="55"/>
          <w:rFonts w:hAnsi="宋体"/>
        </w:rPr>
        <w:t xml:space="preserve"> </w:t>
      </w:r>
      <w:r>
        <w:rPr>
          <w:rStyle w:val="55"/>
          <w:rFonts w:hint="eastAsia" w:hAnsi="宋体"/>
        </w:rPr>
        <w:t>标</w:t>
      </w:r>
      <w:r>
        <w:rPr>
          <w:rStyle w:val="55"/>
          <w:rFonts w:hAnsi="宋体"/>
        </w:rPr>
        <w:t xml:space="preserve"> </w:t>
      </w:r>
      <w:r>
        <w:rPr>
          <w:rStyle w:val="55"/>
          <w:rFonts w:hint="eastAsia" w:hAnsi="宋体"/>
        </w:rPr>
        <w:t>邀</w:t>
      </w:r>
      <w:r>
        <w:rPr>
          <w:rStyle w:val="55"/>
          <w:rFonts w:hAnsi="宋体"/>
        </w:rPr>
        <w:t xml:space="preserve"> </w:t>
      </w:r>
      <w:r>
        <w:rPr>
          <w:rStyle w:val="55"/>
          <w:rFonts w:hint="eastAsia" w:hAnsi="宋体"/>
        </w:rPr>
        <w:t>请</w:t>
      </w:r>
      <w:r>
        <w:tab/>
      </w:r>
      <w:r>
        <w:fldChar w:fldCharType="begin"/>
      </w:r>
      <w:r>
        <w:instrText xml:space="preserve"> PAGEREF _Toc6665504 \h </w:instrText>
      </w:r>
      <w:r>
        <w:fldChar w:fldCharType="separate"/>
      </w:r>
      <w:r>
        <w:t>4</w:t>
      </w:r>
      <w:r>
        <w:fldChar w:fldCharType="end"/>
      </w:r>
      <w:r>
        <w:fldChar w:fldCharType="end"/>
      </w:r>
    </w:p>
    <w:p>
      <w:pPr>
        <w:pStyle w:val="29"/>
        <w:rPr>
          <w:rFonts w:asciiTheme="minorHAnsi" w:hAnsiTheme="minorHAnsi" w:eastAsiaTheme="minorEastAsia" w:cstheme="minorBidi"/>
          <w:b w:val="0"/>
          <w:bCs w:val="0"/>
          <w:iCs w:val="0"/>
          <w:sz w:val="21"/>
          <w:szCs w:val="22"/>
        </w:rPr>
      </w:pPr>
      <w:r>
        <w:fldChar w:fldCharType="begin"/>
      </w:r>
      <w:r>
        <w:instrText xml:space="preserve"> HYPERLINK \l "_Toc6665505" </w:instrText>
      </w:r>
      <w:r>
        <w:fldChar w:fldCharType="separate"/>
      </w:r>
      <w:r>
        <w:rPr>
          <w:rStyle w:val="55"/>
          <w:rFonts w:hint="eastAsia"/>
        </w:rPr>
        <w:t>第二章</w:t>
      </w:r>
      <w:r>
        <w:rPr>
          <w:rStyle w:val="55"/>
        </w:rPr>
        <w:t xml:space="preserve">  </w:t>
      </w:r>
      <w:r>
        <w:rPr>
          <w:rStyle w:val="55"/>
          <w:rFonts w:hint="eastAsia"/>
        </w:rPr>
        <w:t>投标人须知资料表</w:t>
      </w:r>
      <w:r>
        <w:tab/>
      </w:r>
      <w:r>
        <w:fldChar w:fldCharType="begin"/>
      </w:r>
      <w:r>
        <w:instrText xml:space="preserve"> PAGEREF _Toc6665505 \h </w:instrText>
      </w:r>
      <w:r>
        <w:fldChar w:fldCharType="separate"/>
      </w:r>
      <w:r>
        <w:t>7</w:t>
      </w:r>
      <w:r>
        <w:fldChar w:fldCharType="end"/>
      </w:r>
      <w:r>
        <w:fldChar w:fldCharType="end"/>
      </w:r>
    </w:p>
    <w:p>
      <w:pPr>
        <w:pStyle w:val="29"/>
        <w:rPr>
          <w:rFonts w:asciiTheme="minorHAnsi" w:hAnsiTheme="minorHAnsi" w:eastAsiaTheme="minorEastAsia" w:cstheme="minorBidi"/>
          <w:b w:val="0"/>
          <w:bCs w:val="0"/>
          <w:iCs w:val="0"/>
          <w:sz w:val="21"/>
          <w:szCs w:val="22"/>
        </w:rPr>
      </w:pPr>
      <w:r>
        <w:fldChar w:fldCharType="begin"/>
      </w:r>
      <w:r>
        <w:instrText xml:space="preserve"> HYPERLINK \l "_Toc6665506" </w:instrText>
      </w:r>
      <w:r>
        <w:fldChar w:fldCharType="separate"/>
      </w:r>
      <w:r>
        <w:rPr>
          <w:rStyle w:val="55"/>
          <w:rFonts w:hint="eastAsia" w:hAnsi="宋体"/>
        </w:rPr>
        <w:t>第三章</w:t>
      </w:r>
      <w:r>
        <w:rPr>
          <w:rStyle w:val="55"/>
          <w:rFonts w:hAnsi="宋体"/>
        </w:rPr>
        <w:t xml:space="preserve">  </w:t>
      </w:r>
      <w:r>
        <w:rPr>
          <w:rStyle w:val="55"/>
          <w:rFonts w:hint="eastAsia" w:hAnsi="宋体"/>
        </w:rPr>
        <w:t>投标人须知</w:t>
      </w:r>
      <w:r>
        <w:tab/>
      </w:r>
      <w:r>
        <w:fldChar w:fldCharType="begin"/>
      </w:r>
      <w:r>
        <w:instrText xml:space="preserve"> PAGEREF _Toc6665506 \h </w:instrText>
      </w:r>
      <w:r>
        <w:fldChar w:fldCharType="separate"/>
      </w:r>
      <w:r>
        <w:t>9</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"_Toc6665507" </w:instrText>
      </w:r>
      <w:r>
        <w:fldChar w:fldCharType="separate"/>
      </w:r>
      <w:r>
        <w:rPr>
          <w:rStyle w:val="55"/>
          <w:rFonts w:hint="eastAsia"/>
        </w:rPr>
        <w:t>一</w:t>
      </w:r>
      <w:r>
        <w:rPr>
          <w:rStyle w:val="55"/>
        </w:rPr>
        <w:t xml:space="preserve">   </w:t>
      </w:r>
      <w:r>
        <w:rPr>
          <w:rStyle w:val="55"/>
          <w:rFonts w:hint="eastAsia"/>
        </w:rPr>
        <w:t>说</w:t>
      </w:r>
      <w:r>
        <w:rPr>
          <w:rStyle w:val="55"/>
        </w:rPr>
        <w:t xml:space="preserve">  </w:t>
      </w:r>
      <w:r>
        <w:rPr>
          <w:rStyle w:val="55"/>
          <w:rFonts w:hint="eastAsia"/>
        </w:rPr>
        <w:t>明</w:t>
      </w:r>
      <w:r>
        <w:tab/>
      </w:r>
      <w:r>
        <w:fldChar w:fldCharType="begin"/>
      </w:r>
      <w:r>
        <w:instrText xml:space="preserve"> PAGEREF _Toc6665507 \h </w:instrText>
      </w:r>
      <w:r>
        <w:fldChar w:fldCharType="separate"/>
      </w:r>
      <w:r>
        <w:t>9</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"_Toc6665508" </w:instrText>
      </w:r>
      <w:r>
        <w:fldChar w:fldCharType="separate"/>
      </w:r>
      <w:r>
        <w:rPr>
          <w:rStyle w:val="55"/>
        </w:rPr>
        <w:t>1.</w:t>
      </w:r>
      <w:r>
        <w:rPr>
          <w:rStyle w:val="55"/>
          <w:rFonts w:hint="eastAsia"/>
        </w:rPr>
        <w:t>采购人、采购代理机构及合格的投标人</w:t>
      </w:r>
      <w:r>
        <w:tab/>
      </w:r>
      <w:r>
        <w:fldChar w:fldCharType="begin"/>
      </w:r>
      <w:r>
        <w:instrText xml:space="preserve"> PAGEREF _Toc6665508 \h </w:instrText>
      </w:r>
      <w:r>
        <w:fldChar w:fldCharType="separate"/>
      </w:r>
      <w:r>
        <w:t>9</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"_Toc6665509" </w:instrText>
      </w:r>
      <w:r>
        <w:fldChar w:fldCharType="separate"/>
      </w:r>
      <w:r>
        <w:rPr>
          <w:rStyle w:val="55"/>
        </w:rPr>
        <w:t>2.</w:t>
      </w:r>
      <w:r>
        <w:rPr>
          <w:rStyle w:val="55"/>
          <w:rFonts w:hint="eastAsia"/>
        </w:rPr>
        <w:t>资金来源</w:t>
      </w:r>
      <w:r>
        <w:tab/>
      </w:r>
      <w:r>
        <w:fldChar w:fldCharType="begin"/>
      </w:r>
      <w:r>
        <w:instrText xml:space="preserve"> PAGEREF _Toc6665509 \h </w:instrText>
      </w:r>
      <w:r>
        <w:fldChar w:fldCharType="separate"/>
      </w:r>
      <w:r>
        <w:t>10</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"_Toc6665510" </w:instrText>
      </w:r>
      <w:r>
        <w:fldChar w:fldCharType="separate"/>
      </w:r>
      <w:r>
        <w:rPr>
          <w:rStyle w:val="55"/>
        </w:rPr>
        <w:t>3.</w:t>
      </w:r>
      <w:r>
        <w:rPr>
          <w:rStyle w:val="55"/>
          <w:rFonts w:hint="eastAsia"/>
        </w:rPr>
        <w:t>投标费用</w:t>
      </w:r>
      <w:r>
        <w:tab/>
      </w:r>
      <w:r>
        <w:fldChar w:fldCharType="begin"/>
      </w:r>
      <w:r>
        <w:instrText xml:space="preserve"> PAGEREF _Toc6665510 \h </w:instrText>
      </w:r>
      <w:r>
        <w:fldChar w:fldCharType="separate"/>
      </w:r>
      <w:r>
        <w:t>10</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"_Toc6665511" </w:instrText>
      </w:r>
      <w:r>
        <w:fldChar w:fldCharType="separate"/>
      </w:r>
      <w:r>
        <w:rPr>
          <w:rStyle w:val="55"/>
          <w:rFonts w:hint="eastAsia"/>
        </w:rPr>
        <w:t>二</w:t>
      </w:r>
      <w:r>
        <w:rPr>
          <w:rStyle w:val="55"/>
        </w:rPr>
        <w:t xml:space="preserve">   </w:t>
      </w:r>
      <w:r>
        <w:rPr>
          <w:rStyle w:val="55"/>
          <w:rFonts w:hint="eastAsia"/>
        </w:rPr>
        <w:t>招标文件</w:t>
      </w:r>
      <w:r>
        <w:tab/>
      </w:r>
      <w:r>
        <w:fldChar w:fldCharType="begin"/>
      </w:r>
      <w:r>
        <w:instrText xml:space="preserve"> PAGEREF _Toc6665511 \h </w:instrText>
      </w:r>
      <w:r>
        <w:fldChar w:fldCharType="separate"/>
      </w:r>
      <w:r>
        <w:t>10</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"_Toc6665512" </w:instrText>
      </w:r>
      <w:r>
        <w:fldChar w:fldCharType="separate"/>
      </w:r>
      <w:r>
        <w:rPr>
          <w:rStyle w:val="55"/>
        </w:rPr>
        <w:t>4.</w:t>
      </w:r>
      <w:r>
        <w:rPr>
          <w:rStyle w:val="55"/>
          <w:rFonts w:hint="eastAsia"/>
        </w:rPr>
        <w:t>招标文件构成</w:t>
      </w:r>
      <w:r>
        <w:tab/>
      </w:r>
      <w:r>
        <w:fldChar w:fldCharType="begin"/>
      </w:r>
      <w:r>
        <w:instrText xml:space="preserve"> PAGEREF _Toc6665512 \h </w:instrText>
      </w:r>
      <w:r>
        <w:fldChar w:fldCharType="separate"/>
      </w:r>
      <w:r>
        <w:t>10</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"_Toc6665513" </w:instrText>
      </w:r>
      <w:r>
        <w:fldChar w:fldCharType="separate"/>
      </w:r>
      <w:r>
        <w:rPr>
          <w:rStyle w:val="55"/>
        </w:rPr>
        <w:t>5.</w:t>
      </w:r>
      <w:r>
        <w:rPr>
          <w:rStyle w:val="55"/>
          <w:rFonts w:hint="eastAsia"/>
        </w:rPr>
        <w:t>招标文件的澄清</w:t>
      </w:r>
      <w:r>
        <w:tab/>
      </w:r>
      <w:r>
        <w:fldChar w:fldCharType="begin"/>
      </w:r>
      <w:r>
        <w:instrText xml:space="preserve"> PAGEREF _Toc6665513 \h </w:instrText>
      </w:r>
      <w:r>
        <w:fldChar w:fldCharType="separate"/>
      </w:r>
      <w:r>
        <w:t>11</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"_Toc6665514" </w:instrText>
      </w:r>
      <w:r>
        <w:fldChar w:fldCharType="separate"/>
      </w:r>
      <w:r>
        <w:rPr>
          <w:rStyle w:val="55"/>
        </w:rPr>
        <w:t>6.</w:t>
      </w:r>
      <w:r>
        <w:rPr>
          <w:rStyle w:val="55"/>
          <w:rFonts w:hint="eastAsia"/>
        </w:rPr>
        <w:t>招标文件的修改</w:t>
      </w:r>
      <w:r>
        <w:tab/>
      </w:r>
      <w:r>
        <w:fldChar w:fldCharType="begin"/>
      </w:r>
      <w:r>
        <w:instrText xml:space="preserve"> PAGEREF _Toc6665514 \h </w:instrText>
      </w:r>
      <w:r>
        <w:fldChar w:fldCharType="separate"/>
      </w:r>
      <w:r>
        <w:t>11</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"_Toc6665515" </w:instrText>
      </w:r>
      <w:r>
        <w:fldChar w:fldCharType="separate"/>
      </w:r>
      <w:r>
        <w:rPr>
          <w:rStyle w:val="55"/>
          <w:rFonts w:hint="eastAsia"/>
        </w:rPr>
        <w:t>三</w:t>
      </w:r>
      <w:r>
        <w:rPr>
          <w:rStyle w:val="55"/>
        </w:rPr>
        <w:t xml:space="preserve">   </w:t>
      </w:r>
      <w:r>
        <w:rPr>
          <w:rStyle w:val="55"/>
          <w:rFonts w:hint="eastAsia"/>
        </w:rPr>
        <w:t>投标文件的编制</w:t>
      </w:r>
      <w:r>
        <w:tab/>
      </w:r>
      <w:r>
        <w:fldChar w:fldCharType="begin"/>
      </w:r>
      <w:r>
        <w:instrText xml:space="preserve"> PAGEREF _Toc6665515 \h </w:instrText>
      </w:r>
      <w:r>
        <w:fldChar w:fldCharType="separate"/>
      </w:r>
      <w:r>
        <w:t>12</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"_Toc6665516" </w:instrText>
      </w:r>
      <w:r>
        <w:fldChar w:fldCharType="separate"/>
      </w:r>
      <w:r>
        <w:rPr>
          <w:rStyle w:val="55"/>
        </w:rPr>
        <w:t>7.</w:t>
      </w:r>
      <w:r>
        <w:rPr>
          <w:rStyle w:val="55"/>
          <w:rFonts w:hint="eastAsia"/>
        </w:rPr>
        <w:t>投标文件编制的原则</w:t>
      </w:r>
      <w:r>
        <w:tab/>
      </w:r>
      <w:r>
        <w:fldChar w:fldCharType="begin"/>
      </w:r>
      <w:r>
        <w:instrText xml:space="preserve"> PAGEREF _Toc6665516 \h </w:instrText>
      </w:r>
      <w:r>
        <w:fldChar w:fldCharType="separate"/>
      </w:r>
      <w:r>
        <w:t>12</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"_Toc6665517" </w:instrText>
      </w:r>
      <w:r>
        <w:fldChar w:fldCharType="separate"/>
      </w:r>
      <w:r>
        <w:rPr>
          <w:rStyle w:val="55"/>
        </w:rPr>
        <w:t>8.</w:t>
      </w:r>
      <w:r>
        <w:rPr>
          <w:rStyle w:val="55"/>
          <w:rFonts w:hint="eastAsia"/>
        </w:rPr>
        <w:t>投标范围及投标文件中计量单位的使用</w:t>
      </w:r>
      <w:r>
        <w:tab/>
      </w:r>
      <w:r>
        <w:fldChar w:fldCharType="begin"/>
      </w:r>
      <w:r>
        <w:instrText xml:space="preserve"> PAGEREF _Toc6665517 \h </w:instrText>
      </w:r>
      <w:r>
        <w:fldChar w:fldCharType="separate"/>
      </w:r>
      <w:r>
        <w:t>12</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"_Toc6665518" </w:instrText>
      </w:r>
      <w:r>
        <w:fldChar w:fldCharType="separate"/>
      </w:r>
      <w:r>
        <w:rPr>
          <w:rStyle w:val="55"/>
        </w:rPr>
        <w:t>9.</w:t>
      </w:r>
      <w:r>
        <w:rPr>
          <w:rStyle w:val="55"/>
          <w:rFonts w:hint="eastAsia"/>
        </w:rPr>
        <w:t>投标文件构成</w:t>
      </w:r>
      <w:r>
        <w:tab/>
      </w:r>
      <w:r>
        <w:fldChar w:fldCharType="begin"/>
      </w:r>
      <w:r>
        <w:instrText xml:space="preserve"> PAGEREF _Toc6665518 \h </w:instrText>
      </w:r>
      <w:r>
        <w:fldChar w:fldCharType="separate"/>
      </w:r>
      <w:r>
        <w:t>12</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"_Toc6665519" </w:instrText>
      </w:r>
      <w:r>
        <w:fldChar w:fldCharType="separate"/>
      </w:r>
      <w:r>
        <w:rPr>
          <w:rStyle w:val="55"/>
        </w:rPr>
        <w:t>10.</w:t>
      </w:r>
      <w:r>
        <w:rPr>
          <w:rStyle w:val="55"/>
          <w:rFonts w:hint="eastAsia"/>
        </w:rPr>
        <w:t>投标文件格式</w:t>
      </w:r>
      <w:r>
        <w:tab/>
      </w:r>
      <w:r>
        <w:fldChar w:fldCharType="begin"/>
      </w:r>
      <w:r>
        <w:instrText xml:space="preserve"> PAGEREF _Toc6665519 \h </w:instrText>
      </w:r>
      <w:r>
        <w:fldChar w:fldCharType="separate"/>
      </w:r>
      <w:r>
        <w:t>13</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"_Toc6665520" </w:instrText>
      </w:r>
      <w:r>
        <w:fldChar w:fldCharType="separate"/>
      </w:r>
      <w:r>
        <w:rPr>
          <w:rStyle w:val="55"/>
        </w:rPr>
        <w:t>11.</w:t>
      </w:r>
      <w:r>
        <w:rPr>
          <w:rStyle w:val="55"/>
          <w:rFonts w:hint="eastAsia"/>
        </w:rPr>
        <w:t>投标报价</w:t>
      </w:r>
      <w:r>
        <w:tab/>
      </w:r>
      <w:r>
        <w:fldChar w:fldCharType="begin"/>
      </w:r>
      <w:r>
        <w:instrText xml:space="preserve"> PAGEREF _Toc6665520 \h </w:instrText>
      </w:r>
      <w:r>
        <w:fldChar w:fldCharType="separate"/>
      </w:r>
      <w:r>
        <w:t>13</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"_Toc6665521" </w:instrText>
      </w:r>
      <w:r>
        <w:fldChar w:fldCharType="separate"/>
      </w:r>
      <w:r>
        <w:rPr>
          <w:rStyle w:val="55"/>
        </w:rPr>
        <w:t>12.</w:t>
      </w:r>
      <w:r>
        <w:rPr>
          <w:rStyle w:val="55"/>
          <w:rFonts w:hint="eastAsia"/>
        </w:rPr>
        <w:t>投标保证金</w:t>
      </w:r>
      <w:r>
        <w:tab/>
      </w:r>
      <w:r>
        <w:fldChar w:fldCharType="begin"/>
      </w:r>
      <w:r>
        <w:instrText xml:space="preserve"> PAGEREF _Toc6665521 \h </w:instrText>
      </w:r>
      <w:r>
        <w:fldChar w:fldCharType="separate"/>
      </w:r>
      <w:r>
        <w:t>14</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"_Toc6665522" </w:instrText>
      </w:r>
      <w:r>
        <w:fldChar w:fldCharType="separate"/>
      </w:r>
      <w:r>
        <w:rPr>
          <w:rStyle w:val="55"/>
        </w:rPr>
        <w:t>13.</w:t>
      </w:r>
      <w:r>
        <w:rPr>
          <w:rStyle w:val="55"/>
          <w:rFonts w:hint="eastAsia"/>
        </w:rPr>
        <w:t>投标有效期</w:t>
      </w:r>
      <w:r>
        <w:tab/>
      </w:r>
      <w:r>
        <w:fldChar w:fldCharType="begin"/>
      </w:r>
      <w:r>
        <w:instrText xml:space="preserve"> PAGEREF _Toc6665522 \h </w:instrText>
      </w:r>
      <w:r>
        <w:fldChar w:fldCharType="separate"/>
      </w:r>
      <w:r>
        <w:t>14</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"_Toc6665523" </w:instrText>
      </w:r>
      <w:r>
        <w:fldChar w:fldCharType="separate"/>
      </w:r>
      <w:r>
        <w:rPr>
          <w:rStyle w:val="55"/>
        </w:rPr>
        <w:t>14.</w:t>
      </w:r>
      <w:r>
        <w:rPr>
          <w:rStyle w:val="55"/>
          <w:rFonts w:hint="eastAsia"/>
        </w:rPr>
        <w:t>投标文件的签署与规定</w:t>
      </w:r>
      <w:r>
        <w:tab/>
      </w:r>
      <w:r>
        <w:fldChar w:fldCharType="begin"/>
      </w:r>
      <w:r>
        <w:instrText xml:space="preserve"> PAGEREF _Toc6665523 \h </w:instrText>
      </w:r>
      <w:r>
        <w:fldChar w:fldCharType="separate"/>
      </w:r>
      <w:r>
        <w:t>14</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"_Toc6665524" </w:instrText>
      </w:r>
      <w:r>
        <w:fldChar w:fldCharType="separate"/>
      </w:r>
      <w:r>
        <w:rPr>
          <w:rStyle w:val="55"/>
          <w:rFonts w:hint="eastAsia"/>
        </w:rPr>
        <w:t>四</w:t>
      </w:r>
      <w:r>
        <w:rPr>
          <w:rStyle w:val="55"/>
        </w:rPr>
        <w:t xml:space="preserve">   </w:t>
      </w:r>
      <w:r>
        <w:rPr>
          <w:rStyle w:val="55"/>
          <w:rFonts w:hint="eastAsia"/>
        </w:rPr>
        <w:t>投标文件的递交</w:t>
      </w:r>
      <w:r>
        <w:tab/>
      </w:r>
      <w:r>
        <w:fldChar w:fldCharType="begin"/>
      </w:r>
      <w:r>
        <w:instrText xml:space="preserve"> PAGEREF _Toc6665524 \h </w:instrText>
      </w:r>
      <w:r>
        <w:fldChar w:fldCharType="separate"/>
      </w:r>
      <w:r>
        <w:t>15</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"_Toc6665525" </w:instrText>
      </w:r>
      <w:r>
        <w:fldChar w:fldCharType="separate"/>
      </w:r>
      <w:r>
        <w:rPr>
          <w:rStyle w:val="55"/>
        </w:rPr>
        <w:t>15.</w:t>
      </w:r>
      <w:r>
        <w:rPr>
          <w:rStyle w:val="55"/>
          <w:rFonts w:hint="eastAsia"/>
        </w:rPr>
        <w:t>投标文件的装订及递交</w:t>
      </w:r>
      <w:r>
        <w:tab/>
      </w:r>
      <w:r>
        <w:fldChar w:fldCharType="begin"/>
      </w:r>
      <w:r>
        <w:instrText xml:space="preserve"> PAGEREF _Toc6665525 \h </w:instrText>
      </w:r>
      <w:r>
        <w:fldChar w:fldCharType="separate"/>
      </w:r>
      <w:r>
        <w:t>15</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"_Toc6665526" </w:instrText>
      </w:r>
      <w:r>
        <w:fldChar w:fldCharType="separate"/>
      </w:r>
      <w:r>
        <w:rPr>
          <w:rStyle w:val="55"/>
        </w:rPr>
        <w:t>16.</w:t>
      </w:r>
      <w:r>
        <w:rPr>
          <w:rStyle w:val="55"/>
          <w:rFonts w:hint="eastAsia"/>
        </w:rPr>
        <w:t>投标截止期</w:t>
      </w:r>
      <w:r>
        <w:tab/>
      </w:r>
      <w:r>
        <w:fldChar w:fldCharType="begin"/>
      </w:r>
      <w:r>
        <w:instrText xml:space="preserve"> PAGEREF _Toc6665526 \h </w:instrText>
      </w:r>
      <w:r>
        <w:fldChar w:fldCharType="separate"/>
      </w:r>
      <w:r>
        <w:t>15</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"_Toc6665527" </w:instrText>
      </w:r>
      <w:r>
        <w:fldChar w:fldCharType="separate"/>
      </w:r>
      <w:r>
        <w:rPr>
          <w:rStyle w:val="55"/>
        </w:rPr>
        <w:t>17.</w:t>
      </w:r>
      <w:r>
        <w:rPr>
          <w:rStyle w:val="55"/>
          <w:rFonts w:hint="eastAsia"/>
        </w:rPr>
        <w:t>投标文件的修改与撤回</w:t>
      </w:r>
      <w:r>
        <w:tab/>
      </w:r>
      <w:r>
        <w:fldChar w:fldCharType="begin"/>
      </w:r>
      <w:r>
        <w:instrText xml:space="preserve"> PAGEREF _Toc6665527 \h </w:instrText>
      </w:r>
      <w:r>
        <w:fldChar w:fldCharType="separate"/>
      </w:r>
      <w:r>
        <w:t>15</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"_Toc6665528" </w:instrText>
      </w:r>
      <w:r>
        <w:fldChar w:fldCharType="separate"/>
      </w:r>
      <w:r>
        <w:rPr>
          <w:rStyle w:val="55"/>
          <w:rFonts w:hint="eastAsia"/>
        </w:rPr>
        <w:t>五</w:t>
      </w:r>
      <w:r>
        <w:rPr>
          <w:rStyle w:val="55"/>
        </w:rPr>
        <w:t xml:space="preserve">   </w:t>
      </w:r>
      <w:r>
        <w:rPr>
          <w:rStyle w:val="55"/>
          <w:rFonts w:hint="eastAsia"/>
        </w:rPr>
        <w:t>开标及评标</w:t>
      </w:r>
      <w:r>
        <w:tab/>
      </w:r>
      <w:r>
        <w:fldChar w:fldCharType="begin"/>
      </w:r>
      <w:r>
        <w:instrText xml:space="preserve"> PAGEREF _Toc6665528 \h </w:instrText>
      </w:r>
      <w:r>
        <w:fldChar w:fldCharType="separate"/>
      </w:r>
      <w:r>
        <w:t>16</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"_Toc6665529" </w:instrText>
      </w:r>
      <w:r>
        <w:fldChar w:fldCharType="separate"/>
      </w:r>
      <w:r>
        <w:rPr>
          <w:rStyle w:val="55"/>
        </w:rPr>
        <w:t>18.</w:t>
      </w:r>
      <w:r>
        <w:rPr>
          <w:rStyle w:val="55"/>
          <w:rFonts w:hint="eastAsia"/>
        </w:rPr>
        <w:t>开标</w:t>
      </w:r>
      <w:r>
        <w:tab/>
      </w:r>
      <w:r>
        <w:fldChar w:fldCharType="begin"/>
      </w:r>
      <w:r>
        <w:instrText xml:space="preserve"> PAGEREF _Toc6665529 \h </w:instrText>
      </w:r>
      <w:r>
        <w:fldChar w:fldCharType="separate"/>
      </w:r>
      <w:r>
        <w:t>16</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"_Toc6665530" </w:instrText>
      </w:r>
      <w:r>
        <w:fldChar w:fldCharType="separate"/>
      </w:r>
      <w:r>
        <w:rPr>
          <w:rStyle w:val="55"/>
        </w:rPr>
        <w:t>19.</w:t>
      </w:r>
      <w:r>
        <w:rPr>
          <w:rStyle w:val="55"/>
          <w:rFonts w:hint="eastAsia"/>
        </w:rPr>
        <w:t>评标委员会和评标方法</w:t>
      </w:r>
      <w:r>
        <w:tab/>
      </w:r>
      <w:r>
        <w:fldChar w:fldCharType="begin"/>
      </w:r>
      <w:r>
        <w:instrText xml:space="preserve"> PAGEREF _Toc6665530 \h </w:instrText>
      </w:r>
      <w:r>
        <w:fldChar w:fldCharType="separate"/>
      </w:r>
      <w:r>
        <w:t>16</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"_Toc6665531" </w:instrText>
      </w:r>
      <w:r>
        <w:fldChar w:fldCharType="separate"/>
      </w:r>
      <w:r>
        <w:rPr>
          <w:rStyle w:val="55"/>
        </w:rPr>
        <w:t>20.</w:t>
      </w:r>
      <w:r>
        <w:rPr>
          <w:rStyle w:val="55"/>
          <w:rFonts w:hint="eastAsia"/>
        </w:rPr>
        <w:t>投标文件的初审</w:t>
      </w:r>
      <w:r>
        <w:tab/>
      </w:r>
      <w:r>
        <w:fldChar w:fldCharType="begin"/>
      </w:r>
      <w:r>
        <w:instrText xml:space="preserve"> PAGEREF _Toc6665531 \h </w:instrText>
      </w:r>
      <w:r>
        <w:fldChar w:fldCharType="separate"/>
      </w:r>
      <w:r>
        <w:t>16</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"_Toc6665532" </w:instrText>
      </w:r>
      <w:r>
        <w:fldChar w:fldCharType="separate"/>
      </w:r>
      <w:r>
        <w:rPr>
          <w:rStyle w:val="55"/>
          <w:bCs/>
        </w:rPr>
        <w:t xml:space="preserve">21. </w:t>
      </w:r>
      <w:r>
        <w:rPr>
          <w:rStyle w:val="55"/>
          <w:rFonts w:hint="eastAsia"/>
          <w:bCs/>
        </w:rPr>
        <w:t>投标文件的澄清</w:t>
      </w:r>
      <w:r>
        <w:tab/>
      </w:r>
      <w:r>
        <w:fldChar w:fldCharType="begin"/>
      </w:r>
      <w:r>
        <w:instrText xml:space="preserve"> PAGEREF _Toc6665532 \h </w:instrText>
      </w:r>
      <w:r>
        <w:fldChar w:fldCharType="separate"/>
      </w:r>
      <w:r>
        <w:t>18</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"_Toc6665533" </w:instrText>
      </w:r>
      <w:r>
        <w:fldChar w:fldCharType="separate"/>
      </w:r>
      <w:r>
        <w:rPr>
          <w:rStyle w:val="55"/>
        </w:rPr>
        <w:t xml:space="preserve">22. </w:t>
      </w:r>
      <w:r>
        <w:rPr>
          <w:rStyle w:val="55"/>
          <w:rFonts w:hint="eastAsia"/>
        </w:rPr>
        <w:t>评标</w:t>
      </w:r>
      <w:r>
        <w:tab/>
      </w:r>
      <w:r>
        <w:fldChar w:fldCharType="begin"/>
      </w:r>
      <w:r>
        <w:instrText xml:space="preserve"> PAGEREF _Toc6665533 \h </w:instrText>
      </w:r>
      <w:r>
        <w:fldChar w:fldCharType="separate"/>
      </w:r>
      <w:r>
        <w:t>18</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"_Toc6665534" </w:instrText>
      </w:r>
      <w:r>
        <w:fldChar w:fldCharType="separate"/>
      </w:r>
      <w:r>
        <w:rPr>
          <w:rStyle w:val="55"/>
        </w:rPr>
        <w:t>23.</w:t>
      </w:r>
      <w:r>
        <w:rPr>
          <w:rStyle w:val="55"/>
          <w:rFonts w:hint="eastAsia"/>
        </w:rPr>
        <w:t>评标过程及保密原则</w:t>
      </w:r>
      <w:r>
        <w:tab/>
      </w:r>
      <w:r>
        <w:fldChar w:fldCharType="begin"/>
      </w:r>
      <w:r>
        <w:instrText xml:space="preserve"> PAGEREF _Toc6665534 \h </w:instrText>
      </w:r>
      <w:r>
        <w:fldChar w:fldCharType="separate"/>
      </w:r>
      <w:r>
        <w:t>19</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"_Toc6665535" </w:instrText>
      </w:r>
      <w:r>
        <w:fldChar w:fldCharType="separate"/>
      </w:r>
      <w:r>
        <w:rPr>
          <w:rStyle w:val="55"/>
          <w:rFonts w:hint="eastAsia"/>
        </w:rPr>
        <w:t>六</w:t>
      </w:r>
      <w:r>
        <w:rPr>
          <w:rStyle w:val="55"/>
        </w:rPr>
        <w:t xml:space="preserve">   </w:t>
      </w:r>
      <w:r>
        <w:rPr>
          <w:rStyle w:val="55"/>
          <w:rFonts w:hint="eastAsia"/>
        </w:rPr>
        <w:t>确定中标</w:t>
      </w:r>
      <w:r>
        <w:tab/>
      </w:r>
      <w:r>
        <w:fldChar w:fldCharType="begin"/>
      </w:r>
      <w:r>
        <w:instrText xml:space="preserve"> PAGEREF _Toc6665535 \h </w:instrText>
      </w:r>
      <w:r>
        <w:fldChar w:fldCharType="separate"/>
      </w:r>
      <w:r>
        <w:t>19</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"_Toc6665536" </w:instrText>
      </w:r>
      <w:r>
        <w:fldChar w:fldCharType="separate"/>
      </w:r>
      <w:r>
        <w:rPr>
          <w:rStyle w:val="55"/>
        </w:rPr>
        <w:t>24.</w:t>
      </w:r>
      <w:r>
        <w:rPr>
          <w:rStyle w:val="55"/>
          <w:rFonts w:hint="eastAsia"/>
        </w:rPr>
        <w:t>中标人的确定标准</w:t>
      </w:r>
      <w:r>
        <w:tab/>
      </w:r>
      <w:r>
        <w:fldChar w:fldCharType="begin"/>
      </w:r>
      <w:r>
        <w:instrText xml:space="preserve"> PAGEREF _Toc6665536 \h </w:instrText>
      </w:r>
      <w:r>
        <w:fldChar w:fldCharType="separate"/>
      </w:r>
      <w:r>
        <w:t>19</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"_Toc6665537" </w:instrText>
      </w:r>
      <w:r>
        <w:fldChar w:fldCharType="separate"/>
      </w:r>
      <w:r>
        <w:rPr>
          <w:rStyle w:val="55"/>
        </w:rPr>
        <w:t>25.</w:t>
      </w:r>
      <w:r>
        <w:rPr>
          <w:rStyle w:val="55"/>
          <w:rFonts w:hint="eastAsia"/>
        </w:rPr>
        <w:t>接受和拒绝任何或所有投标的权利</w:t>
      </w:r>
      <w:r>
        <w:tab/>
      </w:r>
      <w:r>
        <w:fldChar w:fldCharType="begin"/>
      </w:r>
      <w:r>
        <w:instrText xml:space="preserve"> PAGEREF _Toc6665537 \h </w:instrText>
      </w:r>
      <w:r>
        <w:fldChar w:fldCharType="separate"/>
      </w:r>
      <w:r>
        <w:t>20</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"_Toc6665538" </w:instrText>
      </w:r>
      <w:r>
        <w:fldChar w:fldCharType="separate"/>
      </w:r>
      <w:r>
        <w:rPr>
          <w:rStyle w:val="55"/>
        </w:rPr>
        <w:t>26.</w:t>
      </w:r>
      <w:r>
        <w:rPr>
          <w:rStyle w:val="55"/>
          <w:rFonts w:hint="eastAsia"/>
        </w:rPr>
        <w:t>中标通知书及结果通知书</w:t>
      </w:r>
      <w:r>
        <w:tab/>
      </w:r>
      <w:r>
        <w:fldChar w:fldCharType="begin"/>
      </w:r>
      <w:r>
        <w:instrText xml:space="preserve"> PAGEREF _Toc6665538 \h </w:instrText>
      </w:r>
      <w:r>
        <w:fldChar w:fldCharType="separate"/>
      </w:r>
      <w:r>
        <w:t>20</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"_Toc6665539" </w:instrText>
      </w:r>
      <w:r>
        <w:fldChar w:fldCharType="separate"/>
      </w:r>
      <w:r>
        <w:rPr>
          <w:rStyle w:val="55"/>
        </w:rPr>
        <w:t xml:space="preserve">27. </w:t>
      </w:r>
      <w:r>
        <w:rPr>
          <w:rStyle w:val="55"/>
          <w:rFonts w:hint="eastAsia"/>
        </w:rPr>
        <w:t>签订合同</w:t>
      </w:r>
      <w:r>
        <w:tab/>
      </w:r>
      <w:r>
        <w:fldChar w:fldCharType="begin"/>
      </w:r>
      <w:r>
        <w:instrText xml:space="preserve"> PAGEREF _Toc6665539 \h </w:instrText>
      </w:r>
      <w:r>
        <w:fldChar w:fldCharType="separate"/>
      </w:r>
      <w:r>
        <w:t>20</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"_Toc6665540" </w:instrText>
      </w:r>
      <w:r>
        <w:fldChar w:fldCharType="separate"/>
      </w:r>
      <w:r>
        <w:rPr>
          <w:rStyle w:val="55"/>
        </w:rPr>
        <w:t>28.</w:t>
      </w:r>
      <w:r>
        <w:rPr>
          <w:rStyle w:val="55"/>
          <w:rFonts w:hint="eastAsia"/>
        </w:rPr>
        <w:t>履约保证金</w:t>
      </w:r>
      <w:r>
        <w:tab/>
      </w:r>
      <w:r>
        <w:fldChar w:fldCharType="begin"/>
      </w:r>
      <w:r>
        <w:instrText xml:space="preserve"> PAGEREF _Toc6665540 \h </w:instrText>
      </w:r>
      <w:r>
        <w:fldChar w:fldCharType="separate"/>
      </w:r>
      <w:r>
        <w:t>20</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"_Toc6665541" </w:instrText>
      </w:r>
      <w:r>
        <w:fldChar w:fldCharType="separate"/>
      </w:r>
      <w:r>
        <w:rPr>
          <w:rStyle w:val="55"/>
          <w:rFonts w:hint="eastAsia"/>
        </w:rPr>
        <w:t>七</w:t>
      </w:r>
      <w:r>
        <w:rPr>
          <w:rStyle w:val="55"/>
        </w:rPr>
        <w:t xml:space="preserve">  </w:t>
      </w:r>
      <w:r>
        <w:rPr>
          <w:rStyle w:val="55"/>
          <w:rFonts w:hint="eastAsia"/>
        </w:rPr>
        <w:t>中标服务费</w:t>
      </w:r>
      <w:r>
        <w:tab/>
      </w:r>
      <w:r>
        <w:fldChar w:fldCharType="begin"/>
      </w:r>
      <w:r>
        <w:instrText xml:space="preserve"> PAGEREF _Toc6665541 \h </w:instrText>
      </w:r>
      <w:r>
        <w:fldChar w:fldCharType="separate"/>
      </w:r>
      <w:r>
        <w:t>21</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"_Toc6665542" </w:instrText>
      </w:r>
      <w:r>
        <w:fldChar w:fldCharType="separate"/>
      </w:r>
      <w:r>
        <w:rPr>
          <w:rStyle w:val="55"/>
        </w:rPr>
        <w:t>29.</w:t>
      </w:r>
      <w:r>
        <w:rPr>
          <w:rStyle w:val="55"/>
          <w:rFonts w:hint="eastAsia"/>
        </w:rPr>
        <w:t>中标服务费</w:t>
      </w:r>
      <w:r>
        <w:tab/>
      </w:r>
      <w:r>
        <w:fldChar w:fldCharType="begin"/>
      </w:r>
      <w:r>
        <w:instrText xml:space="preserve"> PAGEREF _Toc6665542 \h </w:instrText>
      </w:r>
      <w:r>
        <w:fldChar w:fldCharType="separate"/>
      </w:r>
      <w:r>
        <w:t>21</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"_Toc6665543" </w:instrText>
      </w:r>
      <w:r>
        <w:fldChar w:fldCharType="separate"/>
      </w:r>
      <w:r>
        <w:rPr>
          <w:rStyle w:val="55"/>
          <w:rFonts w:hint="eastAsia"/>
        </w:rPr>
        <w:t>八履约验收</w:t>
      </w:r>
      <w:r>
        <w:tab/>
      </w:r>
      <w:r>
        <w:fldChar w:fldCharType="begin"/>
      </w:r>
      <w:r>
        <w:instrText xml:space="preserve"> PAGEREF _Toc6665543 \h </w:instrText>
      </w:r>
      <w:r>
        <w:fldChar w:fldCharType="separate"/>
      </w:r>
      <w:r>
        <w:t>21</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"_Toc6665544" </w:instrText>
      </w:r>
      <w:r>
        <w:fldChar w:fldCharType="separate"/>
      </w:r>
      <w:r>
        <w:rPr>
          <w:rStyle w:val="55"/>
        </w:rPr>
        <w:t>30.</w:t>
      </w:r>
      <w:r>
        <w:rPr>
          <w:rStyle w:val="55"/>
          <w:rFonts w:hint="eastAsia"/>
        </w:rPr>
        <w:t>履约验收</w:t>
      </w:r>
      <w:r>
        <w:tab/>
      </w:r>
      <w:r>
        <w:fldChar w:fldCharType="begin"/>
      </w:r>
      <w:r>
        <w:instrText xml:space="preserve"> PAGEREF _Toc6665544 \h </w:instrText>
      </w:r>
      <w:r>
        <w:fldChar w:fldCharType="separate"/>
      </w:r>
      <w:r>
        <w:t>21</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"_Toc6665545" </w:instrText>
      </w:r>
      <w:r>
        <w:fldChar w:fldCharType="separate"/>
      </w:r>
      <w:r>
        <w:rPr>
          <w:rStyle w:val="55"/>
          <w:rFonts w:hint="eastAsia"/>
        </w:rPr>
        <w:t>九</w:t>
      </w:r>
      <w:r>
        <w:rPr>
          <w:rStyle w:val="55"/>
        </w:rPr>
        <w:t xml:space="preserve"> </w:t>
      </w:r>
      <w:r>
        <w:rPr>
          <w:rStyle w:val="55"/>
          <w:rFonts w:hint="eastAsia"/>
        </w:rPr>
        <w:t>询问与质疑</w:t>
      </w:r>
      <w:r>
        <w:tab/>
      </w:r>
      <w:r>
        <w:fldChar w:fldCharType="begin"/>
      </w:r>
      <w:r>
        <w:instrText xml:space="preserve"> PAGEREF _Toc6665545 \h </w:instrText>
      </w:r>
      <w:r>
        <w:fldChar w:fldCharType="separate"/>
      </w:r>
      <w:r>
        <w:t>21</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"_Toc6665546" </w:instrText>
      </w:r>
      <w:r>
        <w:fldChar w:fldCharType="separate"/>
      </w:r>
      <w:r>
        <w:rPr>
          <w:rStyle w:val="55"/>
        </w:rPr>
        <w:t>31.</w:t>
      </w:r>
      <w:r>
        <w:rPr>
          <w:rStyle w:val="55"/>
          <w:rFonts w:hint="eastAsia"/>
        </w:rPr>
        <w:t>询问</w:t>
      </w:r>
      <w:r>
        <w:tab/>
      </w:r>
      <w:r>
        <w:fldChar w:fldCharType="begin"/>
      </w:r>
      <w:r>
        <w:instrText xml:space="preserve"> PAGEREF _Toc6665546 \h </w:instrText>
      </w:r>
      <w:r>
        <w:fldChar w:fldCharType="separate"/>
      </w:r>
      <w:r>
        <w:t>21</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"_Toc6665547" </w:instrText>
      </w:r>
      <w:r>
        <w:fldChar w:fldCharType="separate"/>
      </w:r>
      <w:r>
        <w:rPr>
          <w:rStyle w:val="55"/>
        </w:rPr>
        <w:t>32.</w:t>
      </w:r>
      <w:r>
        <w:rPr>
          <w:rStyle w:val="55"/>
          <w:rFonts w:hint="eastAsia"/>
        </w:rPr>
        <w:t>质疑</w:t>
      </w:r>
      <w:r>
        <w:tab/>
      </w:r>
      <w:r>
        <w:fldChar w:fldCharType="begin"/>
      </w:r>
      <w:r>
        <w:instrText xml:space="preserve"> PAGEREF _Toc6665547 \h </w:instrText>
      </w:r>
      <w:r>
        <w:fldChar w:fldCharType="separate"/>
      </w:r>
      <w:r>
        <w:t>21</w:t>
      </w:r>
      <w:r>
        <w:fldChar w:fldCharType="end"/>
      </w:r>
      <w:r>
        <w:fldChar w:fldCharType="end"/>
      </w:r>
    </w:p>
    <w:p>
      <w:pPr>
        <w:pStyle w:val="29"/>
        <w:rPr>
          <w:rFonts w:asciiTheme="minorHAnsi" w:hAnsiTheme="minorHAnsi" w:eastAsiaTheme="minorEastAsia" w:cstheme="minorBidi"/>
          <w:b w:val="0"/>
          <w:bCs w:val="0"/>
          <w:iCs w:val="0"/>
          <w:sz w:val="21"/>
          <w:szCs w:val="22"/>
        </w:rPr>
      </w:pPr>
      <w:r>
        <w:fldChar w:fldCharType="begin"/>
      </w:r>
      <w:r>
        <w:instrText xml:space="preserve"> HYPERLINK \l "_Toc6665548" </w:instrText>
      </w:r>
      <w:r>
        <w:fldChar w:fldCharType="separate"/>
      </w:r>
      <w:r>
        <w:rPr>
          <w:rStyle w:val="55"/>
          <w:rFonts w:hint="eastAsia" w:hAnsi="宋体"/>
        </w:rPr>
        <w:t>第四章 采购需求</w:t>
      </w:r>
      <w:r>
        <w:tab/>
      </w:r>
      <w:r>
        <w:fldChar w:fldCharType="begin"/>
      </w:r>
      <w:r>
        <w:instrText xml:space="preserve"> PAGEREF _Toc6665548 \h </w:instrText>
      </w:r>
      <w:r>
        <w:fldChar w:fldCharType="separate"/>
      </w:r>
      <w:r>
        <w:t>23</w:t>
      </w:r>
      <w:r>
        <w:fldChar w:fldCharType="end"/>
      </w:r>
      <w:r>
        <w:fldChar w:fldCharType="end"/>
      </w:r>
    </w:p>
    <w:p>
      <w:pPr>
        <w:pStyle w:val="29"/>
        <w:rPr>
          <w:rFonts w:asciiTheme="minorHAnsi" w:hAnsiTheme="minorHAnsi" w:eastAsiaTheme="minorEastAsia" w:cstheme="minorBidi"/>
          <w:b w:val="0"/>
          <w:bCs w:val="0"/>
          <w:iCs w:val="0"/>
          <w:sz w:val="21"/>
          <w:szCs w:val="22"/>
        </w:rPr>
      </w:pPr>
      <w:r>
        <w:fldChar w:fldCharType="begin"/>
      </w:r>
      <w:r>
        <w:instrText xml:space="preserve"> HYPERLINK \l "_Toc6665549" </w:instrText>
      </w:r>
      <w:r>
        <w:fldChar w:fldCharType="separate"/>
      </w:r>
      <w:r>
        <w:rPr>
          <w:rStyle w:val="55"/>
          <w:rFonts w:hint="eastAsia"/>
        </w:rPr>
        <w:t>第五章</w:t>
      </w:r>
      <w:r>
        <w:rPr>
          <w:rStyle w:val="55"/>
        </w:rPr>
        <w:t xml:space="preserve"> </w:t>
      </w:r>
      <w:r>
        <w:rPr>
          <w:rStyle w:val="55"/>
          <w:rFonts w:hint="eastAsia"/>
        </w:rPr>
        <w:t>评标方法和评标标准</w:t>
      </w:r>
      <w:r>
        <w:tab/>
      </w:r>
      <w:r>
        <w:fldChar w:fldCharType="begin"/>
      </w:r>
      <w:r>
        <w:instrText xml:space="preserve"> PAGEREF _Toc6665549 \h </w:instrText>
      </w:r>
      <w:r>
        <w:fldChar w:fldCharType="separate"/>
      </w:r>
      <w:r>
        <w:t>29</w:t>
      </w:r>
      <w:r>
        <w:fldChar w:fldCharType="end"/>
      </w:r>
      <w:r>
        <w:fldChar w:fldCharType="end"/>
      </w:r>
    </w:p>
    <w:p>
      <w:pPr>
        <w:pStyle w:val="29"/>
        <w:rPr>
          <w:rFonts w:asciiTheme="minorHAnsi" w:hAnsiTheme="minorHAnsi" w:eastAsiaTheme="minorEastAsia" w:cstheme="minorBidi"/>
          <w:b w:val="0"/>
          <w:bCs w:val="0"/>
          <w:iCs w:val="0"/>
          <w:sz w:val="21"/>
          <w:szCs w:val="22"/>
        </w:rPr>
      </w:pPr>
      <w:r>
        <w:fldChar w:fldCharType="begin"/>
      </w:r>
      <w:r>
        <w:instrText xml:space="preserve"> HYPERLINK \l "_Toc6665550" </w:instrText>
      </w:r>
      <w:r>
        <w:fldChar w:fldCharType="separate"/>
      </w:r>
      <w:r>
        <w:rPr>
          <w:rStyle w:val="55"/>
          <w:rFonts w:hint="eastAsia"/>
        </w:rPr>
        <w:t>第六章</w:t>
      </w:r>
      <w:r>
        <w:rPr>
          <w:rStyle w:val="55"/>
        </w:rPr>
        <w:t xml:space="preserve"> </w:t>
      </w:r>
      <w:r>
        <w:rPr>
          <w:rStyle w:val="55"/>
          <w:rFonts w:hint="eastAsia"/>
        </w:rPr>
        <w:t>政府采购合同格式</w:t>
      </w:r>
      <w:r>
        <w:tab/>
      </w:r>
      <w:r>
        <w:fldChar w:fldCharType="begin"/>
      </w:r>
      <w:r>
        <w:instrText xml:space="preserve"> PAGEREF _Toc6665550 \h </w:instrText>
      </w:r>
      <w:r>
        <w:fldChar w:fldCharType="separate"/>
      </w:r>
      <w:r>
        <w:t>37</w:t>
      </w:r>
      <w:r>
        <w:fldChar w:fldCharType="end"/>
      </w:r>
      <w:r>
        <w:fldChar w:fldCharType="end"/>
      </w:r>
    </w:p>
    <w:p>
      <w:pPr>
        <w:pStyle w:val="29"/>
        <w:rPr>
          <w:rFonts w:asciiTheme="minorHAnsi" w:hAnsiTheme="minorHAnsi" w:eastAsiaTheme="minorEastAsia" w:cstheme="minorBidi"/>
          <w:b w:val="0"/>
          <w:bCs w:val="0"/>
          <w:iCs w:val="0"/>
          <w:sz w:val="21"/>
          <w:szCs w:val="22"/>
        </w:rPr>
      </w:pPr>
      <w:r>
        <w:fldChar w:fldCharType="begin"/>
      </w:r>
      <w:r>
        <w:instrText xml:space="preserve"> HYPERLINK \l "_Toc6665577" </w:instrText>
      </w:r>
      <w:r>
        <w:fldChar w:fldCharType="separate"/>
      </w:r>
      <w:r>
        <w:rPr>
          <w:rStyle w:val="55"/>
          <w:rFonts w:hint="eastAsia"/>
          <w:kern w:val="44"/>
        </w:rPr>
        <w:t>第七章</w:t>
      </w:r>
      <w:r>
        <w:rPr>
          <w:rStyle w:val="55"/>
          <w:kern w:val="44"/>
        </w:rPr>
        <w:t xml:space="preserve"> </w:t>
      </w:r>
      <w:r>
        <w:rPr>
          <w:rStyle w:val="55"/>
          <w:rFonts w:hint="eastAsia"/>
          <w:kern w:val="44"/>
        </w:rPr>
        <w:t>投标文件格式</w:t>
      </w:r>
      <w:r>
        <w:tab/>
      </w:r>
      <w:r>
        <w:fldChar w:fldCharType="begin"/>
      </w:r>
      <w:r>
        <w:instrText xml:space="preserve"> PAGEREF _Toc6665577 \h </w:instrText>
      </w:r>
      <w:r>
        <w:fldChar w:fldCharType="separate"/>
      </w:r>
      <w:r>
        <w:t>48</w:t>
      </w:r>
      <w:r>
        <w:fldChar w:fldCharType="end"/>
      </w:r>
      <w:r>
        <w:fldChar w:fldCharType="end"/>
      </w:r>
    </w:p>
    <w:p>
      <w:pPr>
        <w:pStyle w:val="29"/>
        <w:rPr>
          <w:rFonts w:asciiTheme="minorHAnsi" w:hAnsiTheme="minorHAnsi" w:eastAsiaTheme="minorEastAsia" w:cstheme="minorBidi"/>
          <w:b w:val="0"/>
          <w:bCs w:val="0"/>
          <w:iCs w:val="0"/>
          <w:sz w:val="21"/>
          <w:szCs w:val="22"/>
        </w:rPr>
      </w:pPr>
      <w:r>
        <w:fldChar w:fldCharType="begin"/>
      </w:r>
      <w:r>
        <w:instrText xml:space="preserve"> HYPERLINK \l "_Toc6665578" </w:instrText>
      </w:r>
      <w:r>
        <w:fldChar w:fldCharType="separate"/>
      </w:r>
      <w:r>
        <w:rPr>
          <w:rStyle w:val="55"/>
          <w:rFonts w:hint="eastAsia"/>
        </w:rPr>
        <w:t>一、投标文件资格册</w:t>
      </w:r>
      <w:r>
        <w:tab/>
      </w:r>
      <w:r>
        <w:fldChar w:fldCharType="begin"/>
      </w:r>
      <w:r>
        <w:instrText xml:space="preserve"> PAGEREF _Toc6665578 \h </w:instrText>
      </w:r>
      <w:r>
        <w:fldChar w:fldCharType="separate"/>
      </w:r>
      <w:r>
        <w:t>48</w:t>
      </w:r>
      <w:r>
        <w:fldChar w:fldCharType="end"/>
      </w:r>
      <w:r>
        <w:fldChar w:fldCharType="end"/>
      </w:r>
    </w:p>
    <w:p>
      <w:pPr>
        <w:pStyle w:val="29"/>
        <w:rPr>
          <w:rFonts w:asciiTheme="minorHAnsi" w:hAnsiTheme="minorHAnsi" w:eastAsiaTheme="minorEastAsia" w:cstheme="minorBidi"/>
          <w:b w:val="0"/>
          <w:bCs w:val="0"/>
          <w:iCs w:val="0"/>
          <w:sz w:val="21"/>
          <w:szCs w:val="22"/>
        </w:rPr>
      </w:pPr>
      <w:r>
        <w:fldChar w:fldCharType="begin"/>
      </w:r>
      <w:r>
        <w:instrText xml:space="preserve"> HYPERLINK \l "_Toc6665579" </w:instrText>
      </w:r>
      <w:r>
        <w:fldChar w:fldCharType="separate"/>
      </w:r>
      <w:r>
        <w:rPr>
          <w:rStyle w:val="55"/>
          <w:rFonts w:hint="eastAsia"/>
          <w:kern w:val="44"/>
        </w:rPr>
        <w:t>二、投标文件商务技术册</w:t>
      </w:r>
      <w:r>
        <w:tab/>
      </w:r>
      <w:r>
        <w:fldChar w:fldCharType="begin"/>
      </w:r>
      <w:r>
        <w:instrText xml:space="preserve"> PAGEREF _Toc6665579 \h </w:instrText>
      </w:r>
      <w:r>
        <w:fldChar w:fldCharType="separate"/>
      </w:r>
      <w:r>
        <w:t>52</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"_Toc6665580" </w:instrText>
      </w:r>
      <w:r>
        <w:fldChar w:fldCharType="separate"/>
      </w:r>
      <w:r>
        <w:rPr>
          <w:rStyle w:val="55"/>
        </w:rPr>
        <w:t xml:space="preserve">1 </w:t>
      </w:r>
      <w:r>
        <w:rPr>
          <w:rStyle w:val="55"/>
          <w:rFonts w:hint="eastAsia"/>
        </w:rPr>
        <w:t>投</w:t>
      </w:r>
      <w:r>
        <w:rPr>
          <w:rStyle w:val="55"/>
        </w:rPr>
        <w:t xml:space="preserve"> </w:t>
      </w:r>
      <w:r>
        <w:rPr>
          <w:rStyle w:val="55"/>
          <w:rFonts w:hint="eastAsia"/>
        </w:rPr>
        <w:t>标</w:t>
      </w:r>
      <w:r>
        <w:rPr>
          <w:rStyle w:val="55"/>
        </w:rPr>
        <w:t xml:space="preserve"> </w:t>
      </w:r>
      <w:r>
        <w:rPr>
          <w:rStyle w:val="55"/>
          <w:rFonts w:hint="eastAsia"/>
        </w:rPr>
        <w:t>函</w:t>
      </w:r>
      <w:r>
        <w:tab/>
      </w:r>
      <w:r>
        <w:fldChar w:fldCharType="begin"/>
      </w:r>
      <w:r>
        <w:instrText xml:space="preserve"> PAGEREF _Toc6665580 \h </w:instrText>
      </w:r>
      <w:r>
        <w:fldChar w:fldCharType="separate"/>
      </w:r>
      <w:r>
        <w:t>52</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"_Toc6665581" </w:instrText>
      </w:r>
      <w:r>
        <w:fldChar w:fldCharType="separate"/>
      </w:r>
      <w:r>
        <w:rPr>
          <w:rStyle w:val="55"/>
        </w:rPr>
        <w:t xml:space="preserve">2 </w:t>
      </w:r>
      <w:r>
        <w:rPr>
          <w:rStyle w:val="55"/>
          <w:rFonts w:hint="eastAsia"/>
        </w:rPr>
        <w:t>开标一览表</w:t>
      </w:r>
      <w:r>
        <w:tab/>
      </w:r>
      <w:r>
        <w:fldChar w:fldCharType="begin"/>
      </w:r>
      <w:r>
        <w:instrText xml:space="preserve"> PAGEREF _Toc6665581 \h </w:instrText>
      </w:r>
      <w:r>
        <w:fldChar w:fldCharType="separate"/>
      </w:r>
      <w:r>
        <w:t>54</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"_Toc6665582" </w:instrText>
      </w:r>
      <w:r>
        <w:fldChar w:fldCharType="separate"/>
      </w:r>
      <w:r>
        <w:rPr>
          <w:rStyle w:val="55"/>
        </w:rPr>
        <w:t xml:space="preserve">3 </w:t>
      </w:r>
      <w:r>
        <w:rPr>
          <w:rStyle w:val="55"/>
          <w:rFonts w:hint="eastAsia"/>
        </w:rPr>
        <w:t>投标分项报价表</w:t>
      </w:r>
      <w:r>
        <w:tab/>
      </w:r>
      <w:r>
        <w:fldChar w:fldCharType="begin"/>
      </w:r>
      <w:r>
        <w:instrText xml:space="preserve"> PAGEREF _Toc6665582 \h </w:instrText>
      </w:r>
      <w:r>
        <w:fldChar w:fldCharType="separate"/>
      </w:r>
      <w:r>
        <w:t>55</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"_Toc6665583" </w:instrText>
      </w:r>
      <w:r>
        <w:fldChar w:fldCharType="separate"/>
      </w:r>
      <w:r>
        <w:rPr>
          <w:rStyle w:val="55"/>
        </w:rPr>
        <w:t xml:space="preserve">4 </w:t>
      </w:r>
      <w:r>
        <w:rPr>
          <w:rStyle w:val="55"/>
          <w:rFonts w:hint="eastAsia"/>
        </w:rPr>
        <w:t>货物说明一览表</w:t>
      </w:r>
      <w:r>
        <w:tab/>
      </w:r>
      <w:r>
        <w:fldChar w:fldCharType="begin"/>
      </w:r>
      <w:r>
        <w:instrText xml:space="preserve"> PAGEREF _Toc6665583 \h </w:instrText>
      </w:r>
      <w:r>
        <w:fldChar w:fldCharType="separate"/>
      </w:r>
      <w:r>
        <w:t>56</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"_Toc6665584" </w:instrText>
      </w:r>
      <w:r>
        <w:fldChar w:fldCharType="separate"/>
      </w:r>
      <w:r>
        <w:rPr>
          <w:rStyle w:val="55"/>
        </w:rPr>
        <w:t xml:space="preserve">5 </w:t>
      </w:r>
      <w:r>
        <w:rPr>
          <w:rStyle w:val="55"/>
          <w:rFonts w:hint="eastAsia"/>
        </w:rPr>
        <w:t>技术规格偏离表</w:t>
      </w:r>
      <w:r>
        <w:tab/>
      </w:r>
      <w:r>
        <w:fldChar w:fldCharType="begin"/>
      </w:r>
      <w:r>
        <w:instrText xml:space="preserve"> PAGEREF _Toc6665584 \h </w:instrText>
      </w:r>
      <w:r>
        <w:fldChar w:fldCharType="separate"/>
      </w:r>
      <w:r>
        <w:t>57</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"_Toc6665585" </w:instrText>
      </w:r>
      <w:r>
        <w:fldChar w:fldCharType="separate"/>
      </w:r>
      <w:r>
        <w:rPr>
          <w:rStyle w:val="55"/>
        </w:rPr>
        <w:t xml:space="preserve">6 </w:t>
      </w:r>
      <w:r>
        <w:rPr>
          <w:rStyle w:val="55"/>
          <w:rFonts w:hint="eastAsia"/>
        </w:rPr>
        <w:t>商务条款偏离表</w:t>
      </w:r>
      <w:r>
        <w:tab/>
      </w:r>
      <w:r>
        <w:fldChar w:fldCharType="begin"/>
      </w:r>
      <w:r>
        <w:instrText xml:space="preserve"> PAGEREF _Toc6665585 \h </w:instrText>
      </w:r>
      <w:r>
        <w:fldChar w:fldCharType="separate"/>
      </w:r>
      <w:r>
        <w:t>58</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"_Toc6665586" </w:instrText>
      </w:r>
      <w:r>
        <w:fldChar w:fldCharType="separate"/>
      </w:r>
      <w:r>
        <w:rPr>
          <w:rStyle w:val="55"/>
        </w:rPr>
        <w:t xml:space="preserve">7 </w:t>
      </w:r>
      <w:r>
        <w:rPr>
          <w:rStyle w:val="55"/>
          <w:rFonts w:hint="eastAsia"/>
        </w:rPr>
        <w:t>业绩案例一览表</w:t>
      </w:r>
      <w:r>
        <w:tab/>
      </w:r>
      <w:r>
        <w:fldChar w:fldCharType="begin"/>
      </w:r>
      <w:r>
        <w:instrText xml:space="preserve"> PAGEREF _Toc6665586 \h </w:instrText>
      </w:r>
      <w:r>
        <w:fldChar w:fldCharType="separate"/>
      </w:r>
      <w:r>
        <w:t>59</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"_Toc6665587" </w:instrText>
      </w:r>
      <w:r>
        <w:fldChar w:fldCharType="separate"/>
      </w:r>
      <w:r>
        <w:rPr>
          <w:rStyle w:val="55"/>
        </w:rPr>
        <w:t xml:space="preserve">8 </w:t>
      </w:r>
      <w:r>
        <w:rPr>
          <w:rStyle w:val="55"/>
          <w:rFonts w:hint="eastAsia"/>
        </w:rPr>
        <w:t>投标人基本情况表</w:t>
      </w:r>
      <w:r>
        <w:tab/>
      </w:r>
      <w:r>
        <w:fldChar w:fldCharType="begin"/>
      </w:r>
      <w:r>
        <w:instrText xml:space="preserve"> PAGEREF _Toc6665587 \h </w:instrText>
      </w:r>
      <w:r>
        <w:fldChar w:fldCharType="separate"/>
      </w:r>
      <w:r>
        <w:t>60</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"_Toc6665588" </w:instrText>
      </w:r>
      <w:r>
        <w:fldChar w:fldCharType="separate"/>
      </w:r>
      <w:r>
        <w:rPr>
          <w:rStyle w:val="55"/>
        </w:rPr>
        <w:t xml:space="preserve">9 </w:t>
      </w:r>
      <w:r>
        <w:rPr>
          <w:rStyle w:val="55"/>
          <w:rFonts w:hint="eastAsia"/>
        </w:rPr>
        <w:t>实施方案</w:t>
      </w:r>
      <w:r>
        <w:tab/>
      </w:r>
      <w:r>
        <w:fldChar w:fldCharType="begin"/>
      </w:r>
      <w:r>
        <w:instrText xml:space="preserve"> PAGEREF _Toc6665588 \h </w:instrText>
      </w:r>
      <w:r>
        <w:fldChar w:fldCharType="separate"/>
      </w:r>
      <w:r>
        <w:t>62</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"_Toc6665589" </w:instrText>
      </w:r>
      <w:r>
        <w:fldChar w:fldCharType="separate"/>
      </w:r>
      <w:r>
        <w:rPr>
          <w:rStyle w:val="55"/>
        </w:rPr>
        <w:t xml:space="preserve">10 </w:t>
      </w:r>
      <w:r>
        <w:rPr>
          <w:rStyle w:val="55"/>
          <w:rFonts w:hint="eastAsia"/>
        </w:rPr>
        <w:t>售后服务及培训计划</w:t>
      </w:r>
      <w:r>
        <w:tab/>
      </w:r>
      <w:r>
        <w:fldChar w:fldCharType="begin"/>
      </w:r>
      <w:r>
        <w:instrText xml:space="preserve"> PAGEREF _Toc6665589 \h </w:instrText>
      </w:r>
      <w:r>
        <w:fldChar w:fldCharType="separate"/>
      </w:r>
      <w:r>
        <w:t>63</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"_Toc6665590" </w:instrText>
      </w:r>
      <w:r>
        <w:fldChar w:fldCharType="separate"/>
      </w:r>
      <w:r>
        <w:rPr>
          <w:rStyle w:val="55"/>
        </w:rPr>
        <w:t>11</w:t>
      </w:r>
      <w:r>
        <w:rPr>
          <w:rStyle w:val="55"/>
          <w:rFonts w:hint="eastAsia" w:cs="宋体"/>
        </w:rPr>
        <w:t>提交投标保证金的证明材料（如适用）</w:t>
      </w:r>
      <w:r>
        <w:tab/>
      </w:r>
      <w:r>
        <w:fldChar w:fldCharType="begin"/>
      </w:r>
      <w:r>
        <w:instrText xml:space="preserve"> PAGEREF _Toc6665590 \h </w:instrText>
      </w:r>
      <w:r>
        <w:fldChar w:fldCharType="separate"/>
      </w:r>
      <w:r>
        <w:t>64</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"_Toc6665591" </w:instrText>
      </w:r>
      <w:r>
        <w:fldChar w:fldCharType="separate"/>
      </w:r>
      <w:r>
        <w:rPr>
          <w:rStyle w:val="55"/>
        </w:rPr>
        <w:t>12.</w:t>
      </w:r>
      <w:r>
        <w:rPr>
          <w:rStyle w:val="55"/>
          <w:rFonts w:hint="eastAsia"/>
        </w:rPr>
        <w:t>中标服务费承诺书</w:t>
      </w:r>
      <w:r>
        <w:tab/>
      </w:r>
      <w:r>
        <w:fldChar w:fldCharType="begin"/>
      </w:r>
      <w:r>
        <w:instrText xml:space="preserve"> PAGEREF _Toc6665591 \h </w:instrText>
      </w:r>
      <w:r>
        <w:fldChar w:fldCharType="separate"/>
      </w:r>
      <w:r>
        <w:t>65</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"_Toc6665592" </w:instrText>
      </w:r>
      <w:r>
        <w:fldChar w:fldCharType="separate"/>
      </w:r>
      <w:r>
        <w:rPr>
          <w:rStyle w:val="55"/>
        </w:rPr>
        <w:t xml:space="preserve">13 </w:t>
      </w:r>
      <w:r>
        <w:rPr>
          <w:rStyle w:val="55"/>
          <w:rFonts w:hint="eastAsia"/>
        </w:rPr>
        <w:t>投标人企业类型声明函（格式）</w:t>
      </w:r>
      <w:r>
        <w:tab/>
      </w:r>
      <w:r>
        <w:fldChar w:fldCharType="begin"/>
      </w:r>
      <w:r>
        <w:instrText xml:space="preserve"> PAGEREF _Toc6665592 \h </w:instrText>
      </w:r>
      <w:r>
        <w:fldChar w:fldCharType="separate"/>
      </w:r>
      <w:r>
        <w:t>66</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"_Toc6665593" </w:instrText>
      </w:r>
      <w:r>
        <w:fldChar w:fldCharType="separate"/>
      </w:r>
      <w:r>
        <w:rPr>
          <w:rStyle w:val="55"/>
        </w:rPr>
        <w:t xml:space="preserve">14 </w:t>
      </w:r>
      <w:r>
        <w:rPr>
          <w:rStyle w:val="55"/>
          <w:rFonts w:hint="eastAsia"/>
        </w:rPr>
        <w:t>残疾人福利性单位声明函（如适用）</w:t>
      </w:r>
      <w:r>
        <w:tab/>
      </w:r>
      <w:r>
        <w:fldChar w:fldCharType="begin"/>
      </w:r>
      <w:r>
        <w:instrText xml:space="preserve"> PAGEREF _Toc6665593 \h </w:instrText>
      </w:r>
      <w:r>
        <w:fldChar w:fldCharType="separate"/>
      </w:r>
      <w:r>
        <w:t>68</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"_Toc6665594" </w:instrText>
      </w:r>
      <w:r>
        <w:fldChar w:fldCharType="separate"/>
      </w:r>
      <w:r>
        <w:rPr>
          <w:rStyle w:val="55"/>
        </w:rPr>
        <w:t xml:space="preserve">15 </w:t>
      </w:r>
      <w:r>
        <w:rPr>
          <w:rStyle w:val="55"/>
          <w:rFonts w:hint="eastAsia"/>
        </w:rPr>
        <w:t>《监狱、戒毒企业声明函》（如适用）</w:t>
      </w:r>
      <w:r>
        <w:tab/>
      </w:r>
      <w:r>
        <w:fldChar w:fldCharType="begin"/>
      </w:r>
      <w:r>
        <w:instrText xml:space="preserve"> PAGEREF _Toc6665594 \h </w:instrText>
      </w:r>
      <w:r>
        <w:fldChar w:fldCharType="separate"/>
      </w:r>
      <w:r>
        <w:t>69</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"_Toc6665595" </w:instrText>
      </w:r>
      <w:r>
        <w:fldChar w:fldCharType="separate"/>
      </w:r>
      <w:r>
        <w:rPr>
          <w:rStyle w:val="55"/>
        </w:rPr>
        <w:t xml:space="preserve">16 </w:t>
      </w:r>
      <w:r>
        <w:rPr>
          <w:rStyle w:val="55"/>
          <w:rFonts w:hint="eastAsia"/>
        </w:rPr>
        <w:t>投标人认为必要的其他证明文件</w:t>
      </w:r>
      <w:r>
        <w:tab/>
      </w:r>
      <w:r>
        <w:fldChar w:fldCharType="begin"/>
      </w:r>
      <w:r>
        <w:instrText xml:space="preserve"> PAGEREF _Toc6665595 \h </w:instrText>
      </w:r>
      <w:r>
        <w:fldChar w:fldCharType="separate"/>
      </w:r>
      <w:r>
        <w:t>70</w:t>
      </w:r>
      <w:r>
        <w:fldChar w:fldCharType="end"/>
      </w:r>
      <w:r>
        <w:fldChar w:fldCharType="end"/>
      </w:r>
    </w:p>
    <w:p>
      <w:pPr>
        <w:pStyle w:val="2"/>
        <w:spacing w:before="0" w:after="0" w:line="360" w:lineRule="auto"/>
        <w:rPr>
          <w:rFonts w:hAnsi="宋体"/>
          <w:bCs w:val="0"/>
          <w:iCs/>
          <w:kern w:val="2"/>
          <w:sz w:val="24"/>
          <w:szCs w:val="24"/>
        </w:rPr>
      </w:pPr>
      <w:r>
        <w:rPr>
          <w:rFonts w:hAnsi="宋体"/>
          <w:bCs w:val="0"/>
          <w:iCs/>
          <w:kern w:val="2"/>
          <w:szCs w:val="24"/>
        </w:rPr>
        <w:fldChar w:fldCharType="end"/>
      </w:r>
      <w:bookmarkStart w:id="4" w:name="_Toc288581295"/>
      <w:r>
        <w:rPr>
          <w:rFonts w:hAnsi="宋体"/>
          <w:b w:val="0"/>
          <w:bCs w:val="0"/>
          <w:iCs/>
          <w:kern w:val="2"/>
          <w:sz w:val="24"/>
          <w:szCs w:val="24"/>
        </w:rPr>
        <w:br w:type="page"/>
      </w:r>
      <w:bookmarkStart w:id="5" w:name="_Toc310195690"/>
      <w:bookmarkStart w:id="6" w:name="_Toc6665504"/>
      <w:r>
        <w:rPr>
          <w:rFonts w:hint="eastAsia" w:hAnsi="宋体"/>
          <w:bCs w:val="0"/>
          <w:iCs/>
          <w:kern w:val="2"/>
          <w:szCs w:val="28"/>
        </w:rPr>
        <w:t xml:space="preserve">第一章  </w:t>
      </w:r>
      <w:r>
        <w:rPr>
          <w:rFonts w:hint="eastAsia" w:hAnsi="宋体"/>
          <w:szCs w:val="28"/>
        </w:rPr>
        <w:t>投 标 邀 请</w:t>
      </w:r>
      <w:bookmarkEnd w:id="3"/>
      <w:bookmarkEnd w:id="4"/>
      <w:bookmarkEnd w:id="5"/>
      <w:bookmarkEnd w:id="6"/>
    </w:p>
    <w:p>
      <w:pPr>
        <w:spacing w:beforeLines="50" w:line="360" w:lineRule="auto"/>
        <w:ind w:firstLine="480" w:firstLineChars="200"/>
        <w:rPr>
          <w:rFonts w:ascii="宋体" w:hAnsi="宋体"/>
          <w:sz w:val="24"/>
        </w:rPr>
      </w:pPr>
      <w:r>
        <w:rPr>
          <w:rFonts w:hint="eastAsia" w:ascii="宋体" w:hAnsi="宋体"/>
          <w:sz w:val="24"/>
        </w:rPr>
        <w:t>北京华采招标代理有限公司受北京舞蹈学院委托，根据《中华人民共和国政府采购法》等有关规定，现对北京舞蹈学院下沉广场扶梯电梯购置及安装项目进行公开招标，欢迎合格的投标人前来投标。</w:t>
      </w:r>
    </w:p>
    <w:p>
      <w:pPr>
        <w:spacing w:beforeLines="50" w:line="360" w:lineRule="auto"/>
        <w:ind w:firstLine="480" w:firstLineChars="200"/>
        <w:rPr>
          <w:rFonts w:ascii="宋体" w:hAnsi="宋体"/>
          <w:sz w:val="24"/>
        </w:rPr>
      </w:pPr>
    </w:p>
    <w:p>
      <w:pPr>
        <w:spacing w:line="336" w:lineRule="auto"/>
        <w:rPr>
          <w:rFonts w:ascii="宋体" w:hAnsi="宋体"/>
          <w:sz w:val="24"/>
        </w:rPr>
      </w:pPr>
      <w:r>
        <w:rPr>
          <w:rFonts w:hint="eastAsia" w:ascii="宋体" w:hAnsi="宋体"/>
          <w:sz w:val="24"/>
        </w:rPr>
        <w:t>采购人名称：北京舞蹈学院</w:t>
      </w:r>
    </w:p>
    <w:p>
      <w:pPr>
        <w:spacing w:line="336" w:lineRule="auto"/>
        <w:rPr>
          <w:rFonts w:ascii="宋体" w:hAnsi="宋体"/>
          <w:sz w:val="24"/>
        </w:rPr>
      </w:pPr>
      <w:r>
        <w:rPr>
          <w:rFonts w:hint="eastAsia" w:ascii="宋体" w:hAnsi="宋体"/>
          <w:sz w:val="24"/>
        </w:rPr>
        <w:t>采购人地址：北京市海淀区万寿寺路1号</w:t>
      </w:r>
    </w:p>
    <w:p>
      <w:pPr>
        <w:spacing w:line="336" w:lineRule="auto"/>
        <w:rPr>
          <w:rFonts w:ascii="宋体" w:hAnsi="宋体"/>
          <w:sz w:val="24"/>
        </w:rPr>
      </w:pPr>
      <w:r>
        <w:rPr>
          <w:rFonts w:hint="eastAsia" w:ascii="宋体" w:hAnsi="宋体"/>
          <w:sz w:val="24"/>
        </w:rPr>
        <w:t>采购人联系人：龚老师</w:t>
      </w:r>
    </w:p>
    <w:p>
      <w:pPr>
        <w:spacing w:line="336" w:lineRule="auto"/>
        <w:rPr>
          <w:rFonts w:hint="eastAsia" w:ascii="ˎ̥" w:hAnsi="ˎ̥" w:cs="宋体"/>
          <w:kern w:val="0"/>
          <w:sz w:val="24"/>
        </w:rPr>
      </w:pPr>
      <w:r>
        <w:rPr>
          <w:rFonts w:hint="eastAsia" w:ascii="宋体" w:hAnsi="宋体"/>
          <w:sz w:val="24"/>
        </w:rPr>
        <w:t>采购人联系方式：010-68936112</w:t>
      </w:r>
    </w:p>
    <w:p>
      <w:pPr>
        <w:spacing w:line="336" w:lineRule="auto"/>
        <w:ind w:firstLine="480" w:firstLineChars="200"/>
        <w:rPr>
          <w:rFonts w:hint="eastAsia" w:ascii="ˎ̥" w:hAnsi="ˎ̥" w:cs="宋体"/>
          <w:kern w:val="0"/>
          <w:sz w:val="24"/>
        </w:rPr>
      </w:pPr>
    </w:p>
    <w:p>
      <w:pPr>
        <w:spacing w:line="336" w:lineRule="auto"/>
        <w:rPr>
          <w:rFonts w:ascii="宋体" w:hAnsi="宋体"/>
          <w:sz w:val="24"/>
        </w:rPr>
      </w:pPr>
      <w:r>
        <w:rPr>
          <w:rFonts w:hint="eastAsia" w:ascii="宋体" w:hAnsi="宋体"/>
          <w:sz w:val="24"/>
        </w:rPr>
        <w:t>采购代理机构：北京华采招标代理有限公司</w:t>
      </w:r>
    </w:p>
    <w:p>
      <w:pPr>
        <w:spacing w:line="336" w:lineRule="auto"/>
        <w:rPr>
          <w:rFonts w:ascii="宋体" w:hAnsi="宋体"/>
          <w:sz w:val="24"/>
        </w:rPr>
      </w:pPr>
      <w:r>
        <w:rPr>
          <w:rFonts w:hint="eastAsia" w:ascii="宋体" w:hAnsi="宋体"/>
          <w:sz w:val="24"/>
        </w:rPr>
        <w:t>采购代理机构地址：北京市丰台区广安路9号国投财富广场6号楼1518室</w:t>
      </w:r>
    </w:p>
    <w:p>
      <w:pPr>
        <w:spacing w:line="336" w:lineRule="auto"/>
        <w:rPr>
          <w:rFonts w:ascii="宋体" w:hAnsi="宋体"/>
          <w:sz w:val="24"/>
        </w:rPr>
      </w:pPr>
      <w:r>
        <w:rPr>
          <w:rFonts w:hint="eastAsia" w:ascii="宋体" w:hAnsi="宋体"/>
          <w:sz w:val="24"/>
        </w:rPr>
        <w:t>采购代理机构联系人：造价招标1部  贾东敏、金珊</w:t>
      </w:r>
    </w:p>
    <w:p>
      <w:pPr>
        <w:spacing w:line="336" w:lineRule="auto"/>
        <w:rPr>
          <w:rFonts w:ascii="宋体" w:hAnsi="宋体"/>
          <w:sz w:val="24"/>
        </w:rPr>
      </w:pPr>
      <w:r>
        <w:rPr>
          <w:rFonts w:hint="eastAsia" w:ascii="宋体" w:hAnsi="宋体"/>
          <w:sz w:val="24"/>
        </w:rPr>
        <w:t>采购代理机构联系方式：</w:t>
      </w:r>
    </w:p>
    <w:p>
      <w:pPr>
        <w:spacing w:line="336" w:lineRule="auto"/>
        <w:rPr>
          <w:rFonts w:ascii="宋体" w:hAnsi="宋体"/>
          <w:sz w:val="24"/>
        </w:rPr>
      </w:pPr>
      <w:r>
        <w:rPr>
          <w:rFonts w:hint="eastAsia" w:ascii="宋体" w:hAnsi="宋体"/>
          <w:sz w:val="24"/>
        </w:rPr>
        <w:t>电话：010-63509799-509/510</w:t>
      </w:r>
    </w:p>
    <w:p>
      <w:pPr>
        <w:spacing w:line="336" w:lineRule="auto"/>
        <w:rPr>
          <w:rFonts w:ascii="宋体" w:hAnsi="宋体"/>
          <w:sz w:val="24"/>
        </w:rPr>
      </w:pPr>
      <w:r>
        <w:rPr>
          <w:rFonts w:hint="eastAsia" w:ascii="宋体" w:hAnsi="宋体"/>
          <w:sz w:val="24"/>
        </w:rPr>
        <w:t>传真：010-63509799-808</w:t>
      </w:r>
    </w:p>
    <w:p>
      <w:pPr>
        <w:spacing w:line="336" w:lineRule="auto"/>
        <w:rPr>
          <w:rFonts w:ascii="宋体" w:hAnsi="宋体"/>
          <w:sz w:val="24"/>
        </w:rPr>
      </w:pPr>
      <w:r>
        <w:rPr>
          <w:rFonts w:hint="eastAsia" w:ascii="宋体" w:hAnsi="宋体"/>
          <w:sz w:val="24"/>
        </w:rPr>
        <w:t>信箱：</w:t>
      </w:r>
      <w:r>
        <w:fldChar w:fldCharType="begin"/>
      </w:r>
      <w:r>
        <w:instrText xml:space="preserve"> HYPERLINK "mailto:hczb01@163.com" </w:instrText>
      </w:r>
      <w:r>
        <w:fldChar w:fldCharType="separate"/>
      </w:r>
      <w:r>
        <w:rPr>
          <w:rStyle w:val="55"/>
          <w:rFonts w:hint="eastAsia" w:ascii="宋体" w:hAnsi="宋体"/>
          <w:sz w:val="24"/>
        </w:rPr>
        <w:t>hczb01@163.com</w:t>
      </w:r>
      <w:r>
        <w:rPr>
          <w:rStyle w:val="55"/>
          <w:rFonts w:hint="eastAsia" w:ascii="宋体" w:hAnsi="宋体"/>
          <w:sz w:val="24"/>
        </w:rPr>
        <w:fldChar w:fldCharType="end"/>
      </w:r>
    </w:p>
    <w:p>
      <w:pPr>
        <w:spacing w:line="336"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1、项目名称：北京舞蹈学院下沉广场扶梯电梯购置</w:t>
      </w:r>
    </w:p>
    <w:p>
      <w:pPr>
        <w:spacing w:line="360" w:lineRule="auto"/>
        <w:rPr>
          <w:rFonts w:hAnsi="宋体"/>
          <w:sz w:val="24"/>
        </w:rPr>
      </w:pPr>
      <w:r>
        <w:rPr>
          <w:rFonts w:hint="eastAsia" w:ascii="宋体" w:hAnsi="宋体"/>
          <w:sz w:val="24"/>
        </w:rPr>
        <w:t>及安装项目</w:t>
      </w:r>
    </w:p>
    <w:p>
      <w:pPr>
        <w:spacing w:line="360" w:lineRule="auto"/>
        <w:rPr>
          <w:rFonts w:ascii="宋体" w:hAnsi="宋体"/>
          <w:sz w:val="24"/>
        </w:rPr>
      </w:pPr>
      <w:r>
        <w:rPr>
          <w:rFonts w:hint="eastAsia" w:ascii="宋体" w:hAnsi="宋体"/>
          <w:sz w:val="24"/>
        </w:rPr>
        <w:t>2、项目代理编号：</w:t>
      </w:r>
      <w:r>
        <w:rPr>
          <w:rFonts w:ascii="宋体" w:hAnsi="宋体"/>
          <w:sz w:val="24"/>
        </w:rPr>
        <w:t>HCZB-201</w:t>
      </w:r>
      <w:r>
        <w:rPr>
          <w:rFonts w:hint="eastAsia" w:ascii="宋体" w:hAnsi="宋体"/>
          <w:sz w:val="24"/>
        </w:rPr>
        <w:t>9</w:t>
      </w:r>
      <w:r>
        <w:rPr>
          <w:rFonts w:ascii="宋体" w:hAnsi="宋体"/>
          <w:sz w:val="24"/>
        </w:rPr>
        <w:t>-ZB</w:t>
      </w:r>
      <w:r>
        <w:rPr>
          <w:rFonts w:hint="eastAsia" w:ascii="宋体" w:hAnsi="宋体"/>
          <w:sz w:val="24"/>
        </w:rPr>
        <w:t>0266</w:t>
      </w:r>
    </w:p>
    <w:p>
      <w:pPr>
        <w:spacing w:line="336" w:lineRule="auto"/>
        <w:rPr>
          <w:rFonts w:hAnsi="宋体"/>
          <w:sz w:val="24"/>
        </w:rPr>
      </w:pPr>
      <w:r>
        <w:rPr>
          <w:rFonts w:hint="eastAsia" w:ascii="宋体" w:hAnsi="宋体"/>
          <w:sz w:val="24"/>
        </w:rPr>
        <w:t>3、</w:t>
      </w:r>
      <w:r>
        <w:rPr>
          <w:rFonts w:hint="eastAsia" w:ascii="宋体" w:hAnsi="宋体" w:cs="宋体"/>
          <w:sz w:val="24"/>
        </w:rPr>
        <w:t>采购需求：具体</w:t>
      </w:r>
      <w:r>
        <w:rPr>
          <w:rFonts w:hint="eastAsia" w:hAnsi="宋体"/>
          <w:sz w:val="24"/>
        </w:rPr>
        <w:t>详见招标文件第四章采购需求</w:t>
      </w:r>
    </w:p>
    <w:tbl>
      <w:tblPr>
        <w:tblStyle w:val="48"/>
        <w:tblW w:w="8036" w:type="dxa"/>
        <w:jc w:val="center"/>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989"/>
        <w:gridCol w:w="2946"/>
        <w:gridCol w:w="95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Align w:val="center"/>
          </w:tcPr>
          <w:p>
            <w:pPr>
              <w:spacing w:line="360" w:lineRule="auto"/>
              <w:jc w:val="center"/>
              <w:rPr>
                <w:rFonts w:hAnsi="宋体"/>
                <w:sz w:val="24"/>
              </w:rPr>
            </w:pPr>
            <w:r>
              <w:rPr>
                <w:rFonts w:hint="eastAsia" w:hAnsi="宋体"/>
                <w:sz w:val="24"/>
              </w:rPr>
              <w:t>序号</w:t>
            </w:r>
          </w:p>
        </w:tc>
        <w:tc>
          <w:tcPr>
            <w:tcW w:w="1989" w:type="dxa"/>
            <w:vAlign w:val="center"/>
          </w:tcPr>
          <w:p>
            <w:pPr>
              <w:spacing w:line="360" w:lineRule="auto"/>
              <w:jc w:val="center"/>
              <w:rPr>
                <w:rFonts w:hAnsi="宋体"/>
                <w:sz w:val="24"/>
              </w:rPr>
            </w:pPr>
            <w:r>
              <w:rPr>
                <w:rFonts w:hint="eastAsia" w:hAnsi="宋体"/>
                <w:sz w:val="24"/>
              </w:rPr>
              <w:t>名称</w:t>
            </w:r>
          </w:p>
        </w:tc>
        <w:tc>
          <w:tcPr>
            <w:tcW w:w="2946" w:type="dxa"/>
            <w:vAlign w:val="center"/>
          </w:tcPr>
          <w:p>
            <w:pPr>
              <w:spacing w:line="360" w:lineRule="auto"/>
              <w:jc w:val="center"/>
              <w:rPr>
                <w:rFonts w:hAnsi="宋体"/>
                <w:sz w:val="24"/>
              </w:rPr>
            </w:pPr>
            <w:r>
              <w:rPr>
                <w:rFonts w:hint="eastAsia" w:hAnsi="宋体"/>
                <w:sz w:val="24"/>
              </w:rPr>
              <w:t>名称</w:t>
            </w:r>
          </w:p>
        </w:tc>
        <w:tc>
          <w:tcPr>
            <w:tcW w:w="950" w:type="dxa"/>
            <w:vAlign w:val="center"/>
          </w:tcPr>
          <w:p>
            <w:pPr>
              <w:spacing w:line="360" w:lineRule="auto"/>
              <w:jc w:val="center"/>
              <w:rPr>
                <w:rFonts w:hAnsi="宋体"/>
                <w:sz w:val="24"/>
              </w:rPr>
            </w:pPr>
            <w:r>
              <w:rPr>
                <w:rFonts w:hint="eastAsia" w:hAnsi="宋体"/>
                <w:sz w:val="24"/>
              </w:rPr>
              <w:t>数量</w:t>
            </w:r>
          </w:p>
        </w:tc>
        <w:tc>
          <w:tcPr>
            <w:tcW w:w="1180" w:type="dxa"/>
            <w:vAlign w:val="center"/>
          </w:tcPr>
          <w:p>
            <w:pPr>
              <w:spacing w:line="360" w:lineRule="auto"/>
              <w:jc w:val="center"/>
              <w:rPr>
                <w:rFonts w:hAnsi="宋体"/>
                <w:sz w:val="24"/>
              </w:rPr>
            </w:pPr>
            <w:r>
              <w:rPr>
                <w:rFonts w:hint="eastAsia" w:hAnsi="宋体"/>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Merge w:val="restart"/>
            <w:vAlign w:val="center"/>
          </w:tcPr>
          <w:p>
            <w:pPr>
              <w:pStyle w:val="20"/>
              <w:jc w:val="center"/>
              <w:rPr>
                <w:rFonts w:hAnsi="宋体"/>
                <w:sz w:val="24"/>
                <w:lang w:val="en-US"/>
              </w:rPr>
            </w:pPr>
            <w:r>
              <w:rPr>
                <w:rFonts w:hint="eastAsia" w:hAnsi="宋体"/>
                <w:sz w:val="24"/>
                <w:lang w:val="en-US"/>
              </w:rPr>
              <w:t>1</w:t>
            </w:r>
          </w:p>
        </w:tc>
        <w:tc>
          <w:tcPr>
            <w:tcW w:w="1989" w:type="dxa"/>
            <w:vMerge w:val="restart"/>
            <w:vAlign w:val="center"/>
          </w:tcPr>
          <w:p>
            <w:pPr>
              <w:pStyle w:val="20"/>
              <w:jc w:val="center"/>
              <w:rPr>
                <w:rFonts w:hAnsi="宋体"/>
                <w:color w:val="000000"/>
                <w:sz w:val="24"/>
                <w:lang w:val="en-US"/>
              </w:rPr>
            </w:pPr>
            <w:r>
              <w:rPr>
                <w:rFonts w:hint="eastAsia" w:hAnsi="宋体"/>
                <w:color w:val="000000"/>
                <w:sz w:val="24"/>
                <w:lang w:val="en-US"/>
              </w:rPr>
              <w:t>电梯</w:t>
            </w:r>
          </w:p>
        </w:tc>
        <w:tc>
          <w:tcPr>
            <w:tcW w:w="2946" w:type="dxa"/>
            <w:vAlign w:val="center"/>
          </w:tcPr>
          <w:p>
            <w:pPr>
              <w:pStyle w:val="20"/>
              <w:jc w:val="center"/>
              <w:rPr>
                <w:rFonts w:hAnsi="宋体"/>
                <w:sz w:val="24"/>
              </w:rPr>
            </w:pPr>
            <w:r>
              <w:rPr>
                <w:rFonts w:hint="eastAsia" w:hAnsi="宋体"/>
                <w:color w:val="000000"/>
                <w:sz w:val="24"/>
              </w:rPr>
              <w:t>室外自动扶梯</w:t>
            </w:r>
          </w:p>
        </w:tc>
        <w:tc>
          <w:tcPr>
            <w:tcW w:w="950" w:type="dxa"/>
            <w:vAlign w:val="center"/>
          </w:tcPr>
          <w:p>
            <w:pPr>
              <w:pStyle w:val="20"/>
              <w:jc w:val="center"/>
              <w:rPr>
                <w:rFonts w:hAnsi="宋体"/>
                <w:sz w:val="24"/>
              </w:rPr>
            </w:pPr>
            <w:r>
              <w:rPr>
                <w:rFonts w:hint="eastAsia" w:hAnsi="宋体"/>
                <w:color w:val="000000"/>
                <w:sz w:val="24"/>
                <w:lang w:val="en-US"/>
              </w:rPr>
              <w:t>1</w:t>
            </w:r>
          </w:p>
        </w:tc>
        <w:tc>
          <w:tcPr>
            <w:tcW w:w="1180" w:type="dxa"/>
            <w:vAlign w:val="center"/>
          </w:tcPr>
          <w:p>
            <w:pPr>
              <w:spacing w:line="360" w:lineRule="auto"/>
              <w:jc w:val="center"/>
              <w:rPr>
                <w:rFonts w:hAnsi="宋体"/>
                <w:sz w:val="24"/>
                <w:u w:val="single"/>
              </w:rPr>
            </w:pPr>
            <w:r>
              <w:rPr>
                <w:rFonts w:hint="eastAsia" w:hAnsi="宋体"/>
                <w:color w:val="000000"/>
                <w:sz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Merge w:val="continue"/>
            <w:vAlign w:val="center"/>
          </w:tcPr>
          <w:p>
            <w:pPr>
              <w:pStyle w:val="20"/>
              <w:jc w:val="center"/>
              <w:rPr>
                <w:rFonts w:hAnsi="宋体"/>
                <w:sz w:val="24"/>
              </w:rPr>
            </w:pPr>
          </w:p>
        </w:tc>
        <w:tc>
          <w:tcPr>
            <w:tcW w:w="1989" w:type="dxa"/>
            <w:vMerge w:val="continue"/>
            <w:vAlign w:val="center"/>
          </w:tcPr>
          <w:p>
            <w:pPr>
              <w:pStyle w:val="20"/>
              <w:jc w:val="center"/>
              <w:rPr>
                <w:rFonts w:hAnsi="宋体"/>
                <w:color w:val="000000"/>
                <w:sz w:val="24"/>
              </w:rPr>
            </w:pPr>
          </w:p>
        </w:tc>
        <w:tc>
          <w:tcPr>
            <w:tcW w:w="2946" w:type="dxa"/>
            <w:vAlign w:val="center"/>
          </w:tcPr>
          <w:p>
            <w:pPr>
              <w:pStyle w:val="20"/>
              <w:jc w:val="center"/>
              <w:rPr>
                <w:rFonts w:hAnsi="宋体"/>
                <w:sz w:val="24"/>
              </w:rPr>
            </w:pPr>
            <w:r>
              <w:rPr>
                <w:rFonts w:hint="eastAsia" w:hAnsi="宋体"/>
                <w:color w:val="000000"/>
                <w:sz w:val="24"/>
              </w:rPr>
              <w:t>安装</w:t>
            </w:r>
          </w:p>
        </w:tc>
        <w:tc>
          <w:tcPr>
            <w:tcW w:w="950" w:type="dxa"/>
            <w:vAlign w:val="center"/>
          </w:tcPr>
          <w:p>
            <w:pPr>
              <w:pStyle w:val="20"/>
              <w:jc w:val="center"/>
              <w:rPr>
                <w:rFonts w:hAnsi="宋体"/>
                <w:sz w:val="24"/>
              </w:rPr>
            </w:pPr>
            <w:r>
              <w:rPr>
                <w:rFonts w:hint="eastAsia" w:hAnsi="宋体"/>
                <w:color w:val="000000"/>
                <w:sz w:val="24"/>
                <w:lang w:val="en-US"/>
              </w:rPr>
              <w:t>1</w:t>
            </w:r>
          </w:p>
        </w:tc>
        <w:tc>
          <w:tcPr>
            <w:tcW w:w="1180" w:type="dxa"/>
            <w:vAlign w:val="center"/>
          </w:tcPr>
          <w:p>
            <w:pPr>
              <w:spacing w:line="360" w:lineRule="auto"/>
              <w:jc w:val="center"/>
              <w:rPr>
                <w:rFonts w:hAnsi="宋体"/>
                <w:sz w:val="24"/>
              </w:rPr>
            </w:pPr>
            <w:r>
              <w:rPr>
                <w:rFonts w:hint="eastAsia" w:hAnsi="宋体"/>
                <w:color w:val="000000"/>
                <w:sz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Merge w:val="continue"/>
            <w:vAlign w:val="center"/>
          </w:tcPr>
          <w:p>
            <w:pPr>
              <w:pStyle w:val="20"/>
              <w:jc w:val="center"/>
              <w:rPr>
                <w:rFonts w:hAnsi="宋体"/>
                <w:sz w:val="24"/>
              </w:rPr>
            </w:pPr>
          </w:p>
        </w:tc>
        <w:tc>
          <w:tcPr>
            <w:tcW w:w="1989" w:type="dxa"/>
            <w:vMerge w:val="continue"/>
            <w:vAlign w:val="center"/>
          </w:tcPr>
          <w:p>
            <w:pPr>
              <w:pStyle w:val="20"/>
              <w:jc w:val="center"/>
              <w:rPr>
                <w:rFonts w:hAnsi="宋体"/>
                <w:color w:val="000000"/>
                <w:sz w:val="24"/>
              </w:rPr>
            </w:pPr>
          </w:p>
        </w:tc>
        <w:tc>
          <w:tcPr>
            <w:tcW w:w="2946" w:type="dxa"/>
            <w:vAlign w:val="center"/>
          </w:tcPr>
          <w:p>
            <w:pPr>
              <w:pStyle w:val="20"/>
              <w:jc w:val="center"/>
              <w:rPr>
                <w:rFonts w:hAnsi="宋体"/>
                <w:sz w:val="24"/>
              </w:rPr>
            </w:pPr>
            <w:r>
              <w:rPr>
                <w:rFonts w:hint="eastAsia" w:hAnsi="宋体"/>
                <w:color w:val="000000"/>
                <w:sz w:val="24"/>
              </w:rPr>
              <w:t>调试、检验</w:t>
            </w:r>
          </w:p>
        </w:tc>
        <w:tc>
          <w:tcPr>
            <w:tcW w:w="950" w:type="dxa"/>
            <w:vAlign w:val="center"/>
          </w:tcPr>
          <w:p>
            <w:pPr>
              <w:pStyle w:val="20"/>
              <w:jc w:val="center"/>
              <w:rPr>
                <w:rFonts w:hAnsi="宋体"/>
                <w:sz w:val="24"/>
              </w:rPr>
            </w:pPr>
            <w:r>
              <w:rPr>
                <w:rFonts w:hint="eastAsia" w:hAnsi="宋体"/>
                <w:color w:val="000000"/>
                <w:sz w:val="24"/>
                <w:lang w:val="en-US"/>
              </w:rPr>
              <w:t>1</w:t>
            </w:r>
          </w:p>
        </w:tc>
        <w:tc>
          <w:tcPr>
            <w:tcW w:w="1180" w:type="dxa"/>
            <w:vAlign w:val="center"/>
          </w:tcPr>
          <w:p>
            <w:pPr>
              <w:spacing w:line="360" w:lineRule="auto"/>
              <w:jc w:val="center"/>
              <w:rPr>
                <w:rFonts w:hAnsi="宋体"/>
                <w:sz w:val="24"/>
              </w:rPr>
            </w:pPr>
            <w:r>
              <w:rPr>
                <w:rFonts w:hint="eastAsia" w:hAnsi="宋体"/>
                <w:color w:val="000000"/>
                <w:sz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Merge w:val="continue"/>
            <w:vAlign w:val="center"/>
          </w:tcPr>
          <w:p>
            <w:pPr>
              <w:pStyle w:val="20"/>
              <w:jc w:val="center"/>
              <w:rPr>
                <w:rFonts w:hAnsi="宋体"/>
                <w:sz w:val="24"/>
              </w:rPr>
            </w:pPr>
          </w:p>
        </w:tc>
        <w:tc>
          <w:tcPr>
            <w:tcW w:w="1989" w:type="dxa"/>
            <w:vMerge w:val="continue"/>
            <w:vAlign w:val="center"/>
          </w:tcPr>
          <w:p>
            <w:pPr>
              <w:pStyle w:val="20"/>
              <w:jc w:val="center"/>
              <w:rPr>
                <w:rFonts w:hAnsi="宋体"/>
                <w:color w:val="000000"/>
                <w:sz w:val="24"/>
              </w:rPr>
            </w:pPr>
          </w:p>
        </w:tc>
        <w:tc>
          <w:tcPr>
            <w:tcW w:w="2946" w:type="dxa"/>
            <w:vAlign w:val="center"/>
          </w:tcPr>
          <w:p>
            <w:pPr>
              <w:pStyle w:val="20"/>
              <w:jc w:val="center"/>
              <w:rPr>
                <w:rFonts w:hAnsi="宋体"/>
                <w:sz w:val="24"/>
              </w:rPr>
            </w:pPr>
            <w:r>
              <w:rPr>
                <w:rFonts w:hint="eastAsia" w:hAnsi="宋体"/>
                <w:color w:val="000000"/>
                <w:sz w:val="24"/>
              </w:rPr>
              <w:t>最终目的地运保费</w:t>
            </w:r>
          </w:p>
        </w:tc>
        <w:tc>
          <w:tcPr>
            <w:tcW w:w="950" w:type="dxa"/>
            <w:vAlign w:val="center"/>
          </w:tcPr>
          <w:p>
            <w:pPr>
              <w:pStyle w:val="20"/>
              <w:jc w:val="center"/>
              <w:rPr>
                <w:rFonts w:hAnsi="宋体"/>
                <w:sz w:val="24"/>
              </w:rPr>
            </w:pPr>
            <w:r>
              <w:rPr>
                <w:rFonts w:hint="eastAsia" w:hAnsi="宋体"/>
                <w:color w:val="000000"/>
                <w:sz w:val="24"/>
                <w:lang w:val="en-US"/>
              </w:rPr>
              <w:t>1</w:t>
            </w:r>
          </w:p>
        </w:tc>
        <w:tc>
          <w:tcPr>
            <w:tcW w:w="1180" w:type="dxa"/>
            <w:vAlign w:val="center"/>
          </w:tcPr>
          <w:p>
            <w:pPr>
              <w:spacing w:line="360" w:lineRule="auto"/>
              <w:jc w:val="center"/>
              <w:rPr>
                <w:rFonts w:hAnsi="宋体"/>
                <w:sz w:val="24"/>
              </w:rPr>
            </w:pPr>
            <w:r>
              <w:rPr>
                <w:rFonts w:hint="eastAsia" w:hAnsi="宋体"/>
                <w:color w:val="000000"/>
                <w:sz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Merge w:val="continue"/>
            <w:vAlign w:val="center"/>
          </w:tcPr>
          <w:p>
            <w:pPr>
              <w:pStyle w:val="20"/>
              <w:jc w:val="center"/>
              <w:rPr>
                <w:rFonts w:hAnsi="宋体"/>
                <w:sz w:val="24"/>
              </w:rPr>
            </w:pPr>
          </w:p>
        </w:tc>
        <w:tc>
          <w:tcPr>
            <w:tcW w:w="1989" w:type="dxa"/>
            <w:vMerge w:val="continue"/>
            <w:vAlign w:val="center"/>
          </w:tcPr>
          <w:p>
            <w:pPr>
              <w:pStyle w:val="20"/>
              <w:jc w:val="center"/>
              <w:rPr>
                <w:rFonts w:hAnsi="宋体"/>
                <w:color w:val="000000"/>
                <w:sz w:val="24"/>
              </w:rPr>
            </w:pPr>
          </w:p>
        </w:tc>
        <w:tc>
          <w:tcPr>
            <w:tcW w:w="2946" w:type="dxa"/>
            <w:vAlign w:val="center"/>
          </w:tcPr>
          <w:p>
            <w:pPr>
              <w:pStyle w:val="20"/>
              <w:jc w:val="center"/>
              <w:rPr>
                <w:rFonts w:hAnsi="宋体"/>
                <w:sz w:val="24"/>
              </w:rPr>
            </w:pPr>
            <w:r>
              <w:rPr>
                <w:rFonts w:hint="eastAsia" w:hAnsi="宋体"/>
                <w:color w:val="000000"/>
                <w:sz w:val="24"/>
              </w:rPr>
              <w:t>扶梯桁架装饰</w:t>
            </w:r>
          </w:p>
        </w:tc>
        <w:tc>
          <w:tcPr>
            <w:tcW w:w="950" w:type="dxa"/>
            <w:vAlign w:val="center"/>
          </w:tcPr>
          <w:p>
            <w:pPr>
              <w:pStyle w:val="20"/>
              <w:jc w:val="center"/>
              <w:rPr>
                <w:rFonts w:hAnsi="宋体"/>
                <w:sz w:val="24"/>
              </w:rPr>
            </w:pPr>
            <w:r>
              <w:rPr>
                <w:rFonts w:hint="eastAsia" w:hAnsi="宋体"/>
                <w:color w:val="000000"/>
                <w:sz w:val="24"/>
                <w:lang w:val="en-US"/>
              </w:rPr>
              <w:t>1</w:t>
            </w:r>
          </w:p>
        </w:tc>
        <w:tc>
          <w:tcPr>
            <w:tcW w:w="1180" w:type="dxa"/>
            <w:vAlign w:val="center"/>
          </w:tcPr>
          <w:p>
            <w:pPr>
              <w:spacing w:line="360" w:lineRule="auto"/>
              <w:jc w:val="center"/>
              <w:rPr>
                <w:rFonts w:hAnsi="宋体"/>
                <w:sz w:val="24"/>
              </w:rPr>
            </w:pPr>
            <w:r>
              <w:rPr>
                <w:rFonts w:hint="eastAsia" w:hAnsi="宋体"/>
                <w:color w:val="00000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Merge w:val="continue"/>
            <w:vAlign w:val="center"/>
          </w:tcPr>
          <w:p>
            <w:pPr>
              <w:pStyle w:val="20"/>
              <w:jc w:val="center"/>
              <w:rPr>
                <w:rFonts w:hAnsi="宋体"/>
                <w:sz w:val="24"/>
              </w:rPr>
            </w:pPr>
          </w:p>
        </w:tc>
        <w:tc>
          <w:tcPr>
            <w:tcW w:w="1989" w:type="dxa"/>
            <w:vMerge w:val="continue"/>
            <w:vAlign w:val="center"/>
          </w:tcPr>
          <w:p>
            <w:pPr>
              <w:pStyle w:val="20"/>
              <w:jc w:val="center"/>
              <w:rPr>
                <w:rFonts w:hAnsi="宋体"/>
                <w:color w:val="000000"/>
                <w:sz w:val="24"/>
              </w:rPr>
            </w:pPr>
          </w:p>
        </w:tc>
        <w:tc>
          <w:tcPr>
            <w:tcW w:w="2946" w:type="dxa"/>
            <w:vAlign w:val="center"/>
          </w:tcPr>
          <w:p>
            <w:pPr>
              <w:pStyle w:val="20"/>
              <w:jc w:val="center"/>
              <w:rPr>
                <w:rFonts w:hAnsi="宋体"/>
                <w:sz w:val="24"/>
              </w:rPr>
            </w:pPr>
            <w:r>
              <w:rPr>
                <w:rFonts w:hint="eastAsia" w:hAnsi="宋体"/>
                <w:color w:val="000000"/>
                <w:sz w:val="24"/>
              </w:rPr>
              <w:t>动力电源</w:t>
            </w:r>
          </w:p>
        </w:tc>
        <w:tc>
          <w:tcPr>
            <w:tcW w:w="950" w:type="dxa"/>
            <w:vAlign w:val="center"/>
          </w:tcPr>
          <w:p>
            <w:pPr>
              <w:pStyle w:val="20"/>
              <w:jc w:val="center"/>
              <w:rPr>
                <w:rFonts w:hAnsi="宋体"/>
                <w:sz w:val="24"/>
              </w:rPr>
            </w:pPr>
            <w:r>
              <w:rPr>
                <w:rFonts w:hint="eastAsia" w:hAnsi="宋体"/>
                <w:color w:val="000000"/>
                <w:sz w:val="24"/>
                <w:lang w:val="en-US"/>
              </w:rPr>
              <w:t>1</w:t>
            </w:r>
          </w:p>
        </w:tc>
        <w:tc>
          <w:tcPr>
            <w:tcW w:w="1180" w:type="dxa"/>
            <w:vAlign w:val="center"/>
          </w:tcPr>
          <w:p>
            <w:pPr>
              <w:spacing w:line="360" w:lineRule="auto"/>
              <w:jc w:val="center"/>
              <w:rPr>
                <w:rFonts w:hAnsi="宋体"/>
                <w:sz w:val="24"/>
              </w:rPr>
            </w:pPr>
            <w:r>
              <w:rPr>
                <w:rFonts w:hint="eastAsia" w:hAnsi="宋体"/>
                <w:color w:val="00000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Align w:val="center"/>
          </w:tcPr>
          <w:p>
            <w:pPr>
              <w:pStyle w:val="20"/>
              <w:jc w:val="center"/>
              <w:rPr>
                <w:rFonts w:hAnsi="宋体"/>
                <w:sz w:val="24"/>
                <w:lang w:val="en-US"/>
              </w:rPr>
            </w:pPr>
            <w:r>
              <w:rPr>
                <w:rFonts w:hint="eastAsia" w:hAnsi="宋体"/>
                <w:sz w:val="24"/>
                <w:lang w:val="en-US"/>
              </w:rPr>
              <w:t>2</w:t>
            </w:r>
          </w:p>
        </w:tc>
        <w:tc>
          <w:tcPr>
            <w:tcW w:w="1989" w:type="dxa"/>
            <w:vAlign w:val="center"/>
          </w:tcPr>
          <w:p>
            <w:pPr>
              <w:pStyle w:val="20"/>
              <w:jc w:val="center"/>
              <w:rPr>
                <w:rFonts w:hAnsi="宋体"/>
                <w:color w:val="000000"/>
                <w:sz w:val="24"/>
                <w:lang w:val="en-US"/>
              </w:rPr>
            </w:pPr>
            <w:r>
              <w:rPr>
                <w:rFonts w:hint="eastAsia" w:hAnsi="宋体"/>
                <w:color w:val="000000"/>
                <w:sz w:val="24"/>
                <w:lang w:val="en-US"/>
              </w:rPr>
              <w:t>施工土建</w:t>
            </w:r>
          </w:p>
        </w:tc>
        <w:tc>
          <w:tcPr>
            <w:tcW w:w="2946" w:type="dxa"/>
            <w:vAlign w:val="center"/>
          </w:tcPr>
          <w:p>
            <w:pPr>
              <w:pStyle w:val="20"/>
              <w:jc w:val="center"/>
              <w:rPr>
                <w:rFonts w:hAnsi="宋体"/>
                <w:sz w:val="24"/>
              </w:rPr>
            </w:pPr>
            <w:r>
              <w:rPr>
                <w:rFonts w:hint="eastAsia" w:hAnsi="宋体"/>
                <w:color w:val="000000"/>
                <w:sz w:val="24"/>
              </w:rPr>
              <w:t>井道和土建</w:t>
            </w:r>
          </w:p>
        </w:tc>
        <w:tc>
          <w:tcPr>
            <w:tcW w:w="950" w:type="dxa"/>
            <w:vAlign w:val="center"/>
          </w:tcPr>
          <w:p>
            <w:pPr>
              <w:pStyle w:val="20"/>
              <w:jc w:val="center"/>
              <w:rPr>
                <w:rFonts w:hAnsi="宋体"/>
                <w:sz w:val="24"/>
              </w:rPr>
            </w:pPr>
            <w:r>
              <w:rPr>
                <w:rFonts w:hint="eastAsia" w:hAnsi="宋体"/>
                <w:color w:val="000000"/>
                <w:sz w:val="24"/>
                <w:lang w:val="en-US"/>
              </w:rPr>
              <w:t>1</w:t>
            </w:r>
          </w:p>
        </w:tc>
        <w:tc>
          <w:tcPr>
            <w:tcW w:w="1180" w:type="dxa"/>
            <w:vAlign w:val="center"/>
          </w:tcPr>
          <w:p>
            <w:pPr>
              <w:spacing w:line="360" w:lineRule="auto"/>
              <w:jc w:val="center"/>
              <w:rPr>
                <w:rFonts w:hAnsi="宋体"/>
                <w:sz w:val="24"/>
              </w:rPr>
            </w:pPr>
            <w:r>
              <w:rPr>
                <w:rFonts w:hint="eastAsia" w:hAnsi="宋体"/>
                <w:color w:val="000000"/>
                <w:sz w:val="24"/>
              </w:rPr>
              <w:t>项</w:t>
            </w:r>
          </w:p>
        </w:tc>
      </w:tr>
    </w:tbl>
    <w:p>
      <w:pPr>
        <w:spacing w:line="336" w:lineRule="auto"/>
        <w:rPr>
          <w:rFonts w:ascii="宋体" w:hAnsi="宋体" w:cs="宋体"/>
          <w:sz w:val="24"/>
        </w:rPr>
      </w:pPr>
    </w:p>
    <w:p>
      <w:pPr>
        <w:spacing w:line="360" w:lineRule="auto"/>
        <w:rPr>
          <w:rFonts w:ascii="宋体" w:hAnsi="宋体"/>
          <w:sz w:val="24"/>
        </w:rPr>
      </w:pPr>
      <w:r>
        <w:rPr>
          <w:rFonts w:hint="eastAsia" w:ascii="宋体" w:hAnsi="宋体"/>
          <w:sz w:val="24"/>
        </w:rPr>
        <w:t>4、资金来源：财政资金</w:t>
      </w:r>
    </w:p>
    <w:p>
      <w:pPr>
        <w:spacing w:line="360" w:lineRule="auto"/>
        <w:rPr>
          <w:rFonts w:ascii="宋体" w:hAnsi="宋体"/>
          <w:sz w:val="24"/>
          <w:highlight w:val="yellow"/>
          <w:u w:val="single"/>
        </w:rPr>
      </w:pPr>
      <w:r>
        <w:rPr>
          <w:rFonts w:hint="eastAsia" w:ascii="宋体" w:hAnsi="宋体"/>
          <w:sz w:val="24"/>
        </w:rPr>
        <w:t>5、本项目预算金额：55万，项目编号：JBZC2019_014219_302-JH0035-XM001</w:t>
      </w:r>
    </w:p>
    <w:p>
      <w:pPr>
        <w:spacing w:line="360" w:lineRule="auto"/>
        <w:rPr>
          <w:rFonts w:ascii="宋体" w:hAnsi="宋体"/>
          <w:sz w:val="24"/>
        </w:rPr>
      </w:pPr>
      <w:r>
        <w:rPr>
          <w:rFonts w:hint="eastAsia" w:ascii="宋体" w:hAnsi="宋体"/>
          <w:sz w:val="24"/>
        </w:rPr>
        <w:t>6、投标人资格要求：</w:t>
      </w:r>
    </w:p>
    <w:p>
      <w:pPr>
        <w:spacing w:line="360" w:lineRule="auto"/>
        <w:rPr>
          <w:rFonts w:ascii="宋体" w:hAnsi="宋体"/>
          <w:sz w:val="24"/>
          <w:shd w:val="clear" w:color="auto" w:fill="FFFFFF"/>
        </w:rPr>
      </w:pPr>
      <w:r>
        <w:rPr>
          <w:rFonts w:hint="eastAsia" w:ascii="宋体" w:hAnsi="宋体"/>
          <w:sz w:val="24"/>
          <w:shd w:val="clear" w:color="auto" w:fill="FFFFFF"/>
        </w:rPr>
        <w:t>（1）投标人必须符合《中华人民共和国政府采购法》第二十二条规定的条件：</w:t>
      </w:r>
    </w:p>
    <w:p>
      <w:pPr>
        <w:spacing w:line="360" w:lineRule="auto"/>
        <w:ind w:firstLine="240" w:firstLineChars="100"/>
        <w:rPr>
          <w:rFonts w:ascii="宋体" w:hAnsi="宋体"/>
          <w:sz w:val="24"/>
          <w:shd w:val="clear" w:color="auto" w:fill="FFFFFF"/>
        </w:rPr>
      </w:pPr>
      <w:r>
        <w:rPr>
          <w:rFonts w:hint="eastAsia" w:ascii="宋体" w:hAnsi="宋体"/>
          <w:sz w:val="24"/>
          <w:shd w:val="clear" w:color="auto" w:fill="FFFFFF"/>
        </w:rPr>
        <w:t>1）具有独立承担民事责任的能力；</w:t>
      </w:r>
    </w:p>
    <w:p>
      <w:pPr>
        <w:spacing w:line="360" w:lineRule="auto"/>
        <w:ind w:firstLine="240" w:firstLineChars="100"/>
        <w:rPr>
          <w:rFonts w:ascii="宋体" w:hAnsi="宋体"/>
          <w:sz w:val="24"/>
          <w:shd w:val="clear" w:color="auto" w:fill="FFFFFF"/>
        </w:rPr>
      </w:pPr>
      <w:r>
        <w:rPr>
          <w:rFonts w:hint="eastAsia" w:ascii="宋体" w:hAnsi="宋体"/>
          <w:sz w:val="24"/>
          <w:shd w:val="clear" w:color="auto" w:fill="FFFFFF"/>
        </w:rPr>
        <w:t>2）具有良好的商业信誉和健全的财务会计制度；</w:t>
      </w:r>
    </w:p>
    <w:p>
      <w:pPr>
        <w:spacing w:line="360" w:lineRule="auto"/>
        <w:ind w:firstLine="240" w:firstLineChars="100"/>
        <w:rPr>
          <w:rFonts w:ascii="宋体" w:hAnsi="宋体"/>
          <w:sz w:val="24"/>
          <w:shd w:val="clear" w:color="auto" w:fill="FFFFFF"/>
        </w:rPr>
      </w:pPr>
      <w:r>
        <w:rPr>
          <w:rFonts w:hint="eastAsia" w:ascii="宋体" w:hAnsi="宋体"/>
          <w:sz w:val="24"/>
          <w:shd w:val="clear" w:color="auto" w:fill="FFFFFF"/>
        </w:rPr>
        <w:t>3）</w:t>
      </w:r>
      <w:r>
        <w:rPr>
          <w:rFonts w:hint="eastAsia" w:asciiTheme="minorEastAsia" w:hAnsiTheme="minorEastAsia" w:eastAsiaTheme="minorEastAsia"/>
          <w:sz w:val="24"/>
        </w:rPr>
        <w:t>具有履行合同所必需的设备和专业技术能力；</w:t>
      </w:r>
    </w:p>
    <w:p>
      <w:pPr>
        <w:spacing w:line="360" w:lineRule="auto"/>
        <w:ind w:firstLine="240" w:firstLineChars="100"/>
        <w:rPr>
          <w:rFonts w:ascii="宋体" w:hAnsi="宋体"/>
          <w:sz w:val="24"/>
          <w:shd w:val="clear" w:color="auto" w:fill="FFFFFF"/>
        </w:rPr>
      </w:pPr>
      <w:r>
        <w:rPr>
          <w:rFonts w:hint="eastAsia" w:ascii="宋体" w:hAnsi="宋体"/>
          <w:sz w:val="24"/>
          <w:shd w:val="clear" w:color="auto" w:fill="FFFFFF"/>
        </w:rPr>
        <w:t>4）有依法缴纳税收和社会保障资金的良好记录；</w:t>
      </w:r>
    </w:p>
    <w:p>
      <w:pPr>
        <w:spacing w:line="360" w:lineRule="auto"/>
        <w:ind w:firstLine="240" w:firstLineChars="100"/>
        <w:rPr>
          <w:rFonts w:ascii="宋体" w:hAnsi="宋体"/>
          <w:sz w:val="24"/>
          <w:shd w:val="clear" w:color="auto" w:fill="FFFFFF"/>
        </w:rPr>
      </w:pPr>
      <w:r>
        <w:rPr>
          <w:rFonts w:hint="eastAsia" w:ascii="宋体" w:hAnsi="宋体"/>
          <w:sz w:val="24"/>
          <w:shd w:val="clear" w:color="auto" w:fill="FFFFFF"/>
        </w:rPr>
        <w:t>5）参加政府采购活动前三年内，在经营活动中没有重大违法记录；</w:t>
      </w:r>
    </w:p>
    <w:p>
      <w:pPr>
        <w:spacing w:line="360" w:lineRule="auto"/>
        <w:ind w:firstLine="240" w:firstLineChars="100"/>
        <w:rPr>
          <w:rFonts w:ascii="宋体" w:hAnsi="宋体"/>
          <w:sz w:val="24"/>
          <w:shd w:val="clear" w:color="auto" w:fill="FFFFFF"/>
        </w:rPr>
      </w:pPr>
      <w:r>
        <w:rPr>
          <w:rFonts w:hint="eastAsia" w:ascii="宋体" w:hAnsi="宋体"/>
          <w:sz w:val="24"/>
          <w:shd w:val="clear" w:color="auto" w:fill="FFFFFF"/>
        </w:rPr>
        <w:t>6）法律、行政法规规定的其他条件。</w:t>
      </w:r>
    </w:p>
    <w:p>
      <w:pPr>
        <w:spacing w:line="360" w:lineRule="auto"/>
        <w:rPr>
          <w:rFonts w:ascii="宋体" w:hAnsi="宋体"/>
          <w:sz w:val="24"/>
          <w:shd w:val="clear" w:color="auto" w:fill="FFFFFF"/>
        </w:rPr>
      </w:pPr>
      <w:r>
        <w:rPr>
          <w:rFonts w:hint="eastAsia" w:ascii="宋体" w:hAnsi="宋体"/>
          <w:sz w:val="24"/>
          <w:shd w:val="clear" w:color="auto" w:fill="FFFFFF"/>
        </w:rPr>
        <w:t>（2）制造商须具备国家质量监督检验检疫总局颁发的《中华人民共和国特种设备制造许可证》自动扶梯C级（含）以上；代理商需具备国家质量监督检验检疫总局颁发的《中华人民共和国特种设备安装改造维修许可证》（安装、维修）电梯C级(含)以上资质；</w:t>
      </w:r>
    </w:p>
    <w:p>
      <w:pPr>
        <w:spacing w:line="360" w:lineRule="auto"/>
        <w:rPr>
          <w:rFonts w:ascii="宋体" w:hAnsi="宋体"/>
          <w:sz w:val="24"/>
          <w:shd w:val="clear" w:color="auto" w:fill="FFFFFF"/>
        </w:rPr>
      </w:pPr>
      <w:r>
        <w:rPr>
          <w:rFonts w:hint="eastAsia" w:ascii="宋体" w:hAnsi="宋体"/>
          <w:sz w:val="24"/>
          <w:shd w:val="clear" w:color="auto" w:fill="FFFFFF"/>
        </w:rPr>
        <w:t>（3）投标人必须为前三年内（2016年4月1日至投标文件递交截止之日前）未被列入“信用中国”网站（www.creditchina.gov.cn）、中国政府采购网（www.ccgp.gov.cn）信用记录失信被执行人、重大税收违法案件当事人名单、政府采购严重违法失信行为记录名单的；</w:t>
      </w:r>
    </w:p>
    <w:p>
      <w:pPr>
        <w:spacing w:line="360" w:lineRule="auto"/>
        <w:rPr>
          <w:rFonts w:ascii="宋体" w:hAnsi="宋体"/>
          <w:sz w:val="24"/>
          <w:shd w:val="clear" w:color="auto" w:fill="FFFFFF"/>
        </w:rPr>
      </w:pPr>
      <w:r>
        <w:rPr>
          <w:rFonts w:hint="eastAsia" w:ascii="宋体" w:hAnsi="宋体"/>
          <w:sz w:val="24"/>
          <w:shd w:val="clear" w:color="auto" w:fill="FFFFFF"/>
        </w:rPr>
        <w:t>（4）不同投标人的法人、单位负责人不是同一人也不存在直接控股、管理关系；</w:t>
      </w:r>
    </w:p>
    <w:p>
      <w:pPr>
        <w:spacing w:line="360" w:lineRule="auto"/>
        <w:rPr>
          <w:rFonts w:ascii="宋体" w:hAnsi="宋体" w:cs="宋体"/>
          <w:kern w:val="0"/>
          <w:sz w:val="24"/>
        </w:rPr>
      </w:pPr>
      <w:r>
        <w:rPr>
          <w:rFonts w:hint="eastAsia" w:ascii="宋体" w:hAnsi="宋体" w:cs="宋体"/>
          <w:kern w:val="0"/>
          <w:sz w:val="24"/>
        </w:rPr>
        <w:t>（5）</w:t>
      </w:r>
      <w:r>
        <w:rPr>
          <w:rFonts w:ascii="宋体" w:hAnsi="宋体"/>
          <w:sz w:val="24"/>
        </w:rPr>
        <w:t>投标人必须向采购代理机构购买招标文件并登记备案，未向</w:t>
      </w:r>
      <w:r>
        <w:rPr>
          <w:rFonts w:hint="eastAsia" w:ascii="宋体" w:hAnsi="宋体"/>
          <w:sz w:val="24"/>
        </w:rPr>
        <w:t>采购代理机构</w:t>
      </w:r>
      <w:r>
        <w:rPr>
          <w:rFonts w:ascii="宋体" w:hAnsi="宋体"/>
          <w:sz w:val="24"/>
        </w:rPr>
        <w:t>购买招标文件并登记备案的无资格参加本次投标</w:t>
      </w:r>
      <w:r>
        <w:rPr>
          <w:rFonts w:hint="eastAsia" w:ascii="宋体" w:hAnsi="宋体"/>
          <w:sz w:val="24"/>
        </w:rPr>
        <w:t>；</w:t>
      </w:r>
    </w:p>
    <w:p>
      <w:pPr>
        <w:spacing w:line="360" w:lineRule="auto"/>
        <w:rPr>
          <w:rFonts w:ascii="宋体" w:hAnsi="宋体"/>
          <w:sz w:val="24"/>
          <w:shd w:val="clear" w:color="auto" w:fill="FFFFFF"/>
        </w:rPr>
      </w:pPr>
      <w:r>
        <w:rPr>
          <w:rFonts w:hint="eastAsia" w:ascii="宋体" w:hAnsi="宋体"/>
          <w:sz w:val="24"/>
          <w:shd w:val="clear" w:color="auto" w:fill="FFFFFF"/>
        </w:rPr>
        <w:t>（6）本项目不接受联合体投标；</w:t>
      </w:r>
    </w:p>
    <w:p>
      <w:pPr>
        <w:spacing w:line="360" w:lineRule="auto"/>
        <w:rPr>
          <w:rFonts w:ascii="宋体" w:hAnsi="宋体"/>
          <w:sz w:val="24"/>
        </w:rPr>
      </w:pPr>
      <w:r>
        <w:rPr>
          <w:rFonts w:hint="eastAsia" w:ascii="宋体" w:hAnsi="宋体"/>
          <w:sz w:val="24"/>
          <w:shd w:val="clear" w:color="auto" w:fill="FFFFFF"/>
        </w:rPr>
        <w:t>（6）</w:t>
      </w:r>
      <w:r>
        <w:rPr>
          <w:rFonts w:ascii="宋体" w:hAnsi="宋体"/>
          <w:sz w:val="24"/>
        </w:rPr>
        <w:t>本项目</w:t>
      </w:r>
      <w:r>
        <w:rPr>
          <w:rFonts w:hint="eastAsia" w:ascii="宋体" w:hAnsi="宋体"/>
          <w:sz w:val="24"/>
        </w:rPr>
        <w:t>不</w:t>
      </w:r>
      <w:r>
        <w:rPr>
          <w:rFonts w:ascii="宋体" w:hAnsi="宋体"/>
          <w:sz w:val="24"/>
        </w:rPr>
        <w:t>接受进口产品</w:t>
      </w:r>
      <w:r>
        <w:rPr>
          <w:rFonts w:hint="eastAsia" w:ascii="宋体" w:hAnsi="宋体"/>
          <w:sz w:val="24"/>
        </w:rPr>
        <w:t>；</w:t>
      </w:r>
    </w:p>
    <w:p>
      <w:pPr>
        <w:spacing w:line="360" w:lineRule="auto"/>
        <w:rPr>
          <w:rFonts w:ascii="宋体" w:hAnsi="宋体"/>
          <w:sz w:val="24"/>
        </w:rPr>
      </w:pPr>
      <w:r>
        <w:rPr>
          <w:rFonts w:hint="eastAsia" w:ascii="宋体" w:hAnsi="宋体"/>
          <w:sz w:val="24"/>
        </w:rPr>
        <w:t>（7）本项目非</w:t>
      </w:r>
      <w:r>
        <w:rPr>
          <w:rFonts w:hAnsi="宋体"/>
          <w:sz w:val="24"/>
        </w:rPr>
        <w:t>专门面向中小企业或小型、微型企业</w:t>
      </w:r>
      <w:r>
        <w:rPr>
          <w:rFonts w:hint="eastAsia" w:hAnsi="宋体"/>
          <w:sz w:val="24"/>
        </w:rPr>
        <w:t>、</w:t>
      </w:r>
      <w:r>
        <w:rPr>
          <w:rFonts w:hint="eastAsia"/>
          <w:sz w:val="24"/>
        </w:rPr>
        <w:t>监狱、戒毒企业或残疾人福利性单位</w:t>
      </w:r>
      <w:r>
        <w:rPr>
          <w:rFonts w:hAnsi="宋体"/>
          <w:sz w:val="24"/>
        </w:rPr>
        <w:t>采购</w:t>
      </w:r>
      <w:r>
        <w:rPr>
          <w:rFonts w:hint="eastAsia" w:hAnsi="宋体"/>
          <w:sz w:val="24"/>
        </w:rPr>
        <w:t>。</w:t>
      </w:r>
    </w:p>
    <w:p>
      <w:pPr>
        <w:spacing w:line="360" w:lineRule="auto"/>
        <w:rPr>
          <w:rFonts w:ascii="宋体" w:hAnsi="宋体"/>
          <w:sz w:val="24"/>
        </w:rPr>
      </w:pPr>
      <w:r>
        <w:rPr>
          <w:rFonts w:hint="eastAsia" w:ascii="宋体" w:hAnsi="宋体"/>
          <w:sz w:val="24"/>
        </w:rPr>
        <w:t>7、获取招标文件时间期限：</w:t>
      </w:r>
      <w:r>
        <w:rPr>
          <w:rFonts w:hint="eastAsia"/>
          <w:sz w:val="24"/>
          <w:u w:val="none"/>
        </w:rPr>
        <w:t>2019年4月</w:t>
      </w:r>
      <w:r>
        <w:rPr>
          <w:rFonts w:hint="eastAsia"/>
          <w:sz w:val="24"/>
          <w:u w:val="none"/>
          <w:lang w:val="en-US" w:eastAsia="zh-CN"/>
        </w:rPr>
        <w:t>23</w:t>
      </w:r>
      <w:r>
        <w:rPr>
          <w:rFonts w:hint="eastAsia"/>
          <w:sz w:val="24"/>
          <w:u w:val="none"/>
        </w:rPr>
        <w:t>日至</w:t>
      </w:r>
      <w:r>
        <w:rPr>
          <w:sz w:val="24"/>
          <w:u w:val="none"/>
        </w:rPr>
        <w:t xml:space="preserve"> </w:t>
      </w:r>
      <w:r>
        <w:rPr>
          <w:rFonts w:hint="eastAsia"/>
          <w:sz w:val="24"/>
          <w:u w:val="none"/>
        </w:rPr>
        <w:t>2019年4月</w:t>
      </w:r>
      <w:r>
        <w:rPr>
          <w:rFonts w:hint="eastAsia"/>
          <w:sz w:val="24"/>
          <w:u w:val="none"/>
          <w:lang w:val="en-US" w:eastAsia="zh-CN"/>
        </w:rPr>
        <w:t>29</w:t>
      </w:r>
      <w:r>
        <w:rPr>
          <w:rFonts w:hint="eastAsia"/>
          <w:sz w:val="24"/>
          <w:u w:val="none"/>
        </w:rPr>
        <w:t>日</w:t>
      </w:r>
      <w:r>
        <w:rPr>
          <w:rFonts w:hint="eastAsia" w:ascii="宋体" w:hAnsi="宋体"/>
          <w:sz w:val="24"/>
          <w:u w:val="none"/>
        </w:rPr>
        <w:t>（</w:t>
      </w:r>
      <w:r>
        <w:rPr>
          <w:rFonts w:hint="eastAsia" w:ascii="宋体" w:hAnsi="宋体"/>
          <w:sz w:val="24"/>
        </w:rPr>
        <w:t>节假日除外）</w:t>
      </w:r>
      <w:r>
        <w:rPr>
          <w:rFonts w:ascii="宋体" w:hAnsi="宋体"/>
          <w:sz w:val="24"/>
        </w:rPr>
        <w:t>，每日9：</w:t>
      </w:r>
      <w:r>
        <w:rPr>
          <w:rFonts w:hint="eastAsia" w:ascii="宋体" w:hAnsi="宋体"/>
          <w:sz w:val="24"/>
        </w:rPr>
        <w:t>0</w:t>
      </w:r>
      <w:r>
        <w:rPr>
          <w:rFonts w:ascii="宋体" w:hAnsi="宋体"/>
          <w:sz w:val="24"/>
        </w:rPr>
        <w:t>0至17：</w:t>
      </w:r>
      <w:r>
        <w:rPr>
          <w:rFonts w:hint="eastAsia" w:ascii="宋体" w:hAnsi="宋体"/>
          <w:sz w:val="24"/>
        </w:rPr>
        <w:t>0</w:t>
      </w:r>
      <w:r>
        <w:rPr>
          <w:rFonts w:ascii="宋体" w:hAnsi="宋体"/>
          <w:sz w:val="24"/>
        </w:rPr>
        <w:t>0时（北京时间）。</w:t>
      </w:r>
    </w:p>
    <w:p>
      <w:pPr>
        <w:spacing w:line="360" w:lineRule="auto"/>
        <w:rPr>
          <w:rFonts w:ascii="宋体" w:hAnsi="宋体"/>
          <w:sz w:val="24"/>
        </w:rPr>
      </w:pPr>
      <w:r>
        <w:rPr>
          <w:rFonts w:hint="eastAsia" w:ascii="宋体" w:hAnsi="宋体"/>
          <w:sz w:val="24"/>
        </w:rPr>
        <w:t>8、</w:t>
      </w:r>
      <w:r>
        <w:rPr>
          <w:rFonts w:hint="eastAsia" w:ascii="宋体" w:hAnsi="宋体" w:cs="宋体"/>
          <w:kern w:val="0"/>
          <w:sz w:val="24"/>
        </w:rPr>
        <w:t>获取招标文件地点</w:t>
      </w:r>
      <w:r>
        <w:rPr>
          <w:rFonts w:hint="eastAsia" w:ascii="宋体" w:hAnsi="宋体"/>
          <w:sz w:val="24"/>
        </w:rPr>
        <w:t>：北京华采招标代理有限公司（北京市丰台区广安路9号国投财富广场6号楼1518室）。</w:t>
      </w:r>
    </w:p>
    <w:p>
      <w:pPr>
        <w:spacing w:line="360" w:lineRule="auto"/>
      </w:pPr>
      <w:r>
        <w:rPr>
          <w:rFonts w:hint="eastAsia" w:ascii="宋体" w:hAnsi="宋体"/>
          <w:sz w:val="24"/>
        </w:rPr>
        <w:t>9、获取</w:t>
      </w:r>
      <w:r>
        <w:rPr>
          <w:rFonts w:hint="eastAsia" w:ascii="宋体" w:hAnsi="宋体" w:cs="宋体"/>
          <w:kern w:val="0"/>
          <w:sz w:val="24"/>
        </w:rPr>
        <w:t>招标文件</w:t>
      </w:r>
      <w:r>
        <w:rPr>
          <w:rFonts w:hint="eastAsia" w:ascii="宋体" w:hAnsi="宋体"/>
          <w:sz w:val="24"/>
        </w:rPr>
        <w:t>方式：现场（本项目获取招标文件时无需提供资料）</w:t>
      </w:r>
    </w:p>
    <w:p>
      <w:pPr>
        <w:spacing w:line="360" w:lineRule="auto"/>
        <w:rPr>
          <w:rFonts w:ascii="宋体" w:hAnsi="宋体"/>
          <w:sz w:val="24"/>
        </w:rPr>
      </w:pPr>
      <w:r>
        <w:rPr>
          <w:rFonts w:hint="eastAsia" w:ascii="宋体" w:hAnsi="宋体"/>
          <w:sz w:val="24"/>
        </w:rPr>
        <w:t>10、</w:t>
      </w:r>
      <w:r>
        <w:rPr>
          <w:rFonts w:hint="eastAsia" w:ascii="宋体" w:hAnsi="宋体" w:cs="宋体"/>
          <w:kern w:val="0"/>
          <w:sz w:val="24"/>
        </w:rPr>
        <w:t>招标文件售价</w:t>
      </w:r>
      <w:r>
        <w:rPr>
          <w:rFonts w:hint="eastAsia" w:ascii="宋体" w:hAnsi="宋体"/>
          <w:sz w:val="24"/>
        </w:rPr>
        <w:t>：</w:t>
      </w:r>
      <w:r>
        <w:rPr>
          <w:rFonts w:hint="eastAsia" w:ascii="宋体" w:hAnsi="宋体"/>
          <w:kern w:val="0"/>
          <w:sz w:val="24"/>
        </w:rPr>
        <w:t>500</w:t>
      </w:r>
      <w:r>
        <w:rPr>
          <w:rFonts w:hint="eastAsia" w:ascii="宋体" w:hAnsi="宋体" w:cs="宋体"/>
          <w:kern w:val="0"/>
          <w:sz w:val="24"/>
        </w:rPr>
        <w:t>元人民币每本（含电子版）</w:t>
      </w:r>
      <w:r>
        <w:rPr>
          <w:rFonts w:hint="eastAsia" w:ascii="宋体" w:hAnsi="宋体"/>
          <w:sz w:val="24"/>
        </w:rPr>
        <w:t>，招标文件售后不退。</w:t>
      </w:r>
    </w:p>
    <w:p>
      <w:pPr>
        <w:spacing w:line="360" w:lineRule="auto"/>
        <w:rPr>
          <w:rFonts w:ascii="宋体" w:hAnsi="宋体"/>
          <w:sz w:val="24"/>
        </w:rPr>
      </w:pPr>
      <w:r>
        <w:rPr>
          <w:rFonts w:hint="eastAsia" w:ascii="宋体" w:hAnsi="宋体"/>
          <w:sz w:val="24"/>
        </w:rPr>
        <w:t>11、投标文件递交时间：</w:t>
      </w:r>
      <w:r>
        <w:rPr>
          <w:rFonts w:hint="eastAsia"/>
          <w:sz w:val="24"/>
          <w:u w:val="none"/>
        </w:rPr>
        <w:t>2019年5月</w:t>
      </w:r>
      <w:r>
        <w:rPr>
          <w:rFonts w:hint="eastAsia"/>
          <w:sz w:val="24"/>
          <w:u w:val="none"/>
          <w:lang w:val="en-US" w:eastAsia="zh-CN"/>
        </w:rPr>
        <w:t>15</w:t>
      </w:r>
      <w:r>
        <w:rPr>
          <w:rFonts w:hint="eastAsia"/>
          <w:sz w:val="24"/>
          <w:u w:val="none"/>
        </w:rPr>
        <w:t>日上午</w:t>
      </w:r>
      <w:r>
        <w:rPr>
          <w:rFonts w:hint="eastAsia"/>
          <w:sz w:val="24"/>
          <w:u w:val="none"/>
          <w:lang w:val="en-US" w:eastAsia="zh-CN"/>
        </w:rPr>
        <w:t>09：00</w:t>
      </w:r>
      <w:r>
        <w:rPr>
          <w:rFonts w:hint="eastAsia" w:ascii="宋体" w:hAnsi="宋体"/>
          <w:sz w:val="24"/>
          <w:u w:val="none"/>
        </w:rPr>
        <w:t>—09</w:t>
      </w:r>
      <w:r>
        <w:rPr>
          <w:rFonts w:hint="eastAsia" w:ascii="宋体" w:hAnsi="宋体"/>
          <w:sz w:val="24"/>
          <w:u w:val="none"/>
          <w:lang w:eastAsia="zh-CN"/>
        </w:rPr>
        <w:t>：</w:t>
      </w:r>
      <w:r>
        <w:rPr>
          <w:rFonts w:hint="eastAsia" w:ascii="宋体" w:hAnsi="宋体"/>
          <w:sz w:val="24"/>
          <w:u w:val="none"/>
        </w:rPr>
        <w:t>3</w:t>
      </w:r>
      <w:r>
        <w:rPr>
          <w:rFonts w:ascii="宋体" w:hAnsi="宋体"/>
          <w:sz w:val="24"/>
          <w:u w:val="none"/>
        </w:rPr>
        <w:t>0时（北京时间）</w:t>
      </w:r>
      <w:r>
        <w:rPr>
          <w:rFonts w:hint="eastAsia" w:ascii="宋体" w:hAnsi="宋体"/>
          <w:sz w:val="24"/>
          <w:u w:val="none"/>
        </w:rPr>
        <w:t>，逾期送达或者不符合规定的投标文件将被拒绝。</w:t>
      </w:r>
    </w:p>
    <w:p>
      <w:pPr>
        <w:spacing w:line="360" w:lineRule="auto"/>
        <w:rPr>
          <w:rFonts w:ascii="宋体" w:hAnsi="宋体"/>
          <w:sz w:val="24"/>
        </w:rPr>
      </w:pPr>
      <w:r>
        <w:rPr>
          <w:rFonts w:hint="eastAsia" w:ascii="宋体" w:hAnsi="宋体"/>
          <w:sz w:val="24"/>
        </w:rPr>
        <w:t>12、投标文件递交截止时间暨开标时间：</w:t>
      </w:r>
      <w:r>
        <w:rPr>
          <w:rFonts w:hint="eastAsia" w:ascii="宋体" w:hAnsi="宋体"/>
          <w:sz w:val="24"/>
          <w:u w:val="none"/>
        </w:rPr>
        <w:t>2019年5月</w:t>
      </w:r>
      <w:r>
        <w:rPr>
          <w:rFonts w:hint="eastAsia" w:ascii="宋体" w:hAnsi="宋体"/>
          <w:sz w:val="24"/>
          <w:u w:val="none"/>
          <w:lang w:val="en-US" w:eastAsia="zh-CN"/>
        </w:rPr>
        <w:t>15</w:t>
      </w:r>
      <w:r>
        <w:rPr>
          <w:rFonts w:hint="eastAsia" w:ascii="宋体" w:hAnsi="宋体"/>
          <w:sz w:val="24"/>
          <w:u w:val="none"/>
        </w:rPr>
        <w:t>日上午09:30</w:t>
      </w:r>
      <w:r>
        <w:rPr>
          <w:rFonts w:ascii="宋体" w:hAnsi="宋体"/>
          <w:sz w:val="24"/>
          <w:u w:val="none"/>
        </w:rPr>
        <w:t>（北京时间）</w:t>
      </w:r>
      <w:r>
        <w:rPr>
          <w:rFonts w:hint="eastAsia" w:ascii="宋体" w:hAnsi="宋体"/>
          <w:sz w:val="24"/>
        </w:rPr>
        <w:t>。</w:t>
      </w:r>
    </w:p>
    <w:p>
      <w:pPr>
        <w:spacing w:line="360" w:lineRule="auto"/>
        <w:rPr>
          <w:rFonts w:ascii="宋体" w:hAnsi="宋体"/>
          <w:sz w:val="24"/>
        </w:rPr>
      </w:pPr>
      <w:r>
        <w:rPr>
          <w:rFonts w:hint="eastAsia" w:ascii="宋体" w:hAnsi="宋体"/>
          <w:sz w:val="24"/>
        </w:rPr>
        <w:t>13、投标文件递交地点暨开标地点：</w:t>
      </w:r>
      <w:r>
        <w:rPr>
          <w:rFonts w:hint="eastAsia" w:ascii="宋体" w:hAnsi="宋体"/>
          <w:sz w:val="24"/>
          <w:u w:val="none"/>
        </w:rPr>
        <w:t>北京市丰台区广安路9号国投财富广场6号楼150</w:t>
      </w:r>
      <w:r>
        <w:rPr>
          <w:rFonts w:hint="eastAsia" w:ascii="宋体" w:hAnsi="宋体"/>
          <w:sz w:val="24"/>
          <w:u w:val="none"/>
          <w:lang w:val="en-US" w:eastAsia="zh-CN"/>
        </w:rPr>
        <w:t>6</w:t>
      </w:r>
      <w:r>
        <w:rPr>
          <w:rFonts w:hint="eastAsia" w:ascii="宋体" w:hAnsi="宋体"/>
          <w:sz w:val="24"/>
          <w:u w:val="none"/>
        </w:rPr>
        <w:t>室</w:t>
      </w:r>
      <w:r>
        <w:rPr>
          <w:rFonts w:hint="eastAsia"/>
          <w:sz w:val="24"/>
          <w:u w:val="none"/>
        </w:rPr>
        <w:t>。</w:t>
      </w:r>
    </w:p>
    <w:p>
      <w:pPr>
        <w:spacing w:line="360" w:lineRule="auto"/>
        <w:rPr>
          <w:rFonts w:ascii="宋体" w:hAnsi="宋体" w:cs="宋体"/>
          <w:kern w:val="0"/>
          <w:sz w:val="24"/>
        </w:rPr>
      </w:pPr>
      <w:r>
        <w:rPr>
          <w:rFonts w:hint="eastAsia" w:ascii="宋体" w:hAnsi="宋体" w:cs="宋体"/>
          <w:kern w:val="0"/>
          <w:sz w:val="24"/>
        </w:rPr>
        <w:t>14、评标方法：综合评分法。</w:t>
      </w:r>
    </w:p>
    <w:p>
      <w:pPr>
        <w:spacing w:line="360" w:lineRule="auto"/>
        <w:rPr>
          <w:rFonts w:ascii="宋体" w:hAnsi="宋体" w:cs="宋体"/>
          <w:kern w:val="0"/>
          <w:sz w:val="24"/>
        </w:rPr>
      </w:pPr>
      <w:r>
        <w:rPr>
          <w:rFonts w:hint="eastAsia" w:ascii="宋体" w:hAnsi="宋体"/>
          <w:sz w:val="24"/>
        </w:rPr>
        <w:t>15、公告期限：5个工作日。</w:t>
      </w:r>
    </w:p>
    <w:p>
      <w:pPr>
        <w:spacing w:line="360" w:lineRule="auto"/>
        <w:rPr>
          <w:rFonts w:ascii="宋体" w:hAnsi="宋体" w:cs="宋体"/>
          <w:kern w:val="0"/>
          <w:sz w:val="24"/>
        </w:rPr>
      </w:pPr>
      <w:r>
        <w:rPr>
          <w:rFonts w:hint="eastAsia" w:ascii="宋体" w:hAnsi="宋体" w:cs="宋体"/>
          <w:color w:val="000000"/>
          <w:sz w:val="24"/>
        </w:rPr>
        <w:t>16、本项目需要落实的政府采购政策：节约能源、保护环境、扶持不发达地区和少数民族地区、促进中小微企业发展、支持监狱、戒毒企业发展、促进残疾人就业等政府采购政策。</w:t>
      </w:r>
    </w:p>
    <w:p>
      <w:pPr>
        <w:spacing w:line="360" w:lineRule="auto"/>
        <w:rPr>
          <w:rFonts w:ascii="宋体" w:hAnsi="宋体"/>
          <w:sz w:val="24"/>
        </w:rPr>
        <w:sectPr>
          <w:footerReference r:id="rId9" w:type="first"/>
          <w:pgSz w:w="11907" w:h="16840"/>
          <w:pgMar w:top="1560" w:right="1417" w:bottom="1089" w:left="1276" w:header="851" w:footer="1117" w:gutter="0"/>
          <w:cols w:space="720" w:num="1"/>
          <w:titlePg/>
          <w:docGrid w:linePitch="312" w:charSpace="0"/>
        </w:sectPr>
      </w:pPr>
      <w:r>
        <w:rPr>
          <w:rFonts w:hint="eastAsia" w:ascii="宋体" w:hAnsi="宋体" w:cs="宋体"/>
          <w:kern w:val="0"/>
          <w:sz w:val="24"/>
        </w:rPr>
        <w:t>17、</w:t>
      </w:r>
      <w:r>
        <w:rPr>
          <w:rFonts w:hint="eastAsia" w:ascii="宋体" w:hAnsi="宋体"/>
          <w:sz w:val="24"/>
        </w:rPr>
        <w:t>本项目招标公告在中国政府采购网（http://www.ccgp.gov.cn/）、北京市政府采购网（</w:t>
      </w:r>
      <w:r>
        <w:rPr>
          <w:rFonts w:ascii="宋体" w:hAnsi="宋体"/>
          <w:sz w:val="24"/>
        </w:rPr>
        <w:t>http://www.ccgp-beijing.gov.cn/</w:t>
      </w:r>
      <w:r>
        <w:rPr>
          <w:rFonts w:hint="eastAsia" w:ascii="宋体" w:hAnsi="宋体"/>
          <w:sz w:val="24"/>
        </w:rPr>
        <w:t>）同时发布。</w:t>
      </w:r>
    </w:p>
    <w:p>
      <w:pPr>
        <w:spacing w:line="360" w:lineRule="auto"/>
        <w:rPr>
          <w:rFonts w:ascii="宋体" w:hAnsi="宋体"/>
          <w:sz w:val="24"/>
        </w:rPr>
      </w:pPr>
    </w:p>
    <w:p>
      <w:pPr>
        <w:pStyle w:val="2"/>
        <w:spacing w:before="0" w:line="360" w:lineRule="auto"/>
        <w:rPr>
          <w:sz w:val="24"/>
        </w:rPr>
      </w:pPr>
      <w:bookmarkStart w:id="7" w:name="_Toc6665505"/>
      <w:bookmarkStart w:id="8" w:name="_Toc310195691"/>
      <w:r>
        <w:rPr>
          <w:rFonts w:hint="eastAsia"/>
          <w:iCs/>
        </w:rPr>
        <w:t xml:space="preserve">第二章  </w:t>
      </w:r>
      <w:r>
        <w:rPr>
          <w:rFonts w:hint="eastAsia"/>
        </w:rPr>
        <w:t>投标人须知资料表</w:t>
      </w:r>
      <w:bookmarkEnd w:id="7"/>
      <w:bookmarkEnd w:id="8"/>
    </w:p>
    <w:p>
      <w:pPr>
        <w:spacing w:line="360" w:lineRule="auto"/>
        <w:ind w:firstLine="480"/>
        <w:rPr>
          <w:rFonts w:ascii="宋体" w:hAnsi="宋体"/>
          <w:sz w:val="24"/>
        </w:rPr>
      </w:pPr>
      <w:r>
        <w:rPr>
          <w:rFonts w:hint="eastAsia" w:ascii="宋体" w:hAnsi="宋体"/>
          <w:sz w:val="24"/>
        </w:rPr>
        <w:t>本资料表是对投标人须知的具体补充和说明，如有矛盾，应以本资料表为准。</w:t>
      </w:r>
    </w:p>
    <w:tbl>
      <w:tblPr>
        <w:tblStyle w:val="47"/>
        <w:tblW w:w="9705" w:type="dxa"/>
        <w:tblInd w:w="-2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34"/>
        <w:gridCol w:w="86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55" w:hRule="atLeast"/>
        </w:trPr>
        <w:tc>
          <w:tcPr>
            <w:tcW w:w="1034" w:type="dxa"/>
            <w:tcBorders>
              <w:top w:val="single" w:color="auto" w:sz="12" w:space="0"/>
            </w:tcBorders>
            <w:vAlign w:val="center"/>
          </w:tcPr>
          <w:p>
            <w:pPr>
              <w:spacing w:line="450" w:lineRule="exact"/>
              <w:jc w:val="center"/>
              <w:rPr>
                <w:rFonts w:ascii="宋体" w:hAnsi="宋体"/>
                <w:b/>
                <w:sz w:val="24"/>
              </w:rPr>
            </w:pPr>
            <w:r>
              <w:rPr>
                <w:rFonts w:ascii="宋体" w:hAnsi="宋体"/>
                <w:b/>
                <w:sz w:val="24"/>
              </w:rPr>
              <w:t>条款号</w:t>
            </w:r>
          </w:p>
        </w:tc>
        <w:tc>
          <w:tcPr>
            <w:tcW w:w="8671" w:type="dxa"/>
            <w:tcBorders>
              <w:top w:val="single" w:color="auto" w:sz="12" w:space="0"/>
            </w:tcBorders>
            <w:vAlign w:val="center"/>
          </w:tcPr>
          <w:p>
            <w:pPr>
              <w:spacing w:line="450" w:lineRule="exact"/>
              <w:jc w:val="center"/>
              <w:rPr>
                <w:rFonts w:ascii="宋体" w:hAnsi="宋体"/>
                <w:b/>
                <w:sz w:val="24"/>
              </w:rPr>
            </w:pPr>
            <w:r>
              <w:rPr>
                <w:rFonts w:ascii="宋体" w:hAnsi="宋体"/>
                <w:b/>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1" w:hRule="atLeast"/>
        </w:trPr>
        <w:tc>
          <w:tcPr>
            <w:tcW w:w="1034" w:type="dxa"/>
            <w:vAlign w:val="center"/>
          </w:tcPr>
          <w:p>
            <w:pPr>
              <w:spacing w:line="450" w:lineRule="exact"/>
              <w:jc w:val="center"/>
              <w:rPr>
                <w:rFonts w:ascii="宋体" w:hAnsi="宋体"/>
                <w:sz w:val="24"/>
              </w:rPr>
            </w:pPr>
            <w:r>
              <w:rPr>
                <w:rFonts w:ascii="宋体" w:hAnsi="宋体"/>
                <w:sz w:val="24"/>
              </w:rPr>
              <w:t>1.1</w:t>
            </w:r>
          </w:p>
        </w:tc>
        <w:tc>
          <w:tcPr>
            <w:tcW w:w="8671" w:type="dxa"/>
            <w:vAlign w:val="center"/>
          </w:tcPr>
          <w:p>
            <w:pPr>
              <w:spacing w:line="360" w:lineRule="auto"/>
              <w:rPr>
                <w:rFonts w:ascii="宋体" w:hAnsi="宋体"/>
                <w:sz w:val="24"/>
              </w:rPr>
            </w:pPr>
            <w:r>
              <w:rPr>
                <w:rFonts w:hint="eastAsia" w:ascii="宋体" w:hAnsi="宋体"/>
                <w:sz w:val="24"/>
              </w:rPr>
              <w:t>采购人：北京舞蹈学院</w:t>
            </w:r>
          </w:p>
          <w:p>
            <w:pPr>
              <w:spacing w:line="360" w:lineRule="auto"/>
              <w:rPr>
                <w:rFonts w:hint="eastAsia" w:ascii="ˎ̥" w:hAnsi="ˎ̥" w:cs="宋体"/>
                <w:kern w:val="0"/>
                <w:sz w:val="24"/>
              </w:rPr>
            </w:pPr>
            <w:r>
              <w:rPr>
                <w:rFonts w:hint="eastAsia" w:ascii="宋体" w:hAnsi="宋体"/>
                <w:sz w:val="24"/>
              </w:rPr>
              <w:t>联系地址：北京市海淀区万寿寺路1号</w:t>
            </w:r>
          </w:p>
          <w:p>
            <w:pPr>
              <w:spacing w:line="360" w:lineRule="auto"/>
              <w:rPr>
                <w:rFonts w:hint="eastAsia" w:ascii="ˎ̥" w:hAnsi="ˎ̥" w:cs="宋体"/>
                <w:kern w:val="0"/>
                <w:sz w:val="24"/>
              </w:rPr>
            </w:pPr>
            <w:r>
              <w:rPr>
                <w:rFonts w:ascii="宋体" w:hAnsi="宋体"/>
                <w:sz w:val="24"/>
              </w:rPr>
              <w:t>联系人</w:t>
            </w:r>
            <w:r>
              <w:rPr>
                <w:rFonts w:hint="eastAsia" w:ascii="宋体" w:hAnsi="宋体"/>
                <w:sz w:val="24"/>
              </w:rPr>
              <w:t>：龚老师</w:t>
            </w:r>
          </w:p>
          <w:p>
            <w:pPr>
              <w:spacing w:line="360" w:lineRule="auto"/>
              <w:rPr>
                <w:rFonts w:ascii="宋体" w:hAnsi="宋体"/>
                <w:sz w:val="24"/>
              </w:rPr>
            </w:pPr>
            <w:r>
              <w:rPr>
                <w:rFonts w:hint="eastAsia" w:ascii="ˎ̥" w:hAnsi="ˎ̥" w:cs="宋体"/>
                <w:kern w:val="0"/>
                <w:sz w:val="24"/>
              </w:rPr>
              <w:t>联系方式：</w:t>
            </w:r>
            <w:r>
              <w:rPr>
                <w:rFonts w:hint="eastAsia" w:ascii="宋体" w:hAnsi="宋体"/>
                <w:sz w:val="24"/>
              </w:rPr>
              <w:t>010-68936112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53" w:hRule="atLeast"/>
        </w:trPr>
        <w:tc>
          <w:tcPr>
            <w:tcW w:w="1034" w:type="dxa"/>
            <w:vAlign w:val="center"/>
          </w:tcPr>
          <w:p>
            <w:pPr>
              <w:spacing w:line="450" w:lineRule="exact"/>
              <w:jc w:val="center"/>
              <w:rPr>
                <w:rFonts w:ascii="宋体" w:hAnsi="宋体"/>
                <w:sz w:val="24"/>
              </w:rPr>
            </w:pPr>
            <w:r>
              <w:rPr>
                <w:rFonts w:ascii="宋体" w:hAnsi="宋体"/>
                <w:sz w:val="24"/>
              </w:rPr>
              <w:t>1．2</w:t>
            </w:r>
          </w:p>
        </w:tc>
        <w:tc>
          <w:tcPr>
            <w:tcW w:w="8671" w:type="dxa"/>
            <w:vAlign w:val="center"/>
          </w:tcPr>
          <w:p>
            <w:pPr>
              <w:spacing w:line="360" w:lineRule="auto"/>
              <w:rPr>
                <w:rFonts w:ascii="宋体" w:hAnsi="宋体"/>
                <w:sz w:val="24"/>
              </w:rPr>
            </w:pPr>
            <w:r>
              <w:rPr>
                <w:rFonts w:ascii="宋体" w:hAnsi="宋体"/>
                <w:sz w:val="24"/>
              </w:rPr>
              <w:t>采购代理机构</w:t>
            </w:r>
            <w:r>
              <w:rPr>
                <w:rFonts w:hint="eastAsia" w:ascii="宋体" w:hAnsi="宋体"/>
                <w:sz w:val="24"/>
              </w:rPr>
              <w:t>名称</w:t>
            </w:r>
            <w:r>
              <w:rPr>
                <w:rFonts w:ascii="宋体" w:hAnsi="宋体"/>
                <w:sz w:val="24"/>
              </w:rPr>
              <w:t>：北京华采招标代理有限公司</w:t>
            </w:r>
          </w:p>
          <w:p>
            <w:pPr>
              <w:spacing w:line="360" w:lineRule="auto"/>
              <w:rPr>
                <w:rFonts w:ascii="宋体" w:hAnsi="宋体"/>
                <w:kern w:val="0"/>
                <w:sz w:val="24"/>
              </w:rPr>
            </w:pPr>
            <w:r>
              <w:rPr>
                <w:rFonts w:hint="eastAsia" w:ascii="宋体" w:hAnsi="宋体"/>
                <w:sz w:val="24"/>
              </w:rPr>
              <w:t>联系</w:t>
            </w:r>
            <w:r>
              <w:rPr>
                <w:rFonts w:ascii="宋体" w:hAnsi="宋体"/>
                <w:sz w:val="24"/>
              </w:rPr>
              <w:t>地址：</w:t>
            </w:r>
            <w:r>
              <w:rPr>
                <w:rFonts w:ascii="宋体" w:hAnsi="宋体"/>
                <w:kern w:val="0"/>
                <w:sz w:val="24"/>
              </w:rPr>
              <w:t>北京市丰台区广安路9号国投财富广场6号楼1518</w:t>
            </w:r>
            <w:r>
              <w:rPr>
                <w:rFonts w:hint="eastAsia" w:ascii="宋体" w:hAnsi="宋体"/>
                <w:kern w:val="0"/>
                <w:sz w:val="24"/>
              </w:rPr>
              <w:t>室</w:t>
            </w:r>
          </w:p>
          <w:p>
            <w:pPr>
              <w:spacing w:line="360" w:lineRule="auto"/>
              <w:rPr>
                <w:rFonts w:ascii="宋体" w:hAnsi="宋体"/>
                <w:sz w:val="24"/>
              </w:rPr>
            </w:pPr>
            <w:r>
              <w:rPr>
                <w:rFonts w:hint="eastAsia" w:ascii="宋体" w:hAnsi="宋体"/>
                <w:sz w:val="24"/>
              </w:rPr>
              <w:t>联系人</w:t>
            </w:r>
            <w:r>
              <w:rPr>
                <w:rFonts w:ascii="宋体" w:hAnsi="宋体"/>
                <w:sz w:val="24"/>
              </w:rPr>
              <w:t>：</w:t>
            </w:r>
            <w:r>
              <w:rPr>
                <w:rFonts w:hint="eastAsia" w:ascii="宋体" w:hAnsi="宋体"/>
                <w:sz w:val="24"/>
              </w:rPr>
              <w:t xml:space="preserve">贾东敏、金珊 </w:t>
            </w:r>
          </w:p>
          <w:p>
            <w:pPr>
              <w:spacing w:line="360" w:lineRule="auto"/>
              <w:rPr>
                <w:rFonts w:ascii="宋体" w:hAnsi="宋体"/>
                <w:sz w:val="24"/>
              </w:rPr>
            </w:pPr>
            <w:r>
              <w:rPr>
                <w:rFonts w:hint="eastAsia" w:ascii="ˎ̥" w:hAnsi="ˎ̥" w:cs="宋体"/>
                <w:kern w:val="0"/>
                <w:sz w:val="24"/>
              </w:rPr>
              <w:t>联系方式：</w:t>
            </w:r>
            <w:r>
              <w:rPr>
                <w:rFonts w:ascii="宋体" w:hAnsi="宋体"/>
                <w:sz w:val="24"/>
              </w:rPr>
              <w:t>010-63509799</w:t>
            </w:r>
            <w:r>
              <w:rPr>
                <w:rFonts w:hint="eastAsia" w:ascii="宋体" w:hAnsi="宋体"/>
                <w:sz w:val="24"/>
              </w:rPr>
              <w:t>-509/510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6" w:hRule="atLeast"/>
        </w:trPr>
        <w:tc>
          <w:tcPr>
            <w:tcW w:w="1034" w:type="dxa"/>
            <w:vAlign w:val="center"/>
          </w:tcPr>
          <w:p>
            <w:pPr>
              <w:spacing w:line="450" w:lineRule="exact"/>
              <w:jc w:val="center"/>
              <w:rPr>
                <w:rFonts w:ascii="宋体" w:hAnsi="宋体"/>
                <w:sz w:val="24"/>
              </w:rPr>
            </w:pPr>
            <w:r>
              <w:rPr>
                <w:rFonts w:ascii="宋体" w:hAnsi="宋体"/>
                <w:sz w:val="24"/>
              </w:rPr>
              <w:t>1.3.3</w:t>
            </w:r>
          </w:p>
        </w:tc>
        <w:tc>
          <w:tcPr>
            <w:tcW w:w="8671" w:type="dxa"/>
            <w:vAlign w:val="center"/>
          </w:tcPr>
          <w:p>
            <w:pPr>
              <w:rPr>
                <w:rFonts w:ascii="宋体" w:hAnsi="宋体"/>
                <w:sz w:val="24"/>
              </w:rPr>
            </w:pPr>
            <w:r>
              <w:rPr>
                <w:rFonts w:ascii="宋体" w:hAnsi="宋体"/>
                <w:sz w:val="24"/>
              </w:rPr>
              <w:t>是否接受联合体投标：</w:t>
            </w:r>
            <w:r>
              <w:rPr>
                <w:rFonts w:hint="eastAsia" w:ascii="宋体" w:hAnsi="宋体"/>
                <w:sz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trPr>
        <w:tc>
          <w:tcPr>
            <w:tcW w:w="1034" w:type="dxa"/>
            <w:vAlign w:val="center"/>
          </w:tcPr>
          <w:p>
            <w:pPr>
              <w:spacing w:line="450" w:lineRule="exact"/>
              <w:jc w:val="center"/>
              <w:rPr>
                <w:rFonts w:ascii="宋体" w:hAnsi="宋体"/>
                <w:sz w:val="24"/>
              </w:rPr>
            </w:pPr>
            <w:r>
              <w:rPr>
                <w:rFonts w:hint="eastAsia" w:ascii="宋体" w:hAnsi="宋体"/>
                <w:sz w:val="24"/>
              </w:rPr>
              <w:t>1.3.5</w:t>
            </w:r>
          </w:p>
        </w:tc>
        <w:tc>
          <w:tcPr>
            <w:tcW w:w="8671" w:type="dxa"/>
            <w:vAlign w:val="center"/>
          </w:tcPr>
          <w:p>
            <w:pPr>
              <w:rPr>
                <w:rFonts w:ascii="宋体" w:hAnsi="宋体"/>
                <w:sz w:val="24"/>
                <w:u w:val="single"/>
              </w:rPr>
            </w:pPr>
            <w:r>
              <w:rPr>
                <w:rFonts w:ascii="宋体" w:hAnsi="宋体"/>
                <w:sz w:val="24"/>
              </w:rPr>
              <w:t>本项目</w:t>
            </w:r>
            <w:r>
              <w:rPr>
                <w:rFonts w:hint="eastAsia" w:ascii="宋体" w:hAnsi="宋体"/>
                <w:sz w:val="24"/>
              </w:rPr>
              <w:t>是否</w:t>
            </w:r>
            <w:r>
              <w:rPr>
                <w:rFonts w:ascii="宋体" w:hAnsi="宋体"/>
                <w:sz w:val="24"/>
              </w:rPr>
              <w:t>接受进口产品</w:t>
            </w:r>
            <w:r>
              <w:rPr>
                <w:rFonts w:hint="eastAsia" w:ascii="宋体" w:hAnsi="宋体"/>
                <w:sz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28" w:hRule="atLeast"/>
        </w:trPr>
        <w:tc>
          <w:tcPr>
            <w:tcW w:w="1034" w:type="dxa"/>
            <w:vAlign w:val="center"/>
          </w:tcPr>
          <w:p>
            <w:pPr>
              <w:spacing w:line="450" w:lineRule="exact"/>
              <w:jc w:val="center"/>
              <w:rPr>
                <w:rFonts w:ascii="宋体" w:hAnsi="宋体"/>
                <w:sz w:val="24"/>
              </w:rPr>
            </w:pPr>
            <w:r>
              <w:rPr>
                <w:rFonts w:ascii="宋体" w:hAnsi="宋体"/>
                <w:sz w:val="24"/>
              </w:rPr>
              <w:t>1.3.</w:t>
            </w:r>
            <w:r>
              <w:rPr>
                <w:rFonts w:hint="eastAsia" w:ascii="宋体" w:hAnsi="宋体"/>
                <w:sz w:val="24"/>
              </w:rPr>
              <w:t>6</w:t>
            </w:r>
          </w:p>
        </w:tc>
        <w:tc>
          <w:tcPr>
            <w:tcW w:w="8671" w:type="dxa"/>
            <w:vAlign w:val="center"/>
          </w:tcPr>
          <w:p>
            <w:pPr>
              <w:spacing w:line="360" w:lineRule="auto"/>
              <w:rPr>
                <w:rFonts w:ascii="宋体" w:hAnsi="宋体"/>
                <w:sz w:val="24"/>
                <w:u w:val="single"/>
              </w:rPr>
            </w:pPr>
            <w:r>
              <w:rPr>
                <w:rFonts w:hAnsi="宋体"/>
                <w:sz w:val="24"/>
              </w:rPr>
              <w:t>是否专门面向中小企业或小型、微型企业</w:t>
            </w:r>
            <w:r>
              <w:rPr>
                <w:rFonts w:hint="eastAsia" w:hAnsi="宋体"/>
                <w:sz w:val="24"/>
              </w:rPr>
              <w:t>、</w:t>
            </w:r>
            <w:r>
              <w:rPr>
                <w:rFonts w:hint="eastAsia"/>
                <w:sz w:val="24"/>
              </w:rPr>
              <w:t>监狱、戒毒企业或残疾人福利性单位</w:t>
            </w:r>
            <w:r>
              <w:rPr>
                <w:rFonts w:hAnsi="宋体"/>
                <w:sz w:val="24"/>
              </w:rPr>
              <w:t>采购：</w:t>
            </w:r>
            <w:r>
              <w:rPr>
                <w:rFonts w:hint="eastAsia" w:hAnsi="宋体"/>
                <w:sz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28" w:hRule="atLeast"/>
        </w:trPr>
        <w:tc>
          <w:tcPr>
            <w:tcW w:w="1034" w:type="dxa"/>
            <w:vAlign w:val="center"/>
          </w:tcPr>
          <w:p>
            <w:pPr>
              <w:spacing w:line="450" w:lineRule="exact"/>
              <w:jc w:val="center"/>
              <w:rPr>
                <w:rFonts w:ascii="宋体" w:hAnsi="宋体"/>
                <w:sz w:val="24"/>
              </w:rPr>
            </w:pPr>
            <w:r>
              <w:rPr>
                <w:rFonts w:ascii="宋体" w:hAnsi="宋体"/>
                <w:sz w:val="24"/>
              </w:rPr>
              <w:t>2.1</w:t>
            </w:r>
          </w:p>
        </w:tc>
        <w:tc>
          <w:tcPr>
            <w:tcW w:w="8671" w:type="dxa"/>
            <w:vAlign w:val="center"/>
          </w:tcPr>
          <w:p>
            <w:pPr>
              <w:spacing w:line="360" w:lineRule="auto"/>
              <w:rPr>
                <w:rFonts w:ascii="宋体" w:hAnsi="宋体"/>
                <w:sz w:val="24"/>
              </w:rPr>
            </w:pPr>
            <w:r>
              <w:rPr>
                <w:rFonts w:hint="eastAsia" w:ascii="宋体" w:hAnsi="宋体"/>
                <w:sz w:val="24"/>
              </w:rPr>
              <w:t>资金来源：财政资金</w:t>
            </w:r>
          </w:p>
          <w:p>
            <w:pPr>
              <w:spacing w:line="360" w:lineRule="auto"/>
              <w:rPr>
                <w:rFonts w:ascii="宋体" w:hAnsi="宋体"/>
                <w:sz w:val="24"/>
              </w:rPr>
            </w:pPr>
            <w:r>
              <w:rPr>
                <w:rFonts w:hint="eastAsia" w:ascii="宋体" w:hAnsi="宋体"/>
                <w:sz w:val="24"/>
              </w:rPr>
              <w:t>本项目预算金额55万</w:t>
            </w:r>
            <w:r>
              <w:rPr>
                <w:rFonts w:hint="eastAsia" w:ascii="宋体" w:hAnsi="宋体"/>
                <w:sz w:val="24"/>
                <w:lang w:eastAsia="zh-CN"/>
              </w:rPr>
              <w:t>；</w:t>
            </w:r>
            <w:r>
              <w:rPr>
                <w:rFonts w:hint="eastAsia" w:ascii="宋体" w:hAnsi="宋体"/>
                <w:sz w:val="24"/>
              </w:rPr>
              <w:t>项目编号：JBZC2019_014219_302-JH0035-XM001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034" w:type="dxa"/>
            <w:tcBorders>
              <w:top w:val="single" w:color="auto" w:sz="4" w:space="0"/>
            </w:tcBorders>
            <w:vAlign w:val="center"/>
          </w:tcPr>
          <w:p>
            <w:pPr>
              <w:jc w:val="center"/>
              <w:rPr>
                <w:rFonts w:ascii="宋体" w:hAnsi="宋体"/>
                <w:sz w:val="24"/>
              </w:rPr>
            </w:pPr>
            <w:r>
              <w:rPr>
                <w:rFonts w:ascii="宋体" w:hAnsi="宋体"/>
                <w:sz w:val="24"/>
              </w:rPr>
              <w:t>11.1</w:t>
            </w:r>
          </w:p>
        </w:tc>
        <w:tc>
          <w:tcPr>
            <w:tcW w:w="8671" w:type="dxa"/>
            <w:tcBorders>
              <w:top w:val="single" w:color="auto" w:sz="4" w:space="0"/>
            </w:tcBorders>
            <w:vAlign w:val="center"/>
          </w:tcPr>
          <w:p>
            <w:pPr>
              <w:spacing w:line="360" w:lineRule="auto"/>
              <w:rPr>
                <w:rFonts w:ascii="宋体" w:hAnsi="宋体"/>
                <w:sz w:val="24"/>
              </w:rPr>
            </w:pPr>
            <w:r>
              <w:rPr>
                <w:rFonts w:ascii="宋体" w:hAnsi="宋体"/>
                <w:sz w:val="24"/>
              </w:rPr>
              <w:t>投标报价</w:t>
            </w:r>
            <w:r>
              <w:rPr>
                <w:rFonts w:hint="eastAsia" w:ascii="宋体" w:hAnsi="宋体"/>
                <w:sz w:val="24"/>
              </w:rPr>
              <w:t>：所有投标均以</w:t>
            </w:r>
            <w:r>
              <w:rPr>
                <w:rFonts w:ascii="宋体" w:hAnsi="宋体"/>
                <w:sz w:val="24"/>
              </w:rPr>
              <w:t>人民币</w:t>
            </w:r>
            <w:r>
              <w:rPr>
                <w:rFonts w:hint="eastAsia" w:ascii="宋体" w:hAnsi="宋体"/>
                <w:sz w:val="24"/>
              </w:rPr>
              <w:t>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034" w:type="dxa"/>
            <w:vAlign w:val="center"/>
          </w:tcPr>
          <w:p>
            <w:pPr>
              <w:jc w:val="center"/>
              <w:rPr>
                <w:rFonts w:ascii="宋体" w:hAnsi="宋体"/>
                <w:sz w:val="24"/>
              </w:rPr>
            </w:pPr>
            <w:r>
              <w:rPr>
                <w:rFonts w:ascii="宋体" w:hAnsi="宋体"/>
                <w:sz w:val="24"/>
              </w:rPr>
              <w:t>12.</w:t>
            </w:r>
            <w:r>
              <w:rPr>
                <w:rFonts w:hint="eastAsia" w:ascii="宋体" w:hAnsi="宋体"/>
                <w:sz w:val="24"/>
              </w:rPr>
              <w:t>2</w:t>
            </w:r>
          </w:p>
        </w:tc>
        <w:tc>
          <w:tcPr>
            <w:tcW w:w="8671" w:type="dxa"/>
            <w:vAlign w:val="center"/>
          </w:tcPr>
          <w:p>
            <w:pPr>
              <w:spacing w:line="360" w:lineRule="auto"/>
              <w:rPr>
                <w:rFonts w:ascii="宋体" w:hAnsi="宋体"/>
                <w:b/>
                <w:sz w:val="24"/>
              </w:rPr>
            </w:pPr>
            <w:r>
              <w:rPr>
                <w:rFonts w:ascii="宋体" w:hAnsi="宋体"/>
                <w:b/>
                <w:sz w:val="24"/>
              </w:rPr>
              <w:t>投标保证金</w:t>
            </w:r>
            <w:r>
              <w:rPr>
                <w:rFonts w:hint="eastAsia" w:ascii="宋体" w:hAnsi="宋体"/>
                <w:b/>
                <w:sz w:val="24"/>
              </w:rPr>
              <w:t>：小写：6</w:t>
            </w:r>
            <w:r>
              <w:rPr>
                <w:rFonts w:hint="eastAsia" w:ascii="宋体" w:hAnsi="宋体"/>
                <w:b/>
                <w:sz w:val="24"/>
                <w:lang w:val="en-US" w:eastAsia="zh-CN"/>
              </w:rPr>
              <w:t>266</w:t>
            </w:r>
            <w:r>
              <w:rPr>
                <w:rFonts w:hint="eastAsia" w:ascii="宋体" w:hAnsi="宋体"/>
                <w:b/>
                <w:sz w:val="24"/>
              </w:rPr>
              <w:t>.00元(大写：</w:t>
            </w:r>
            <w:r>
              <w:rPr>
                <w:rFonts w:hint="eastAsia" w:ascii="宋体" w:hAnsi="宋体"/>
                <w:b/>
                <w:sz w:val="24"/>
                <w:lang w:val="en-US" w:eastAsia="zh-CN"/>
              </w:rPr>
              <w:t>陆仟贰佰陆拾陆元整</w:t>
            </w:r>
            <w:r>
              <w:rPr>
                <w:rFonts w:hint="eastAsia" w:ascii="宋体" w:hAnsi="宋体"/>
                <w:b/>
                <w:sz w:val="24"/>
              </w:rPr>
              <w:t>)</w:t>
            </w:r>
          </w:p>
          <w:p>
            <w:pPr>
              <w:spacing w:line="360" w:lineRule="auto"/>
              <w:jc w:val="left"/>
              <w:rPr>
                <w:rFonts w:ascii="宋体" w:hAnsi="宋体"/>
                <w:b/>
                <w:sz w:val="24"/>
              </w:rPr>
            </w:pPr>
            <w:r>
              <w:rPr>
                <w:rFonts w:ascii="宋体" w:hAnsi="宋体"/>
                <w:b/>
                <w:sz w:val="24"/>
              </w:rPr>
              <w:t>递交时间：</w:t>
            </w:r>
            <w:r>
              <w:rPr>
                <w:rFonts w:hint="eastAsia" w:ascii="宋体" w:hAnsi="宋体"/>
                <w:b/>
                <w:sz w:val="24"/>
              </w:rPr>
              <w:t>同投标文件递交截止时间</w:t>
            </w:r>
          </w:p>
          <w:p>
            <w:pPr>
              <w:spacing w:line="360" w:lineRule="auto"/>
              <w:rPr>
                <w:rFonts w:ascii="宋体" w:hAnsi="宋体"/>
                <w:b/>
                <w:sz w:val="24"/>
              </w:rPr>
            </w:pPr>
            <w:r>
              <w:rPr>
                <w:rFonts w:ascii="宋体" w:hAnsi="宋体"/>
                <w:b/>
                <w:sz w:val="24"/>
              </w:rPr>
              <w:t>递交地点：北京华采招标代理有限公司(北京市丰台区广安路9号国投财富广场6号楼1518</w:t>
            </w:r>
            <w:r>
              <w:rPr>
                <w:rFonts w:hint="eastAsia" w:ascii="宋体" w:hAnsi="宋体"/>
                <w:b/>
                <w:sz w:val="24"/>
              </w:rPr>
              <w:t>室</w:t>
            </w:r>
            <w:r>
              <w:rPr>
                <w:rFonts w:ascii="宋体" w:hAnsi="宋体"/>
                <w:b/>
                <w:sz w:val="24"/>
              </w:rPr>
              <w:t>）。</w:t>
            </w:r>
          </w:p>
          <w:p>
            <w:pPr>
              <w:spacing w:line="360" w:lineRule="auto"/>
              <w:rPr>
                <w:rFonts w:ascii="宋体" w:hAnsi="宋体"/>
                <w:sz w:val="24"/>
              </w:rPr>
            </w:pPr>
            <w:r>
              <w:rPr>
                <w:rFonts w:hint="eastAsia" w:ascii="宋体" w:hAnsi="宋体"/>
                <w:sz w:val="24"/>
              </w:rPr>
              <w:t>提交</w:t>
            </w:r>
            <w:r>
              <w:rPr>
                <w:rFonts w:ascii="宋体" w:hAnsi="宋体"/>
                <w:sz w:val="24"/>
              </w:rPr>
              <w:t>投标保证金形式：</w:t>
            </w:r>
            <w:r>
              <w:rPr>
                <w:rFonts w:hint="eastAsia" w:ascii="宋体" w:hAnsi="宋体"/>
                <w:sz w:val="24"/>
              </w:rPr>
              <w:t>支票、汇款等非现金形式</w:t>
            </w:r>
          </w:p>
          <w:p>
            <w:pPr>
              <w:spacing w:line="360" w:lineRule="auto"/>
              <w:rPr>
                <w:rFonts w:ascii="宋体" w:hAnsi="宋体"/>
                <w:b/>
                <w:sz w:val="24"/>
              </w:rPr>
            </w:pPr>
            <w:r>
              <w:rPr>
                <w:rFonts w:ascii="宋体" w:hAnsi="宋体"/>
                <w:b/>
                <w:sz w:val="24"/>
              </w:rPr>
              <w:t>投标保证金汇款账户</w:t>
            </w:r>
            <w:r>
              <w:rPr>
                <w:rFonts w:hint="eastAsia" w:ascii="宋体" w:hAnsi="宋体"/>
                <w:b/>
                <w:sz w:val="24"/>
              </w:rPr>
              <w:t xml:space="preserve">： </w:t>
            </w:r>
          </w:p>
          <w:p>
            <w:pPr>
              <w:spacing w:line="360" w:lineRule="auto"/>
              <w:rPr>
                <w:rFonts w:ascii="宋体" w:hAnsi="宋体"/>
                <w:b/>
                <w:sz w:val="24"/>
              </w:rPr>
            </w:pPr>
            <w:r>
              <w:rPr>
                <w:rFonts w:ascii="宋体" w:hAnsi="宋体"/>
                <w:b/>
                <w:sz w:val="24"/>
              </w:rPr>
              <w:t>开户行名称：北京华采招标代理有限公司</w:t>
            </w:r>
          </w:p>
          <w:p>
            <w:pPr>
              <w:spacing w:line="360" w:lineRule="auto"/>
              <w:rPr>
                <w:rFonts w:ascii="宋体" w:hAnsi="宋体"/>
                <w:b/>
                <w:sz w:val="24"/>
              </w:rPr>
            </w:pPr>
            <w:r>
              <w:rPr>
                <w:rFonts w:ascii="宋体" w:hAnsi="宋体"/>
                <w:b/>
                <w:sz w:val="24"/>
              </w:rPr>
              <w:t>开 户 行：中国银行北京西站支行</w:t>
            </w:r>
            <w:r>
              <w:rPr>
                <w:rFonts w:hint="eastAsia" w:ascii="宋体" w:hAnsi="宋体"/>
                <w:b/>
                <w:sz w:val="24"/>
              </w:rPr>
              <w:t>（仅限投标保证金）</w:t>
            </w:r>
          </w:p>
          <w:p>
            <w:pPr>
              <w:spacing w:line="360" w:lineRule="auto"/>
              <w:rPr>
                <w:rFonts w:ascii="宋体" w:hAnsi="宋体"/>
                <w:b/>
                <w:sz w:val="24"/>
              </w:rPr>
            </w:pPr>
            <w:r>
              <w:rPr>
                <w:rFonts w:ascii="宋体" w:hAnsi="宋体"/>
                <w:b/>
                <w:sz w:val="24"/>
              </w:rPr>
              <w:t>账    号：3337 　6250 　2504</w:t>
            </w:r>
            <w:r>
              <w:rPr>
                <w:rFonts w:hint="eastAsia" w:ascii="宋体" w:hAnsi="宋体"/>
                <w:b/>
                <w:sz w:val="24"/>
              </w:rPr>
              <w:t>（汇款时请注明项目代理编号</w:t>
            </w:r>
            <w:r>
              <w:rPr>
                <w:rFonts w:ascii="宋体" w:hAnsi="宋体"/>
                <w:b/>
                <w:sz w:val="24"/>
              </w:rPr>
              <w:t>后五位）</w:t>
            </w:r>
          </w:p>
          <w:p>
            <w:pPr>
              <w:spacing w:line="360" w:lineRule="auto"/>
              <w:rPr>
                <w:rFonts w:ascii="宋体" w:hAnsi="宋体"/>
                <w:b/>
                <w:sz w:val="24"/>
              </w:rPr>
            </w:pPr>
            <w:r>
              <w:rPr>
                <w:rFonts w:hint="eastAsia" w:ascii="宋体" w:hAnsi="宋体"/>
                <w:b/>
                <w:sz w:val="24"/>
              </w:rPr>
              <w:t>行    号：1041   0000   4763</w:t>
            </w:r>
          </w:p>
          <w:p>
            <w:pPr>
              <w:spacing w:line="360" w:lineRule="auto"/>
              <w:rPr>
                <w:rFonts w:ascii="宋体" w:hAnsi="宋体"/>
                <w:sz w:val="24"/>
              </w:rPr>
            </w:pPr>
            <w:r>
              <w:rPr>
                <w:rFonts w:hint="eastAsia" w:ascii="宋体" w:hAnsi="宋体"/>
                <w:sz w:val="24"/>
              </w:rPr>
              <w:t>退还投标保证金形式：支票（北京地区单位）、电汇（外埠单位）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86" w:hRule="atLeast"/>
        </w:trPr>
        <w:tc>
          <w:tcPr>
            <w:tcW w:w="1034" w:type="dxa"/>
            <w:vAlign w:val="center"/>
          </w:tcPr>
          <w:p>
            <w:pPr>
              <w:spacing w:line="450" w:lineRule="exact"/>
              <w:jc w:val="center"/>
              <w:rPr>
                <w:rFonts w:ascii="宋体" w:hAnsi="宋体"/>
                <w:sz w:val="24"/>
              </w:rPr>
            </w:pPr>
            <w:r>
              <w:rPr>
                <w:rFonts w:ascii="宋体" w:hAnsi="宋体"/>
                <w:sz w:val="24"/>
              </w:rPr>
              <w:t>13.1</w:t>
            </w:r>
          </w:p>
        </w:tc>
        <w:tc>
          <w:tcPr>
            <w:tcW w:w="8671" w:type="dxa"/>
            <w:vAlign w:val="center"/>
          </w:tcPr>
          <w:p>
            <w:pPr>
              <w:spacing w:line="360" w:lineRule="auto"/>
              <w:rPr>
                <w:rFonts w:ascii="宋体" w:hAnsi="宋体"/>
                <w:b/>
                <w:sz w:val="24"/>
              </w:rPr>
            </w:pPr>
            <w:r>
              <w:rPr>
                <w:rFonts w:ascii="宋体" w:hAnsi="宋体"/>
                <w:sz w:val="24"/>
              </w:rPr>
              <w:t>投标有效期：</w:t>
            </w:r>
            <w:r>
              <w:rPr>
                <w:rFonts w:hint="eastAsia" w:ascii="宋体" w:hAnsi="宋体"/>
                <w:sz w:val="24"/>
              </w:rPr>
              <w:t>90</w:t>
            </w:r>
            <w:r>
              <w:rPr>
                <w:rFonts w:ascii="宋体" w:hAnsi="宋体"/>
                <w:sz w:val="24"/>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82" w:hRule="atLeast"/>
        </w:trPr>
        <w:tc>
          <w:tcPr>
            <w:tcW w:w="1034" w:type="dxa"/>
            <w:vAlign w:val="center"/>
          </w:tcPr>
          <w:p>
            <w:pPr>
              <w:jc w:val="center"/>
              <w:rPr>
                <w:rFonts w:ascii="宋体" w:hAnsi="宋体"/>
                <w:sz w:val="24"/>
              </w:rPr>
            </w:pPr>
            <w:r>
              <w:rPr>
                <w:rFonts w:ascii="宋体" w:hAnsi="宋体"/>
                <w:sz w:val="24"/>
              </w:rPr>
              <w:t>14.1</w:t>
            </w:r>
          </w:p>
        </w:tc>
        <w:tc>
          <w:tcPr>
            <w:tcW w:w="8671" w:type="dxa"/>
            <w:vAlign w:val="center"/>
          </w:tcPr>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投标文件资格册：正本：1份，副本：5份，电子版：1份。</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投标文件商务技术册：正本：1份，副本：5份，电子版：1份。</w:t>
            </w:r>
          </w:p>
          <w:p>
            <w:pPr>
              <w:spacing w:line="360" w:lineRule="auto"/>
              <w:rPr>
                <w:rFonts w:ascii="宋体" w:hAnsi="宋体"/>
                <w:sz w:val="24"/>
              </w:rPr>
            </w:pPr>
            <w:r>
              <w:rPr>
                <w:rFonts w:ascii="宋体" w:hAnsi="宋体"/>
                <w:sz w:val="24"/>
              </w:rPr>
              <w:t>（电子文件应提供</w:t>
            </w:r>
            <w:r>
              <w:rPr>
                <w:rFonts w:hint="eastAsia" w:ascii="宋体" w:hAnsi="宋体"/>
                <w:sz w:val="24"/>
              </w:rPr>
              <w:t>word文档和PDF盖章扫描件，</w:t>
            </w:r>
            <w:r>
              <w:rPr>
                <w:rFonts w:ascii="宋体" w:hAnsi="宋体"/>
                <w:sz w:val="24"/>
              </w:rPr>
              <w:t>存储载体为U盘）。</w:t>
            </w:r>
          </w:p>
          <w:p>
            <w:pPr>
              <w:spacing w:line="360" w:lineRule="auto"/>
              <w:rPr>
                <w:rFonts w:ascii="宋体" w:hAnsi="宋体"/>
                <w:sz w:val="24"/>
                <w:highlight w:val="green"/>
              </w:rPr>
            </w:pPr>
            <w:r>
              <w:rPr>
                <w:rFonts w:hint="eastAsia" w:ascii="宋体" w:hAnsi="宋体"/>
                <w:sz w:val="24"/>
              </w:rPr>
              <w:t>若投标文件正本和副本、电子文件不符，以纸质正本为准。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67" w:hRule="atLeast"/>
        </w:trPr>
        <w:tc>
          <w:tcPr>
            <w:tcW w:w="1034" w:type="dxa"/>
            <w:vAlign w:val="center"/>
          </w:tcPr>
          <w:p>
            <w:pPr>
              <w:jc w:val="center"/>
              <w:rPr>
                <w:rFonts w:ascii="宋体" w:hAnsi="宋体"/>
                <w:sz w:val="24"/>
              </w:rPr>
            </w:pPr>
            <w:r>
              <w:rPr>
                <w:rFonts w:ascii="宋体" w:hAnsi="宋体"/>
                <w:sz w:val="24"/>
              </w:rPr>
              <w:t>15.1</w:t>
            </w:r>
          </w:p>
        </w:tc>
        <w:tc>
          <w:tcPr>
            <w:tcW w:w="8671" w:type="dxa"/>
            <w:vAlign w:val="center"/>
          </w:tcPr>
          <w:p>
            <w:pPr>
              <w:pStyle w:val="117"/>
              <w:spacing w:line="360" w:lineRule="auto"/>
              <w:rPr>
                <w:rFonts w:ascii="宋体" w:hAnsi="宋体"/>
                <w:b/>
                <w:sz w:val="24"/>
              </w:rPr>
            </w:pPr>
            <w:r>
              <w:rPr>
                <w:rFonts w:ascii="宋体" w:hAnsi="宋体"/>
                <w:b/>
                <w:sz w:val="24"/>
              </w:rPr>
              <w:t>投标文件一律采用A4纸（图纸、彩页等除外）</w:t>
            </w:r>
            <w:r>
              <w:rPr>
                <w:rFonts w:hint="eastAsia" w:ascii="宋体" w:hAnsi="宋体"/>
                <w:b/>
                <w:sz w:val="24"/>
              </w:rPr>
              <w:t>，</w:t>
            </w:r>
            <w:r>
              <w:rPr>
                <w:rFonts w:ascii="宋体" w:hAnsi="宋体"/>
                <w:b/>
                <w:sz w:val="24"/>
              </w:rPr>
              <w:t>左侧装订。装订应牢固可靠，不易散落，不得采用活页式装订</w:t>
            </w:r>
            <w:r>
              <w:rPr>
                <w:rFonts w:hint="eastAsia" w:ascii="宋体" w:hAnsi="宋体"/>
                <w:b/>
                <w:sz w:val="24"/>
              </w:rPr>
              <w:t>，采购人或采购代理机构对因装订不牢造成的文件散失不负责任。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98" w:hRule="atLeast"/>
        </w:trPr>
        <w:tc>
          <w:tcPr>
            <w:tcW w:w="1034" w:type="dxa"/>
            <w:vAlign w:val="center"/>
          </w:tcPr>
          <w:p>
            <w:pPr>
              <w:jc w:val="center"/>
              <w:rPr>
                <w:rFonts w:ascii="宋体" w:hAnsi="宋体"/>
                <w:sz w:val="24"/>
              </w:rPr>
            </w:pPr>
            <w:r>
              <w:rPr>
                <w:rFonts w:ascii="宋体" w:hAnsi="宋体"/>
                <w:sz w:val="24"/>
              </w:rPr>
              <w:t>17.1</w:t>
            </w:r>
          </w:p>
        </w:tc>
        <w:tc>
          <w:tcPr>
            <w:tcW w:w="8671" w:type="dxa"/>
            <w:vAlign w:val="center"/>
          </w:tcPr>
          <w:p>
            <w:pPr>
              <w:spacing w:line="360" w:lineRule="auto"/>
              <w:rPr>
                <w:rFonts w:ascii="宋体" w:hAnsi="宋体"/>
                <w:sz w:val="24"/>
              </w:rPr>
            </w:pPr>
            <w:r>
              <w:rPr>
                <w:rFonts w:ascii="宋体" w:hAnsi="宋体"/>
                <w:sz w:val="24"/>
              </w:rPr>
              <w:t>递交投标文件截止时间暨开标时间：</w:t>
            </w:r>
            <w:r>
              <w:rPr>
                <w:rFonts w:hint="eastAsia" w:ascii="宋体" w:hAnsi="宋体"/>
                <w:sz w:val="24"/>
                <w:u w:val="none"/>
              </w:rPr>
              <w:t>2019年5月</w:t>
            </w:r>
            <w:r>
              <w:rPr>
                <w:rFonts w:hint="eastAsia" w:ascii="宋体" w:hAnsi="宋体"/>
                <w:sz w:val="24"/>
                <w:u w:val="none"/>
                <w:lang w:val="en-US" w:eastAsia="zh-CN"/>
              </w:rPr>
              <w:t>15</w:t>
            </w:r>
            <w:r>
              <w:rPr>
                <w:rFonts w:hint="eastAsia" w:ascii="宋体" w:hAnsi="宋体"/>
                <w:sz w:val="24"/>
                <w:u w:val="none"/>
              </w:rPr>
              <w:t>日上午09:30</w:t>
            </w:r>
            <w:r>
              <w:rPr>
                <w:rFonts w:ascii="宋体" w:hAnsi="宋体"/>
                <w:sz w:val="24"/>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 w:hRule="atLeast"/>
        </w:trPr>
        <w:tc>
          <w:tcPr>
            <w:tcW w:w="1034" w:type="dxa"/>
            <w:vAlign w:val="center"/>
          </w:tcPr>
          <w:p>
            <w:pPr>
              <w:spacing w:line="450" w:lineRule="exact"/>
              <w:jc w:val="center"/>
              <w:rPr>
                <w:rFonts w:ascii="宋体" w:hAnsi="宋体"/>
                <w:sz w:val="24"/>
              </w:rPr>
            </w:pPr>
            <w:r>
              <w:rPr>
                <w:rFonts w:ascii="宋体" w:hAnsi="宋体"/>
                <w:sz w:val="24"/>
              </w:rPr>
              <w:t>18.1</w:t>
            </w:r>
          </w:p>
        </w:tc>
        <w:tc>
          <w:tcPr>
            <w:tcW w:w="8671" w:type="dxa"/>
            <w:vAlign w:val="center"/>
          </w:tcPr>
          <w:p>
            <w:pPr>
              <w:spacing w:line="360" w:lineRule="auto"/>
              <w:rPr>
                <w:rFonts w:ascii="宋体" w:hAnsi="宋体"/>
                <w:sz w:val="24"/>
              </w:rPr>
            </w:pPr>
            <w:r>
              <w:rPr>
                <w:rFonts w:ascii="宋体" w:hAnsi="宋体"/>
                <w:sz w:val="24"/>
              </w:rPr>
              <w:t>投标文件递交地点暨开标地点：</w:t>
            </w:r>
            <w:r>
              <w:rPr>
                <w:rFonts w:hint="eastAsia" w:ascii="宋体" w:hAnsi="宋体"/>
                <w:sz w:val="24"/>
              </w:rPr>
              <w:t>北京市</w:t>
            </w:r>
            <w:r>
              <w:rPr>
                <w:rFonts w:ascii="宋体" w:hAnsi="宋体"/>
                <w:sz w:val="24"/>
              </w:rPr>
              <w:t>丰台区广安路</w:t>
            </w:r>
            <w:r>
              <w:rPr>
                <w:rFonts w:hint="eastAsia" w:ascii="宋体" w:hAnsi="宋体"/>
                <w:sz w:val="24"/>
              </w:rPr>
              <w:t>9号国投财富广场6号楼150</w:t>
            </w:r>
            <w:r>
              <w:rPr>
                <w:rFonts w:hint="eastAsia" w:ascii="宋体" w:hAnsi="宋体"/>
                <w:sz w:val="24"/>
                <w:lang w:val="en-US" w:eastAsia="zh-CN"/>
              </w:rPr>
              <w:t>6</w:t>
            </w:r>
            <w:r>
              <w:rPr>
                <w:rFonts w:hint="eastAsia" w:ascii="宋体" w:hAnsi="宋体"/>
                <w:sz w:val="24"/>
              </w:rPr>
              <w:t>室</w:t>
            </w:r>
            <w:r>
              <w:rPr>
                <w:rFonts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37" w:hRule="atLeast"/>
        </w:trPr>
        <w:tc>
          <w:tcPr>
            <w:tcW w:w="1034" w:type="dxa"/>
            <w:vAlign w:val="center"/>
          </w:tcPr>
          <w:p>
            <w:pPr>
              <w:spacing w:line="450" w:lineRule="exact"/>
              <w:jc w:val="center"/>
              <w:rPr>
                <w:rFonts w:ascii="宋体" w:hAnsi="宋体"/>
                <w:sz w:val="24"/>
              </w:rPr>
            </w:pPr>
            <w:r>
              <w:rPr>
                <w:rFonts w:ascii="宋体" w:hAnsi="宋体"/>
                <w:sz w:val="24"/>
              </w:rPr>
              <w:t>28.1</w:t>
            </w:r>
          </w:p>
        </w:tc>
        <w:tc>
          <w:tcPr>
            <w:tcW w:w="8671" w:type="dxa"/>
            <w:vAlign w:val="center"/>
          </w:tcPr>
          <w:p>
            <w:pPr>
              <w:spacing w:line="360" w:lineRule="auto"/>
              <w:rPr>
                <w:rFonts w:ascii="宋体" w:hAnsi="宋体"/>
                <w:sz w:val="24"/>
              </w:rPr>
            </w:pPr>
            <w:r>
              <w:rPr>
                <w:rFonts w:hint="eastAsia" w:ascii="宋体" w:hAnsi="宋体"/>
                <w:sz w:val="24"/>
              </w:rPr>
              <w:t>提交履约保证金的时间：本项目不适用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55" w:hRule="atLeast"/>
        </w:trPr>
        <w:tc>
          <w:tcPr>
            <w:tcW w:w="1034" w:type="dxa"/>
            <w:vAlign w:val="center"/>
          </w:tcPr>
          <w:p>
            <w:pPr>
              <w:spacing w:line="450" w:lineRule="exact"/>
              <w:jc w:val="center"/>
              <w:rPr>
                <w:rFonts w:ascii="宋体" w:hAnsi="宋体"/>
                <w:sz w:val="24"/>
              </w:rPr>
            </w:pPr>
            <w:r>
              <w:rPr>
                <w:rFonts w:ascii="宋体" w:hAnsi="宋体"/>
                <w:sz w:val="24"/>
              </w:rPr>
              <w:t>29.1</w:t>
            </w:r>
          </w:p>
        </w:tc>
        <w:tc>
          <w:tcPr>
            <w:tcW w:w="8671" w:type="dxa"/>
            <w:vAlign w:val="center"/>
          </w:tcPr>
          <w:p>
            <w:pPr>
              <w:spacing w:line="360" w:lineRule="auto"/>
              <w:rPr>
                <w:rFonts w:ascii="宋体" w:hAnsi="宋体"/>
                <w:sz w:val="24"/>
              </w:rPr>
            </w:pPr>
            <w:r>
              <w:rPr>
                <w:rFonts w:ascii="宋体" w:hAnsi="宋体"/>
                <w:sz w:val="24"/>
              </w:rPr>
              <w:t>中标人须向采购代理机构按如下标准和规定交纳中标服务费</w:t>
            </w:r>
            <w:r>
              <w:rPr>
                <w:rFonts w:hint="eastAsia" w:ascii="宋体" w:hAnsi="宋体"/>
                <w:sz w:val="24"/>
              </w:rPr>
              <w:t>：</w:t>
            </w:r>
          </w:p>
          <w:p>
            <w:pPr>
              <w:spacing w:line="360" w:lineRule="auto"/>
              <w:rPr>
                <w:rFonts w:ascii="宋体" w:hAnsi="宋体"/>
                <w:sz w:val="24"/>
              </w:rPr>
            </w:pPr>
            <w:r>
              <w:rPr>
                <w:rFonts w:ascii="宋体" w:hAnsi="宋体"/>
                <w:sz w:val="24"/>
              </w:rPr>
              <w:t>（1）以</w:t>
            </w:r>
            <w:r>
              <w:rPr>
                <w:rFonts w:hint="eastAsia" w:ascii="宋体" w:hAnsi="宋体"/>
                <w:sz w:val="24"/>
              </w:rPr>
              <w:t>中标金额</w:t>
            </w:r>
            <w:r>
              <w:rPr>
                <w:rFonts w:ascii="宋体" w:hAnsi="宋体"/>
                <w:sz w:val="24"/>
              </w:rPr>
              <w:t>作为收费的计算基数。</w:t>
            </w:r>
          </w:p>
          <w:p>
            <w:pPr>
              <w:widowControl/>
              <w:spacing w:line="360" w:lineRule="auto"/>
              <w:rPr>
                <w:rFonts w:ascii="宋体" w:hAnsi="宋体"/>
                <w:kern w:val="0"/>
                <w:sz w:val="24"/>
              </w:rPr>
            </w:pPr>
            <w:r>
              <w:rPr>
                <w:rFonts w:ascii="宋体" w:hAnsi="宋体"/>
                <w:sz w:val="24"/>
              </w:rPr>
              <w:t>（2）采购代理机构</w:t>
            </w:r>
            <w:r>
              <w:rPr>
                <w:rFonts w:hint="eastAsia" w:ascii="宋体" w:hAnsi="宋体"/>
                <w:sz w:val="24"/>
              </w:rPr>
              <w:t>参照原</w:t>
            </w:r>
            <w:r>
              <w:rPr>
                <w:rFonts w:ascii="宋体" w:hAnsi="宋体"/>
                <w:sz w:val="24"/>
              </w:rPr>
              <w:t>计价格[2002]1980号文、</w:t>
            </w:r>
            <w:r>
              <w:rPr>
                <w:rFonts w:ascii="宋体" w:hAnsi="宋体"/>
                <w:kern w:val="0"/>
                <w:sz w:val="24"/>
              </w:rPr>
              <w:t>发改办价格[2003]857号文及发改价格</w:t>
            </w:r>
            <w:r>
              <w:rPr>
                <w:rFonts w:ascii="宋体" w:hAnsi="宋体"/>
                <w:sz w:val="24"/>
              </w:rPr>
              <w:t>[2011]534</w:t>
            </w:r>
            <w:r>
              <w:rPr>
                <w:rFonts w:ascii="宋体" w:hAnsi="宋体"/>
                <w:kern w:val="0"/>
                <w:sz w:val="24"/>
              </w:rPr>
              <w:t>号文有关规定向</w:t>
            </w:r>
            <w:r>
              <w:rPr>
                <w:rFonts w:hint="eastAsia" w:ascii="宋体" w:hAnsi="宋体"/>
                <w:kern w:val="0"/>
                <w:sz w:val="24"/>
              </w:rPr>
              <w:t>中标人</w:t>
            </w:r>
            <w:r>
              <w:rPr>
                <w:rFonts w:ascii="宋体" w:hAnsi="宋体"/>
                <w:kern w:val="0"/>
                <w:sz w:val="24"/>
              </w:rPr>
              <w:t>收取</w:t>
            </w:r>
            <w:r>
              <w:rPr>
                <w:rFonts w:ascii="宋体" w:hAnsi="宋体"/>
                <w:sz w:val="24"/>
              </w:rPr>
              <w:t>中标服务费用。</w:t>
            </w:r>
          </w:p>
          <w:p>
            <w:pPr>
              <w:spacing w:line="360" w:lineRule="auto"/>
              <w:rPr>
                <w:rFonts w:ascii="宋体" w:hAnsi="宋体"/>
                <w:sz w:val="24"/>
              </w:rPr>
            </w:pPr>
            <w:r>
              <w:rPr>
                <w:rFonts w:ascii="宋体" w:hAnsi="宋体"/>
                <w:sz w:val="24"/>
              </w:rPr>
              <w:t>（3）中标服务费币种与中标签订合同的币种相同或</w:t>
            </w:r>
            <w:r>
              <w:rPr>
                <w:rFonts w:hint="eastAsia" w:ascii="宋体" w:hAnsi="宋体"/>
                <w:sz w:val="24"/>
              </w:rPr>
              <w:t>采购代理机构</w:t>
            </w:r>
            <w:r>
              <w:rPr>
                <w:rFonts w:ascii="宋体" w:hAnsi="宋体"/>
                <w:sz w:val="24"/>
              </w:rPr>
              <w:t>同意的币种</w:t>
            </w:r>
          </w:p>
          <w:p>
            <w:pPr>
              <w:spacing w:line="360" w:lineRule="auto"/>
              <w:rPr>
                <w:rFonts w:ascii="宋体" w:hAnsi="宋体"/>
                <w:sz w:val="24"/>
              </w:rPr>
            </w:pPr>
            <w:r>
              <w:rPr>
                <w:rFonts w:ascii="宋体" w:hAnsi="宋体"/>
                <w:sz w:val="24"/>
              </w:rPr>
              <w:t>（4）中标服务费的交纳方式：</w:t>
            </w:r>
          </w:p>
          <w:p>
            <w:pPr>
              <w:spacing w:line="360" w:lineRule="auto"/>
              <w:rPr>
                <w:rFonts w:ascii="宋体" w:hAnsi="宋体"/>
                <w:sz w:val="24"/>
              </w:rPr>
            </w:pPr>
            <w:r>
              <w:rPr>
                <w:rFonts w:ascii="宋体" w:hAnsi="宋体"/>
                <w:sz w:val="24"/>
              </w:rPr>
              <w:t>在投标时，投标人向采购代理机构送交中标服务费承诺书。</w:t>
            </w:r>
            <w:r>
              <w:rPr>
                <w:rFonts w:hint="eastAsia" w:ascii="宋体" w:hAnsi="宋体"/>
                <w:sz w:val="24"/>
              </w:rPr>
              <w:t>中标人</w:t>
            </w:r>
            <w:r>
              <w:rPr>
                <w:rFonts w:ascii="宋体" w:hAnsi="宋体"/>
                <w:sz w:val="24"/>
              </w:rPr>
              <w:t>在领取中标通知书时一次</w:t>
            </w:r>
            <w:r>
              <w:rPr>
                <w:rFonts w:hint="eastAsia" w:ascii="宋体" w:hAnsi="宋体"/>
                <w:sz w:val="24"/>
              </w:rPr>
              <w:t>性</w:t>
            </w:r>
            <w:r>
              <w:rPr>
                <w:rFonts w:ascii="宋体" w:hAnsi="宋体"/>
                <w:sz w:val="24"/>
              </w:rPr>
              <w:t>向采购代理机构交纳所有中标服务费。</w:t>
            </w:r>
          </w:p>
          <w:p>
            <w:pPr>
              <w:spacing w:line="360" w:lineRule="auto"/>
              <w:rPr>
                <w:rFonts w:ascii="宋体" w:hAnsi="宋体"/>
                <w:b/>
                <w:sz w:val="24"/>
              </w:rPr>
            </w:pPr>
            <w:r>
              <w:rPr>
                <w:rFonts w:hint="eastAsia" w:ascii="宋体" w:hAnsi="宋体"/>
                <w:b/>
                <w:sz w:val="24"/>
              </w:rPr>
              <w:t>服务费汇款账户：（</w:t>
            </w:r>
            <w:r>
              <w:rPr>
                <w:rFonts w:ascii="宋体" w:hAnsi="宋体"/>
                <w:sz w:val="24"/>
              </w:rPr>
              <w:t>交纳中标服务费</w:t>
            </w:r>
            <w:r>
              <w:rPr>
                <w:rFonts w:hint="eastAsia" w:ascii="宋体" w:hAnsi="宋体"/>
                <w:sz w:val="24"/>
              </w:rPr>
              <w:t>时</w:t>
            </w:r>
            <w:r>
              <w:rPr>
                <w:rFonts w:hint="eastAsia" w:ascii="宋体" w:hAnsi="宋体"/>
                <w:b/>
                <w:sz w:val="24"/>
              </w:rPr>
              <w:t>请备注项目代理编号）</w:t>
            </w:r>
          </w:p>
          <w:p>
            <w:pPr>
              <w:spacing w:line="360" w:lineRule="auto"/>
              <w:rPr>
                <w:rFonts w:ascii="宋体" w:hAnsi="宋体"/>
                <w:b/>
                <w:sz w:val="24"/>
              </w:rPr>
            </w:pPr>
            <w:r>
              <w:rPr>
                <w:rFonts w:ascii="宋体" w:hAnsi="宋体"/>
                <w:b/>
                <w:sz w:val="24"/>
              </w:rPr>
              <w:t>开户名</w:t>
            </w:r>
            <w:r>
              <w:rPr>
                <w:rFonts w:hint="eastAsia" w:ascii="宋体" w:hAnsi="宋体"/>
                <w:b/>
                <w:sz w:val="24"/>
              </w:rPr>
              <w:t>：</w:t>
            </w:r>
            <w:r>
              <w:rPr>
                <w:rFonts w:ascii="宋体" w:hAnsi="宋体"/>
                <w:b/>
                <w:sz w:val="24"/>
              </w:rPr>
              <w:t>北京华采招标代理有限公司</w:t>
            </w:r>
          </w:p>
          <w:p>
            <w:pPr>
              <w:spacing w:line="360" w:lineRule="auto"/>
              <w:rPr>
                <w:rFonts w:ascii="宋体" w:hAnsi="宋体"/>
                <w:b/>
                <w:sz w:val="24"/>
              </w:rPr>
            </w:pPr>
            <w:r>
              <w:rPr>
                <w:rFonts w:hint="eastAsia" w:ascii="宋体" w:hAnsi="宋体"/>
                <w:b/>
                <w:sz w:val="24"/>
              </w:rPr>
              <w:t>开户行：建行北京西客站支行</w:t>
            </w:r>
          </w:p>
          <w:p>
            <w:pPr>
              <w:spacing w:line="360" w:lineRule="auto"/>
              <w:rPr>
                <w:rFonts w:ascii="宋体" w:hAnsi="宋体"/>
                <w:b/>
                <w:sz w:val="24"/>
              </w:rPr>
            </w:pPr>
            <w:r>
              <w:rPr>
                <w:rFonts w:hint="eastAsia" w:ascii="宋体" w:hAnsi="宋体"/>
                <w:b/>
                <w:sz w:val="24"/>
              </w:rPr>
              <w:t>账号：1100  1028  0000  5300  6877</w:t>
            </w:r>
          </w:p>
          <w:p>
            <w:pPr>
              <w:spacing w:line="360" w:lineRule="auto"/>
              <w:rPr>
                <w:rFonts w:ascii="宋体" w:hAnsi="宋体"/>
                <w:sz w:val="24"/>
              </w:rPr>
            </w:pPr>
            <w:r>
              <w:rPr>
                <w:rFonts w:ascii="宋体" w:hAnsi="宋体"/>
                <w:b/>
                <w:sz w:val="24"/>
              </w:rPr>
              <w:t>行号：1051 0000 9047（102800）</w:t>
            </w:r>
          </w:p>
        </w:tc>
      </w:tr>
    </w:tbl>
    <w:p>
      <w:pPr>
        <w:spacing w:line="360" w:lineRule="auto"/>
        <w:rPr>
          <w:rFonts w:hAnsi="宋体"/>
          <w:sz w:val="24"/>
        </w:rPr>
      </w:pPr>
    </w:p>
    <w:p>
      <w:pPr>
        <w:pStyle w:val="2"/>
        <w:spacing w:before="0" w:line="360" w:lineRule="auto"/>
        <w:rPr>
          <w:rFonts w:hAnsi="宋体"/>
          <w:szCs w:val="28"/>
        </w:rPr>
      </w:pPr>
      <w:bookmarkStart w:id="9" w:name="_Toc310195692"/>
      <w:bookmarkStart w:id="10" w:name="_Toc6665506"/>
      <w:r>
        <w:rPr>
          <w:rFonts w:hint="eastAsia" w:hAnsi="宋体"/>
          <w:szCs w:val="28"/>
        </w:rPr>
        <w:t>第三章  投标人须知</w:t>
      </w:r>
      <w:bookmarkEnd w:id="9"/>
      <w:bookmarkEnd w:id="10"/>
    </w:p>
    <w:p>
      <w:pPr>
        <w:pStyle w:val="4"/>
        <w:spacing w:line="360" w:lineRule="auto"/>
        <w:ind w:left="899" w:hanging="899"/>
        <w:jc w:val="center"/>
        <w:rPr>
          <w:rFonts w:hint="default"/>
          <w:sz w:val="28"/>
          <w:szCs w:val="28"/>
        </w:rPr>
      </w:pPr>
      <w:bookmarkStart w:id="11" w:name="_Toc310195693"/>
      <w:bookmarkStart w:id="12" w:name="_Toc520356143"/>
      <w:bookmarkStart w:id="13" w:name="_Toc6665507"/>
      <w:bookmarkStart w:id="14" w:name="_Toc324255539"/>
      <w:r>
        <w:rPr>
          <w:sz w:val="28"/>
          <w:szCs w:val="28"/>
        </w:rPr>
        <w:t>一   说  明</w:t>
      </w:r>
      <w:bookmarkEnd w:id="11"/>
      <w:bookmarkEnd w:id="12"/>
      <w:bookmarkEnd w:id="13"/>
    </w:p>
    <w:p>
      <w:pPr>
        <w:pStyle w:val="4"/>
        <w:spacing w:line="360" w:lineRule="auto"/>
        <w:ind w:right="105" w:rightChars="50"/>
        <w:jc w:val="both"/>
        <w:rPr>
          <w:rFonts w:hint="default"/>
          <w:b/>
          <w:sz w:val="24"/>
        </w:rPr>
      </w:pPr>
      <w:bookmarkStart w:id="15" w:name="_Toc6665508"/>
      <w:r>
        <w:rPr>
          <w:b/>
          <w:sz w:val="24"/>
        </w:rPr>
        <w:t>1.采购人、采购代理机构及合格的投标人</w:t>
      </w:r>
      <w:bookmarkEnd w:id="14"/>
      <w:bookmarkEnd w:id="15"/>
    </w:p>
    <w:p>
      <w:pPr>
        <w:pStyle w:val="117"/>
        <w:spacing w:line="360" w:lineRule="auto"/>
        <w:rPr>
          <w:rFonts w:ascii="宋体" w:hAnsi="宋体"/>
          <w:sz w:val="24"/>
        </w:rPr>
      </w:pPr>
      <w:r>
        <w:rPr>
          <w:rFonts w:hint="eastAsia" w:ascii="宋体" w:hAnsi="宋体"/>
          <w:sz w:val="24"/>
        </w:rPr>
        <w:t>1.1 采购人：指依法进行政府采购的国家机关、事业单位、团体组织。本项目采购人为北京舞蹈学院。</w:t>
      </w:r>
    </w:p>
    <w:p>
      <w:pPr>
        <w:pStyle w:val="117"/>
        <w:spacing w:line="360" w:lineRule="auto"/>
        <w:rPr>
          <w:rFonts w:ascii="宋体" w:hAnsi="宋体"/>
          <w:sz w:val="24"/>
        </w:rPr>
      </w:pPr>
      <w:r>
        <w:rPr>
          <w:rFonts w:hint="eastAsia" w:ascii="宋体" w:hAnsi="宋体"/>
          <w:sz w:val="24"/>
        </w:rPr>
        <w:t>1.2 采购代理机构：受采购人委托，组织本次招标活动的采购代理机构。本项目采购代理机构为北京华采招标代理有限公司。</w:t>
      </w:r>
    </w:p>
    <w:p>
      <w:pPr>
        <w:pStyle w:val="117"/>
        <w:spacing w:line="360" w:lineRule="auto"/>
        <w:rPr>
          <w:rFonts w:ascii="宋体" w:hAnsi="宋体"/>
          <w:sz w:val="24"/>
        </w:rPr>
      </w:pPr>
      <w:r>
        <w:rPr>
          <w:rFonts w:hint="eastAsia" w:ascii="宋体" w:hAnsi="宋体"/>
          <w:sz w:val="24"/>
        </w:rPr>
        <w:t>1.3 合格的投标人</w:t>
      </w:r>
    </w:p>
    <w:p>
      <w:pPr>
        <w:pStyle w:val="117"/>
        <w:spacing w:line="360" w:lineRule="auto"/>
        <w:rPr>
          <w:rFonts w:ascii="宋体" w:hAnsi="宋体"/>
          <w:sz w:val="24"/>
        </w:rPr>
      </w:pPr>
      <w:r>
        <w:rPr>
          <w:rFonts w:hint="eastAsia" w:ascii="宋体" w:hAnsi="宋体"/>
          <w:sz w:val="24"/>
        </w:rPr>
        <w:t>1.3.1</w:t>
      </w:r>
      <w:r>
        <w:rPr>
          <w:rFonts w:ascii="宋体" w:hAnsi="宋体"/>
          <w:sz w:val="24"/>
        </w:rPr>
        <w:t>符合第一章投标邀请中“投标人资格</w:t>
      </w:r>
      <w:r>
        <w:rPr>
          <w:rFonts w:hint="eastAsia" w:ascii="宋体" w:hAnsi="宋体"/>
          <w:sz w:val="24"/>
        </w:rPr>
        <w:t>要求</w:t>
      </w:r>
      <w:r>
        <w:rPr>
          <w:rFonts w:ascii="宋体" w:hAnsi="宋体"/>
          <w:sz w:val="24"/>
        </w:rPr>
        <w:t>”中规定的</w:t>
      </w:r>
      <w:r>
        <w:rPr>
          <w:rFonts w:hint="eastAsia" w:ascii="宋体" w:hAnsi="宋体"/>
          <w:sz w:val="24"/>
        </w:rPr>
        <w:t>内容</w:t>
      </w:r>
      <w:r>
        <w:rPr>
          <w:rFonts w:ascii="宋体" w:hAnsi="宋体"/>
          <w:sz w:val="24"/>
        </w:rPr>
        <w:t>；</w:t>
      </w:r>
    </w:p>
    <w:p>
      <w:pPr>
        <w:pStyle w:val="117"/>
        <w:spacing w:line="360" w:lineRule="auto"/>
        <w:rPr>
          <w:rFonts w:ascii="宋体" w:hAnsi="宋体"/>
          <w:sz w:val="24"/>
        </w:rPr>
      </w:pPr>
      <w:r>
        <w:rPr>
          <w:rFonts w:hint="eastAsia" w:ascii="宋体" w:hAnsi="宋体"/>
          <w:sz w:val="24"/>
        </w:rPr>
        <w:t>1.3.2</w:t>
      </w:r>
      <w:r>
        <w:rPr>
          <w:rFonts w:ascii="宋体" w:hAnsi="宋体"/>
          <w:sz w:val="24"/>
        </w:rPr>
        <w:t>投标人必须向采购代理机构购买招标文件并登记备案，未向</w:t>
      </w:r>
      <w:r>
        <w:rPr>
          <w:rFonts w:hint="eastAsia" w:ascii="宋体" w:hAnsi="宋体"/>
          <w:sz w:val="24"/>
        </w:rPr>
        <w:t>采购代理机构</w:t>
      </w:r>
      <w:r>
        <w:rPr>
          <w:rFonts w:ascii="宋体" w:hAnsi="宋体"/>
          <w:sz w:val="24"/>
        </w:rPr>
        <w:t>购买招标文件并登记备案的无资格参加本次投标。</w:t>
      </w:r>
    </w:p>
    <w:p>
      <w:pPr>
        <w:pStyle w:val="117"/>
        <w:spacing w:line="360" w:lineRule="auto"/>
        <w:rPr>
          <w:rFonts w:ascii="宋体" w:hAnsi="宋体"/>
          <w:sz w:val="24"/>
        </w:rPr>
      </w:pPr>
      <w:r>
        <w:rPr>
          <w:rFonts w:hint="eastAsia" w:ascii="宋体" w:hAnsi="宋体"/>
          <w:sz w:val="24"/>
        </w:rPr>
        <w:t>1.3.3如投标人须知资料表中允许联合体投标，对联合体规定如下：</w:t>
      </w:r>
    </w:p>
    <w:p>
      <w:pPr>
        <w:pStyle w:val="117"/>
        <w:spacing w:line="360" w:lineRule="auto"/>
        <w:rPr>
          <w:rFonts w:ascii="宋体" w:hAnsi="宋体"/>
          <w:sz w:val="24"/>
        </w:rPr>
      </w:pPr>
      <w:r>
        <w:rPr>
          <w:rFonts w:hint="eastAsia" w:ascii="宋体" w:hAnsi="宋体"/>
          <w:sz w:val="24"/>
        </w:rPr>
        <w:t>1.3.</w:t>
      </w:r>
      <w:r>
        <w:rPr>
          <w:rFonts w:ascii="宋体" w:hAnsi="宋体"/>
          <w:sz w:val="24"/>
        </w:rPr>
        <w:t>3.</w:t>
      </w:r>
      <w:r>
        <w:rPr>
          <w:rFonts w:hint="eastAsia" w:ascii="宋体" w:hAnsi="宋体"/>
          <w:sz w:val="24"/>
        </w:rPr>
        <w:t>1两个以上的自然人、法人或者其他组织可以组成一个联合体，以一个投标人的身份共同参加政府采购。</w:t>
      </w:r>
    </w:p>
    <w:p>
      <w:pPr>
        <w:pStyle w:val="117"/>
        <w:spacing w:line="360" w:lineRule="auto"/>
        <w:rPr>
          <w:rFonts w:ascii="宋体" w:hAnsi="宋体"/>
          <w:sz w:val="24"/>
        </w:rPr>
      </w:pPr>
      <w:r>
        <w:rPr>
          <w:rFonts w:hint="eastAsia" w:ascii="宋体" w:hAnsi="宋体"/>
          <w:sz w:val="24"/>
        </w:rPr>
        <w:t>1.3.</w:t>
      </w:r>
      <w:r>
        <w:rPr>
          <w:rFonts w:ascii="宋体" w:hAnsi="宋体"/>
          <w:sz w:val="24"/>
        </w:rPr>
        <w:t>3.</w:t>
      </w:r>
      <w:r>
        <w:rPr>
          <w:rFonts w:hint="eastAsia" w:ascii="宋体" w:hAnsi="宋体"/>
          <w:sz w:val="24"/>
        </w:rPr>
        <w:t>2　以联合体形式进行政府采购的，参加联合体的投标人均应当具备本法第二十二条规定的条件。</w:t>
      </w:r>
    </w:p>
    <w:p>
      <w:pPr>
        <w:pStyle w:val="117"/>
        <w:spacing w:line="360" w:lineRule="auto"/>
        <w:rPr>
          <w:rFonts w:ascii="宋体" w:hAnsi="宋体"/>
          <w:sz w:val="24"/>
        </w:rPr>
      </w:pPr>
      <w:r>
        <w:rPr>
          <w:rFonts w:hint="eastAsia" w:ascii="宋体" w:hAnsi="宋体"/>
          <w:sz w:val="24"/>
        </w:rPr>
        <w:t>1.3.</w:t>
      </w:r>
      <w:r>
        <w:rPr>
          <w:rFonts w:ascii="宋体" w:hAnsi="宋体"/>
          <w:sz w:val="24"/>
        </w:rPr>
        <w:t>3.</w:t>
      </w:r>
      <w:r>
        <w:rPr>
          <w:rFonts w:hint="eastAsia" w:ascii="宋体" w:hAnsi="宋体"/>
          <w:sz w:val="24"/>
        </w:rPr>
        <w:t>3采购人根据采购项目对投标人的特殊要求，联合体中至少应当有一方符合其规定。</w:t>
      </w:r>
    </w:p>
    <w:p>
      <w:pPr>
        <w:pStyle w:val="117"/>
        <w:spacing w:line="360" w:lineRule="auto"/>
        <w:rPr>
          <w:rFonts w:ascii="宋体" w:hAnsi="宋体"/>
          <w:sz w:val="24"/>
        </w:rPr>
      </w:pPr>
      <w:r>
        <w:rPr>
          <w:rFonts w:hint="eastAsia" w:ascii="宋体" w:hAnsi="宋体"/>
          <w:sz w:val="24"/>
        </w:rPr>
        <w:t>1.3.</w:t>
      </w:r>
      <w:r>
        <w:rPr>
          <w:rFonts w:ascii="宋体" w:hAnsi="宋体"/>
          <w:sz w:val="24"/>
        </w:rPr>
        <w:t>3.</w:t>
      </w:r>
      <w:r>
        <w:rPr>
          <w:rFonts w:hint="eastAsia" w:ascii="宋体" w:hAnsi="宋体"/>
          <w:sz w:val="24"/>
        </w:rPr>
        <w:t>4联合体各方应签订联合协议，载明联合体各方承担的工作和义务，联合体各方应当共同与采购人签订采购合同，就采购合同约定的事项对采购人承担连带责任。</w:t>
      </w:r>
    </w:p>
    <w:p>
      <w:pPr>
        <w:pStyle w:val="117"/>
        <w:spacing w:line="360" w:lineRule="auto"/>
        <w:rPr>
          <w:rFonts w:ascii="宋体" w:hAnsi="宋体"/>
          <w:sz w:val="24"/>
        </w:rPr>
      </w:pPr>
      <w:r>
        <w:rPr>
          <w:rFonts w:hint="eastAsia" w:ascii="宋体" w:hAnsi="宋体"/>
          <w:sz w:val="24"/>
        </w:rPr>
        <w:t>1.3.</w:t>
      </w:r>
      <w:r>
        <w:rPr>
          <w:rFonts w:ascii="宋体" w:hAnsi="宋体"/>
          <w:sz w:val="24"/>
        </w:rPr>
        <w:t>3.</w:t>
      </w:r>
      <w:r>
        <w:rPr>
          <w:rFonts w:hint="eastAsia" w:ascii="宋体" w:hAnsi="宋体"/>
          <w:sz w:val="24"/>
        </w:rPr>
        <w:t>5大中型企业和其他自然人、法人或者其他组织与小型、微型企业组成联合体共同参加投标，联合协议中应写明小型、微型企业的协议合同金额占到联合协议合同总金额的比例。联合协议中约定，小型、微型企业的协议合同金额占到联合体协议合同总金额30%以上的，可给予联合体相应幅度的价格扣除。联合体各方均为小型、微型企业的，联合体视同为小型、微型企业（如适用）。</w:t>
      </w:r>
    </w:p>
    <w:p>
      <w:pPr>
        <w:pStyle w:val="117"/>
        <w:spacing w:line="360" w:lineRule="auto"/>
        <w:rPr>
          <w:rFonts w:ascii="宋体" w:hAnsi="宋体"/>
          <w:sz w:val="24"/>
        </w:rPr>
      </w:pPr>
      <w:r>
        <w:rPr>
          <w:rFonts w:hint="eastAsia" w:ascii="宋体" w:hAnsi="宋体"/>
          <w:sz w:val="24"/>
        </w:rPr>
        <w:t>1.3.</w:t>
      </w:r>
      <w:r>
        <w:rPr>
          <w:rFonts w:ascii="宋体" w:hAnsi="宋体"/>
          <w:sz w:val="24"/>
        </w:rPr>
        <w:t>3.</w:t>
      </w:r>
      <w:r>
        <w:rPr>
          <w:rFonts w:hint="eastAsia" w:ascii="宋体" w:hAnsi="宋体"/>
          <w:sz w:val="24"/>
        </w:rPr>
        <w:t>6联合体各方签订联合协议后，不得再以自己名义单独在同一项目中投标，也不得组成新的联合体参加同一项目投标。</w:t>
      </w:r>
    </w:p>
    <w:p>
      <w:pPr>
        <w:pStyle w:val="117"/>
        <w:adjustRightInd w:val="0"/>
        <w:snapToGrid w:val="0"/>
        <w:spacing w:line="360" w:lineRule="auto"/>
        <w:rPr>
          <w:rFonts w:asciiTheme="minorEastAsia" w:hAnsiTheme="minorEastAsia" w:eastAsiaTheme="minorEastAsia"/>
          <w:sz w:val="24"/>
        </w:rPr>
      </w:pPr>
      <w:r>
        <w:rPr>
          <w:rFonts w:hint="eastAsia" w:ascii="宋体" w:hAnsi="宋体"/>
          <w:sz w:val="24"/>
        </w:rPr>
        <w:t>1</w:t>
      </w:r>
      <w:r>
        <w:rPr>
          <w:rFonts w:ascii="宋体" w:hAnsi="宋体"/>
          <w:sz w:val="24"/>
        </w:rPr>
        <w:t>.3.</w:t>
      </w:r>
      <w:r>
        <w:rPr>
          <w:rFonts w:hint="eastAsia" w:ascii="宋体" w:hAnsi="宋体"/>
          <w:sz w:val="24"/>
        </w:rPr>
        <w:t>4</w:t>
      </w:r>
      <w:r>
        <w:rPr>
          <w:rFonts w:asciiTheme="minorEastAsia" w:hAnsiTheme="minorEastAsia" w:eastAsiaTheme="minorEastAsia"/>
          <w:sz w:val="24"/>
        </w:rPr>
        <w:t>信用信息</w:t>
      </w:r>
      <w:r>
        <w:rPr>
          <w:rFonts w:hint="eastAsia" w:asciiTheme="minorEastAsia" w:hAnsiTheme="minorEastAsia" w:eastAsiaTheme="minorEastAsia"/>
          <w:sz w:val="24"/>
        </w:rPr>
        <w:t>查询渠道：“信用</w:t>
      </w:r>
      <w:r>
        <w:rPr>
          <w:rFonts w:asciiTheme="minorEastAsia" w:hAnsiTheme="minorEastAsia" w:eastAsiaTheme="minorEastAsia"/>
          <w:sz w:val="24"/>
        </w:rPr>
        <w:t>中国”</w:t>
      </w:r>
      <w:r>
        <w:rPr>
          <w:rFonts w:hint="eastAsia" w:asciiTheme="minorEastAsia" w:hAnsiTheme="minorEastAsia" w:eastAsiaTheme="minorEastAsia"/>
          <w:sz w:val="24"/>
        </w:rPr>
        <w:t>网站（www.creditchina.gov.cn）、中国政府采购网（</w:t>
      </w:r>
      <w:r>
        <w:fldChar w:fldCharType="begin"/>
      </w:r>
      <w:r>
        <w:instrText xml:space="preserve"> HYPERLINK "http://www.ccgp.gov.cn" </w:instrText>
      </w:r>
      <w:r>
        <w:fldChar w:fldCharType="separate"/>
      </w:r>
      <w:r>
        <w:rPr>
          <w:rFonts w:hint="eastAsia" w:asciiTheme="minorEastAsia" w:hAnsiTheme="minorEastAsia" w:eastAsiaTheme="minorEastAsia"/>
          <w:sz w:val="24"/>
        </w:rPr>
        <w:t>www.ccgp.gov.cn</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w:t>
      </w:r>
    </w:p>
    <w:p>
      <w:pPr>
        <w:tabs>
          <w:tab w:val="left" w:pos="4725"/>
        </w:tabs>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信用信息查询记录和证据留存的具体方式：打印查询结果页面并加盖本单位公章，保存于投标文件中。</w:t>
      </w:r>
    </w:p>
    <w:p>
      <w:pPr>
        <w:tabs>
          <w:tab w:val="left" w:pos="4725"/>
        </w:tabs>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信用信息</w:t>
      </w:r>
      <w:r>
        <w:rPr>
          <w:rFonts w:hint="eastAsia" w:asciiTheme="minorEastAsia" w:hAnsiTheme="minorEastAsia" w:eastAsiaTheme="minorEastAsia"/>
          <w:sz w:val="24"/>
        </w:rPr>
        <w:t>查询截止时点：不得早于招标公告发布日期，投标人应保证所提供打印页面与投标截止时间查询结果一致。</w:t>
      </w:r>
    </w:p>
    <w:p>
      <w:pPr>
        <w:tabs>
          <w:tab w:val="left" w:pos="4725"/>
        </w:tabs>
        <w:adjustRightInd w:val="0"/>
        <w:snapToGrid w:val="0"/>
        <w:spacing w:line="360" w:lineRule="auto"/>
        <w:ind w:firstLine="480" w:firstLineChars="200"/>
      </w:pPr>
      <w:r>
        <w:rPr>
          <w:rFonts w:hint="eastAsia" w:asciiTheme="minorEastAsia" w:hAnsiTheme="minorEastAsia" w:eastAsiaTheme="minorEastAsia"/>
          <w:sz w:val="24"/>
        </w:rPr>
        <w:t>两个以上的自然人、法人或者其他组织组成一个联合体，以一个投标人的身份共同参加政府采购活动的，应当对所有联合体成员进行信用记录查询，联合体成员存在不良信用记录的，视同联合体存在不良信用记录。</w:t>
      </w:r>
    </w:p>
    <w:p>
      <w:pPr>
        <w:pStyle w:val="117"/>
        <w:spacing w:line="360" w:lineRule="auto"/>
        <w:rPr>
          <w:rFonts w:ascii="宋体" w:hAnsi="宋体"/>
          <w:sz w:val="24"/>
        </w:rPr>
      </w:pPr>
      <w:r>
        <w:rPr>
          <w:rFonts w:hint="eastAsia" w:ascii="宋体" w:hAnsi="宋体"/>
          <w:sz w:val="24"/>
        </w:rPr>
        <w:t>1.3.5</w:t>
      </w:r>
      <w:r>
        <w:rPr>
          <w:rFonts w:ascii="宋体" w:hAnsi="宋体"/>
          <w:sz w:val="24"/>
        </w:rPr>
        <w:t>本项目</w:t>
      </w:r>
      <w:r>
        <w:rPr>
          <w:rFonts w:hint="eastAsia" w:ascii="宋体" w:hAnsi="宋体"/>
          <w:sz w:val="24"/>
        </w:rPr>
        <w:t>是否</w:t>
      </w:r>
      <w:r>
        <w:rPr>
          <w:rFonts w:ascii="宋体" w:hAnsi="宋体"/>
          <w:sz w:val="24"/>
        </w:rPr>
        <w:t>接受进口产品</w:t>
      </w:r>
      <w:r>
        <w:rPr>
          <w:rFonts w:hint="eastAsia" w:ascii="宋体" w:hAnsi="宋体"/>
          <w:sz w:val="24"/>
        </w:rPr>
        <w:t>：详见投标人须知资料表。</w:t>
      </w:r>
    </w:p>
    <w:p>
      <w:pPr>
        <w:pStyle w:val="117"/>
        <w:spacing w:line="360" w:lineRule="auto"/>
        <w:rPr>
          <w:rFonts w:ascii="宋体" w:hAnsi="宋体"/>
          <w:sz w:val="24"/>
        </w:rPr>
      </w:pPr>
      <w:r>
        <w:rPr>
          <w:rFonts w:ascii="宋体" w:hAnsi="宋体"/>
          <w:sz w:val="24"/>
        </w:rPr>
        <w:t>1.3.</w:t>
      </w:r>
      <w:r>
        <w:rPr>
          <w:rFonts w:hint="eastAsia" w:ascii="宋体" w:hAnsi="宋体"/>
          <w:sz w:val="24"/>
        </w:rPr>
        <w:t>6若投标人须知资料表中写明专门面向中、小、微型企业、监狱、戒毒企业或残疾人福利性单位产品采购的，如投标人所投产品为非中小企业产品、监狱、戒毒企业或残疾人福利性单位产品，则其投标无效（如适用）。</w:t>
      </w:r>
    </w:p>
    <w:p>
      <w:pPr>
        <w:pStyle w:val="117"/>
        <w:spacing w:line="360" w:lineRule="auto"/>
        <w:rPr>
          <w:rFonts w:ascii="宋体" w:hAnsi="宋体"/>
          <w:sz w:val="24"/>
        </w:rPr>
      </w:pPr>
      <w:r>
        <w:rPr>
          <w:rFonts w:hint="eastAsia" w:ascii="宋体" w:hAnsi="宋体"/>
          <w:sz w:val="24"/>
        </w:rPr>
        <w:t>1.4凡为本次采购项目提供整体设计、规范编制或者项目管理、监理、检测等服务的投标人，不得再参加该采购项目的其他采购活动。</w:t>
      </w:r>
    </w:p>
    <w:p>
      <w:pPr>
        <w:pStyle w:val="117"/>
        <w:spacing w:line="360" w:lineRule="auto"/>
        <w:rPr>
          <w:rFonts w:ascii="宋体" w:hAnsi="宋体"/>
          <w:sz w:val="24"/>
        </w:rPr>
      </w:pPr>
      <w:r>
        <w:rPr>
          <w:rFonts w:hint="eastAsia" w:ascii="宋体" w:hAnsi="宋体"/>
          <w:sz w:val="24"/>
        </w:rPr>
        <w:t>1.5凡法律或财务上不能独立合法经营，或在法律、财务上不能独立于本项目采购人、采购代理机构的任何机构，不得参加投标。</w:t>
      </w:r>
    </w:p>
    <w:p>
      <w:pPr>
        <w:pStyle w:val="4"/>
        <w:spacing w:line="360" w:lineRule="auto"/>
        <w:rPr>
          <w:rFonts w:hint="default"/>
          <w:b/>
          <w:sz w:val="24"/>
        </w:rPr>
      </w:pPr>
      <w:bookmarkStart w:id="16" w:name="_Toc324255540"/>
      <w:bookmarkStart w:id="17" w:name="_Toc6665509"/>
      <w:bookmarkStart w:id="18" w:name="_Toc310195695"/>
      <w:r>
        <w:rPr>
          <w:b/>
          <w:sz w:val="24"/>
        </w:rPr>
        <w:t>2.资金来源</w:t>
      </w:r>
      <w:bookmarkEnd w:id="16"/>
      <w:bookmarkEnd w:id="17"/>
      <w:bookmarkEnd w:id="18"/>
    </w:p>
    <w:p>
      <w:pPr>
        <w:pStyle w:val="117"/>
        <w:spacing w:line="360" w:lineRule="auto"/>
        <w:rPr>
          <w:rFonts w:ascii="宋体" w:hAnsi="宋体"/>
          <w:sz w:val="24"/>
        </w:rPr>
      </w:pPr>
      <w:bookmarkStart w:id="19" w:name="_Toc310195696"/>
      <w:bookmarkStart w:id="20" w:name="_Toc520356145"/>
      <w:r>
        <w:rPr>
          <w:rFonts w:ascii="宋体" w:hAnsi="宋体"/>
          <w:sz w:val="24"/>
        </w:rPr>
        <w:t>2.1</w:t>
      </w:r>
      <w:r>
        <w:rPr>
          <w:rFonts w:hint="eastAsia" w:ascii="宋体" w:hAnsi="宋体"/>
          <w:sz w:val="24"/>
        </w:rPr>
        <w:t>资金性质：详见投标人须知资料表。</w:t>
      </w:r>
    </w:p>
    <w:p>
      <w:pPr>
        <w:pStyle w:val="117"/>
        <w:spacing w:line="360" w:lineRule="auto"/>
        <w:rPr>
          <w:rFonts w:ascii="宋体" w:hAnsi="宋体"/>
          <w:sz w:val="24"/>
        </w:rPr>
      </w:pPr>
      <w:r>
        <w:rPr>
          <w:rFonts w:hint="eastAsia" w:ascii="宋体" w:hAnsi="宋体"/>
          <w:sz w:val="24"/>
        </w:rPr>
        <w:t>2.2 项目预算金额：详见投标人须知资料表。</w:t>
      </w:r>
    </w:p>
    <w:p>
      <w:pPr>
        <w:pStyle w:val="4"/>
        <w:spacing w:line="360" w:lineRule="auto"/>
        <w:rPr>
          <w:rFonts w:hint="default"/>
          <w:b/>
          <w:sz w:val="24"/>
        </w:rPr>
      </w:pPr>
      <w:bookmarkStart w:id="21" w:name="_Toc324255541"/>
      <w:bookmarkStart w:id="22" w:name="_Toc6665510"/>
      <w:r>
        <w:rPr>
          <w:b/>
          <w:sz w:val="24"/>
        </w:rPr>
        <w:t>3.投标费用</w:t>
      </w:r>
      <w:bookmarkEnd w:id="19"/>
      <w:bookmarkEnd w:id="20"/>
      <w:bookmarkEnd w:id="21"/>
      <w:bookmarkEnd w:id="22"/>
    </w:p>
    <w:p>
      <w:pPr>
        <w:pStyle w:val="117"/>
        <w:spacing w:line="360" w:lineRule="auto"/>
        <w:rPr>
          <w:rFonts w:ascii="宋体" w:hAnsi="宋体"/>
          <w:sz w:val="24"/>
        </w:rPr>
      </w:pPr>
      <w:r>
        <w:rPr>
          <w:rFonts w:hint="eastAsia" w:ascii="宋体" w:hAnsi="宋体"/>
          <w:sz w:val="24"/>
        </w:rPr>
        <w:t>3.1 投标人应承担所有与准备和参加投标有关的费用。不论投标的结果如何，采购人和采购代理机构均无义务和责任承担这些费用。</w:t>
      </w:r>
    </w:p>
    <w:p>
      <w:pPr>
        <w:pStyle w:val="4"/>
        <w:spacing w:line="360" w:lineRule="auto"/>
        <w:ind w:left="901" w:hanging="899"/>
        <w:jc w:val="center"/>
        <w:rPr>
          <w:rFonts w:hint="default"/>
          <w:sz w:val="24"/>
        </w:rPr>
      </w:pPr>
      <w:bookmarkStart w:id="23" w:name="_Toc520356146"/>
      <w:bookmarkStart w:id="24" w:name="_Toc6665511"/>
      <w:bookmarkStart w:id="25" w:name="_Toc310195697"/>
      <w:r>
        <w:rPr>
          <w:sz w:val="24"/>
        </w:rPr>
        <w:t>二   招标文件</w:t>
      </w:r>
      <w:bookmarkEnd w:id="23"/>
      <w:bookmarkEnd w:id="24"/>
      <w:bookmarkEnd w:id="25"/>
    </w:p>
    <w:p>
      <w:pPr>
        <w:pStyle w:val="4"/>
        <w:spacing w:line="360" w:lineRule="auto"/>
        <w:rPr>
          <w:rFonts w:hint="default"/>
          <w:b/>
          <w:sz w:val="24"/>
        </w:rPr>
      </w:pPr>
      <w:bookmarkStart w:id="26" w:name="_Toc6665512"/>
      <w:bookmarkStart w:id="27" w:name="_Toc520356147"/>
      <w:bookmarkStart w:id="28" w:name="_Toc310195698"/>
      <w:r>
        <w:rPr>
          <w:b/>
          <w:sz w:val="24"/>
        </w:rPr>
        <w:t>4.招标文件构成</w:t>
      </w:r>
      <w:bookmarkEnd w:id="26"/>
      <w:bookmarkEnd w:id="27"/>
      <w:bookmarkEnd w:id="28"/>
    </w:p>
    <w:p>
      <w:pPr>
        <w:pStyle w:val="117"/>
        <w:spacing w:line="360" w:lineRule="auto"/>
        <w:rPr>
          <w:rFonts w:ascii="宋体" w:hAnsi="宋体"/>
          <w:sz w:val="24"/>
        </w:rPr>
      </w:pPr>
      <w:r>
        <w:rPr>
          <w:rFonts w:hint="eastAsia" w:ascii="宋体" w:hAnsi="宋体"/>
          <w:sz w:val="24"/>
        </w:rPr>
        <w:t>4.1 要求提供的服务、招标过程和合同条件在招标文件中均有说明。</w:t>
      </w:r>
    </w:p>
    <w:p>
      <w:pPr>
        <w:pStyle w:val="117"/>
        <w:spacing w:line="360" w:lineRule="auto"/>
        <w:rPr>
          <w:rFonts w:ascii="宋体" w:hAnsi="宋体"/>
          <w:sz w:val="24"/>
        </w:rPr>
      </w:pPr>
      <w:r>
        <w:rPr>
          <w:rFonts w:hint="eastAsia" w:ascii="宋体" w:hAnsi="宋体"/>
          <w:sz w:val="24"/>
        </w:rPr>
        <w:t xml:space="preserve">招标文件共九章，内容如下： </w:t>
      </w:r>
    </w:p>
    <w:p>
      <w:pPr>
        <w:pStyle w:val="117"/>
        <w:spacing w:line="360" w:lineRule="auto"/>
        <w:rPr>
          <w:rFonts w:ascii="宋体" w:hAnsi="宋体"/>
          <w:sz w:val="24"/>
        </w:rPr>
      </w:pPr>
      <w:r>
        <w:rPr>
          <w:rFonts w:hint="eastAsia" w:ascii="宋体" w:hAnsi="宋体"/>
          <w:sz w:val="24"/>
        </w:rPr>
        <w:t>第一章 投标邀请</w:t>
      </w:r>
    </w:p>
    <w:p>
      <w:pPr>
        <w:pStyle w:val="117"/>
        <w:spacing w:line="360" w:lineRule="auto"/>
        <w:rPr>
          <w:rFonts w:ascii="宋体" w:hAnsi="宋体"/>
          <w:sz w:val="24"/>
        </w:rPr>
      </w:pPr>
      <w:r>
        <w:rPr>
          <w:rFonts w:hint="eastAsia" w:ascii="宋体" w:hAnsi="宋体"/>
          <w:sz w:val="24"/>
        </w:rPr>
        <w:t>第二章 投标人须知资料表</w:t>
      </w:r>
    </w:p>
    <w:p>
      <w:pPr>
        <w:pStyle w:val="117"/>
        <w:spacing w:line="360" w:lineRule="auto"/>
        <w:rPr>
          <w:rFonts w:ascii="宋体" w:hAnsi="宋体"/>
          <w:sz w:val="24"/>
        </w:rPr>
      </w:pPr>
      <w:r>
        <w:rPr>
          <w:rFonts w:hint="eastAsia" w:ascii="宋体" w:hAnsi="宋体"/>
          <w:sz w:val="24"/>
        </w:rPr>
        <w:t>第三章 投标人须知</w:t>
      </w:r>
    </w:p>
    <w:p>
      <w:pPr>
        <w:pStyle w:val="117"/>
        <w:spacing w:line="360" w:lineRule="auto"/>
        <w:rPr>
          <w:rFonts w:ascii="宋体" w:hAnsi="宋体"/>
          <w:sz w:val="24"/>
        </w:rPr>
      </w:pPr>
      <w:r>
        <w:rPr>
          <w:rFonts w:hint="eastAsia" w:ascii="宋体" w:hAnsi="宋体"/>
          <w:sz w:val="24"/>
        </w:rPr>
        <w:t>第四章 采购需求</w:t>
      </w:r>
    </w:p>
    <w:p>
      <w:pPr>
        <w:pStyle w:val="117"/>
        <w:spacing w:line="360" w:lineRule="auto"/>
        <w:rPr>
          <w:rFonts w:ascii="宋体" w:hAnsi="宋体"/>
          <w:sz w:val="24"/>
        </w:rPr>
      </w:pPr>
      <w:r>
        <w:rPr>
          <w:rFonts w:hint="eastAsia" w:ascii="宋体" w:hAnsi="宋体"/>
          <w:sz w:val="24"/>
        </w:rPr>
        <w:t>第五章 评标方法和评标标准</w:t>
      </w:r>
    </w:p>
    <w:p>
      <w:pPr>
        <w:pStyle w:val="117"/>
        <w:spacing w:line="360" w:lineRule="auto"/>
        <w:rPr>
          <w:rFonts w:ascii="宋体" w:hAnsi="宋体"/>
          <w:sz w:val="24"/>
        </w:rPr>
      </w:pPr>
      <w:r>
        <w:rPr>
          <w:rFonts w:hint="eastAsia" w:ascii="宋体" w:hAnsi="宋体"/>
          <w:sz w:val="24"/>
        </w:rPr>
        <w:t>第六章 政府采购合同格式</w:t>
      </w:r>
    </w:p>
    <w:p>
      <w:pPr>
        <w:pStyle w:val="117"/>
        <w:spacing w:line="360" w:lineRule="auto"/>
        <w:rPr>
          <w:rFonts w:ascii="宋体" w:hAnsi="宋体"/>
          <w:sz w:val="24"/>
        </w:rPr>
      </w:pPr>
      <w:r>
        <w:rPr>
          <w:rFonts w:hint="eastAsia" w:ascii="宋体" w:hAnsi="宋体"/>
          <w:sz w:val="24"/>
        </w:rPr>
        <w:t>第七章 投标文件格式</w:t>
      </w:r>
    </w:p>
    <w:p>
      <w:pPr>
        <w:pStyle w:val="117"/>
        <w:spacing w:line="360" w:lineRule="auto"/>
        <w:rPr>
          <w:rFonts w:ascii="宋体" w:hAnsi="宋体"/>
          <w:sz w:val="24"/>
        </w:rPr>
      </w:pPr>
      <w:r>
        <w:rPr>
          <w:rFonts w:hint="eastAsia" w:ascii="宋体" w:hAnsi="宋体"/>
          <w:sz w:val="24"/>
        </w:rPr>
        <w:t>4.2 投标人应认真阅读招标文件所有的事项、格式、条款和技术规范等。如投标人未对招标文件完全响应而产生的风险，由投标人自行承担。</w:t>
      </w:r>
    </w:p>
    <w:p>
      <w:pPr>
        <w:pStyle w:val="4"/>
        <w:spacing w:line="360" w:lineRule="auto"/>
        <w:rPr>
          <w:rFonts w:hint="default"/>
          <w:b/>
          <w:sz w:val="24"/>
          <w:lang w:val="en-US"/>
        </w:rPr>
      </w:pPr>
      <w:bookmarkStart w:id="29" w:name="_Toc310195699"/>
      <w:bookmarkStart w:id="30" w:name="_Toc520356148"/>
      <w:bookmarkStart w:id="31" w:name="_Toc6665513"/>
      <w:r>
        <w:rPr>
          <w:b/>
          <w:sz w:val="24"/>
        </w:rPr>
        <w:t>5.招标文件的澄清</w:t>
      </w:r>
      <w:bookmarkEnd w:id="29"/>
      <w:bookmarkEnd w:id="30"/>
      <w:bookmarkEnd w:id="31"/>
    </w:p>
    <w:p>
      <w:pPr>
        <w:pStyle w:val="117"/>
        <w:spacing w:line="360" w:lineRule="auto"/>
        <w:rPr>
          <w:rFonts w:ascii="宋体" w:hAnsi="宋体"/>
          <w:sz w:val="24"/>
        </w:rPr>
      </w:pPr>
      <w:r>
        <w:rPr>
          <w:rFonts w:hint="eastAsia" w:ascii="宋体" w:hAnsi="宋体"/>
          <w:sz w:val="24"/>
        </w:rPr>
        <w:t>5.1采购人或者采购代理机构可以对已发出的招标文件、资格预审文件、投标邀请书进行必要的澄清，但不得改变采购标的和资格条件。澄清应当在原公告发布媒体上发布澄清公告。澄清的内容为招标文件、资格预审文件、投标邀请书的组成部分。</w:t>
      </w:r>
    </w:p>
    <w:p>
      <w:pPr>
        <w:pStyle w:val="117"/>
        <w:spacing w:line="360" w:lineRule="auto"/>
        <w:rPr>
          <w:rFonts w:ascii="宋体" w:hAnsi="宋体"/>
          <w:sz w:val="24"/>
        </w:rPr>
      </w:pPr>
      <w:r>
        <w:rPr>
          <w:rFonts w:hint="eastAsia" w:ascii="宋体" w:hAnsi="宋体"/>
          <w:sz w:val="24"/>
        </w:rPr>
        <w:t>5.2澄清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117"/>
        <w:spacing w:line="360" w:lineRule="auto"/>
        <w:rPr>
          <w:rFonts w:ascii="宋体" w:hAnsi="宋体"/>
          <w:sz w:val="24"/>
        </w:rPr>
      </w:pPr>
      <w:r>
        <w:rPr>
          <w:rFonts w:hint="eastAsia" w:ascii="宋体" w:hAnsi="宋体"/>
          <w:sz w:val="24"/>
        </w:rPr>
        <w:t>5.3澄清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r>
        <w:rPr>
          <w:rFonts w:ascii="宋体" w:hAnsi="宋体"/>
          <w:sz w:val="24"/>
        </w:rPr>
        <w:t>。</w:t>
      </w:r>
    </w:p>
    <w:p>
      <w:pPr>
        <w:pStyle w:val="4"/>
        <w:spacing w:line="360" w:lineRule="auto"/>
        <w:rPr>
          <w:rFonts w:hint="default"/>
          <w:b/>
          <w:sz w:val="24"/>
        </w:rPr>
      </w:pPr>
      <w:bookmarkStart w:id="32" w:name="_Toc6665514"/>
      <w:bookmarkStart w:id="33" w:name="_Toc310195700"/>
      <w:bookmarkStart w:id="34" w:name="_Ref467378678"/>
      <w:bookmarkStart w:id="35" w:name="_Toc520356149"/>
      <w:r>
        <w:rPr>
          <w:b/>
          <w:sz w:val="24"/>
        </w:rPr>
        <w:t>6.招标文件的修改</w:t>
      </w:r>
      <w:bookmarkEnd w:id="32"/>
      <w:bookmarkEnd w:id="33"/>
      <w:bookmarkEnd w:id="34"/>
      <w:bookmarkEnd w:id="35"/>
    </w:p>
    <w:p>
      <w:pPr>
        <w:pStyle w:val="117"/>
        <w:spacing w:line="360" w:lineRule="auto"/>
        <w:rPr>
          <w:rFonts w:ascii="宋体" w:hAnsi="宋体"/>
          <w:sz w:val="24"/>
        </w:rPr>
      </w:pPr>
      <w:r>
        <w:rPr>
          <w:rFonts w:hint="eastAsia" w:ascii="宋体" w:hAnsi="宋体"/>
          <w:sz w:val="24"/>
        </w:rPr>
        <w:t>6.1采购人或者采购代理机构可以对已发出的招标文件、资格预审文件、投标邀请书进行必要的修改，但不得改变采购标的和资格条件。修改应当在原公告发布媒体上发布澄清公告。修改的内容为招标文件、资格预审文件、投标邀请书的组成部分。</w:t>
      </w:r>
    </w:p>
    <w:p>
      <w:pPr>
        <w:pStyle w:val="117"/>
        <w:spacing w:line="360" w:lineRule="auto"/>
        <w:rPr>
          <w:rFonts w:ascii="宋体" w:hAnsi="宋体"/>
          <w:sz w:val="24"/>
        </w:rPr>
      </w:pPr>
      <w:r>
        <w:rPr>
          <w:rFonts w:hint="eastAsia" w:ascii="宋体" w:hAnsi="宋体"/>
          <w:sz w:val="24"/>
        </w:rPr>
        <w:t>6.2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117"/>
        <w:spacing w:line="360" w:lineRule="auto"/>
        <w:rPr>
          <w:rFonts w:ascii="宋体" w:hAnsi="宋体"/>
          <w:sz w:val="24"/>
        </w:rPr>
      </w:pPr>
      <w:r>
        <w:rPr>
          <w:rFonts w:hint="eastAsia" w:ascii="宋体" w:hAnsi="宋体"/>
          <w:sz w:val="24"/>
        </w:rPr>
        <w:t>6.3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r>
        <w:rPr>
          <w:rFonts w:ascii="宋体" w:hAnsi="宋体"/>
          <w:sz w:val="24"/>
        </w:rPr>
        <w:t>。</w:t>
      </w:r>
    </w:p>
    <w:p>
      <w:pPr>
        <w:pStyle w:val="4"/>
        <w:spacing w:line="360" w:lineRule="auto"/>
        <w:ind w:left="899" w:hanging="899"/>
        <w:jc w:val="center"/>
        <w:rPr>
          <w:rFonts w:hint="default"/>
          <w:sz w:val="24"/>
        </w:rPr>
      </w:pPr>
      <w:bookmarkStart w:id="36" w:name="_Toc516367020"/>
      <w:bookmarkStart w:id="37" w:name="_Toc520356150"/>
      <w:bookmarkStart w:id="38" w:name="_Toc310195701"/>
      <w:bookmarkStart w:id="39" w:name="_Toc6665515"/>
      <w:r>
        <w:rPr>
          <w:sz w:val="24"/>
        </w:rPr>
        <w:t>三   投标文件</w:t>
      </w:r>
      <w:bookmarkEnd w:id="36"/>
      <w:r>
        <w:rPr>
          <w:sz w:val="24"/>
        </w:rPr>
        <w:t>的编制</w:t>
      </w:r>
      <w:bookmarkEnd w:id="37"/>
      <w:bookmarkEnd w:id="38"/>
      <w:bookmarkEnd w:id="39"/>
    </w:p>
    <w:p>
      <w:pPr>
        <w:pStyle w:val="4"/>
        <w:spacing w:line="360" w:lineRule="auto"/>
        <w:rPr>
          <w:rFonts w:hint="default"/>
          <w:b/>
          <w:sz w:val="24"/>
        </w:rPr>
      </w:pPr>
      <w:bookmarkStart w:id="40" w:name="_Toc6665516"/>
      <w:bookmarkStart w:id="41" w:name="_Toc310195702"/>
      <w:bookmarkStart w:id="42" w:name="_Toc213818725"/>
      <w:bookmarkStart w:id="43" w:name="_Toc516367021"/>
      <w:bookmarkStart w:id="44" w:name="_Toc520356151"/>
      <w:r>
        <w:rPr>
          <w:b/>
          <w:sz w:val="24"/>
        </w:rPr>
        <w:t>7.投标文件编制的原则</w:t>
      </w:r>
      <w:bookmarkEnd w:id="40"/>
      <w:bookmarkEnd w:id="41"/>
      <w:bookmarkEnd w:id="42"/>
    </w:p>
    <w:p>
      <w:pPr>
        <w:pStyle w:val="117"/>
        <w:spacing w:line="360" w:lineRule="auto"/>
        <w:rPr>
          <w:rFonts w:ascii="宋体" w:hAnsi="宋体"/>
          <w:b/>
          <w:sz w:val="24"/>
        </w:rPr>
      </w:pPr>
      <w:r>
        <w:rPr>
          <w:rFonts w:hint="eastAsia" w:ascii="宋体" w:hAnsi="宋体"/>
          <w:sz w:val="24"/>
        </w:rPr>
        <w:t>7.1潜在投标人根据招标文件的要求，编制完整的投标文件。招标文件中对投标文件格式有要求的，应按格式逐项填写内容，无相应可填内容项应填写“无”、“未测试”、“没有相应指标”等明确的文字回答。</w:t>
      </w:r>
    </w:p>
    <w:p>
      <w:pPr>
        <w:pStyle w:val="117"/>
        <w:spacing w:line="360" w:lineRule="auto"/>
      </w:pPr>
      <w:r>
        <w:rPr>
          <w:rFonts w:hint="eastAsia" w:ascii="宋体" w:hAnsi="宋体"/>
          <w:sz w:val="24"/>
        </w:rPr>
        <w:t>7.2 投标人必须保证投标文件所提供的全部资料真实有效，并接受采购人或采购代理机构对其中任何资料做进一步审查的要求。</w:t>
      </w:r>
    </w:p>
    <w:p>
      <w:pPr>
        <w:pStyle w:val="4"/>
        <w:tabs>
          <w:tab w:val="left" w:pos="900"/>
        </w:tabs>
        <w:spacing w:line="360" w:lineRule="auto"/>
        <w:rPr>
          <w:rFonts w:hint="default"/>
          <w:b/>
          <w:sz w:val="24"/>
        </w:rPr>
      </w:pPr>
      <w:bookmarkStart w:id="45" w:name="_Toc6665517"/>
      <w:bookmarkStart w:id="46" w:name="_Toc310195703"/>
      <w:r>
        <w:rPr>
          <w:b/>
          <w:sz w:val="24"/>
        </w:rPr>
        <w:t>8.投标范围及投标文件中计量单位的使用</w:t>
      </w:r>
      <w:bookmarkEnd w:id="43"/>
      <w:bookmarkEnd w:id="44"/>
      <w:bookmarkEnd w:id="45"/>
      <w:bookmarkEnd w:id="46"/>
    </w:p>
    <w:p>
      <w:pPr>
        <w:pStyle w:val="117"/>
        <w:spacing w:line="360" w:lineRule="auto"/>
        <w:rPr>
          <w:rFonts w:ascii="宋体" w:hAnsi="宋体"/>
          <w:sz w:val="24"/>
        </w:rPr>
      </w:pPr>
      <w:r>
        <w:rPr>
          <w:rFonts w:hint="eastAsia" w:ascii="宋体" w:hAnsi="宋体"/>
          <w:sz w:val="24"/>
        </w:rPr>
        <w:t>8.1 投标人应对招标文件中“采购需求”所列的所有内容进行投标，不得缺项漏项。</w:t>
      </w:r>
    </w:p>
    <w:p>
      <w:pPr>
        <w:pStyle w:val="117"/>
        <w:spacing w:line="360" w:lineRule="auto"/>
        <w:rPr>
          <w:rFonts w:ascii="宋体" w:hAnsi="宋体"/>
          <w:sz w:val="24"/>
        </w:rPr>
      </w:pPr>
      <w:r>
        <w:rPr>
          <w:rFonts w:hint="eastAsia" w:ascii="宋体" w:hAnsi="宋体"/>
          <w:sz w:val="24"/>
        </w:rPr>
        <w:t>8.2 投标文件中所使用的计量单位，除招标文件中有特殊要求外，应采用中华人民共和国法定计量单位。</w:t>
      </w:r>
      <w:bookmarkStart w:id="47" w:name="_Toc516367022"/>
      <w:bookmarkStart w:id="48" w:name="_Ref467306195"/>
      <w:bookmarkStart w:id="49" w:name="_Ref467306676"/>
      <w:bookmarkStart w:id="50" w:name="_Toc520356152"/>
    </w:p>
    <w:p>
      <w:pPr>
        <w:pStyle w:val="4"/>
        <w:tabs>
          <w:tab w:val="left" w:pos="900"/>
        </w:tabs>
        <w:spacing w:line="360" w:lineRule="auto"/>
        <w:rPr>
          <w:rFonts w:hint="default"/>
        </w:rPr>
      </w:pPr>
      <w:bookmarkStart w:id="51" w:name="_Toc6665518"/>
      <w:bookmarkStart w:id="52" w:name="_Toc310195704"/>
      <w:r>
        <w:rPr>
          <w:b/>
          <w:sz w:val="24"/>
        </w:rPr>
        <w:t>9.投标文件</w:t>
      </w:r>
      <w:bookmarkEnd w:id="47"/>
      <w:bookmarkEnd w:id="48"/>
      <w:bookmarkEnd w:id="49"/>
      <w:r>
        <w:rPr>
          <w:b/>
          <w:sz w:val="24"/>
        </w:rPr>
        <w:t>构成</w:t>
      </w:r>
      <w:bookmarkEnd w:id="50"/>
      <w:bookmarkEnd w:id="51"/>
      <w:bookmarkEnd w:id="52"/>
    </w:p>
    <w:p>
      <w:pPr>
        <w:pStyle w:val="117"/>
        <w:spacing w:line="360" w:lineRule="auto"/>
        <w:rPr>
          <w:rFonts w:ascii="宋体" w:hAnsi="宋体"/>
          <w:sz w:val="24"/>
        </w:rPr>
      </w:pPr>
      <w:r>
        <w:rPr>
          <w:rFonts w:hint="eastAsia" w:ascii="宋体" w:hAnsi="宋体"/>
          <w:sz w:val="24"/>
        </w:rPr>
        <w:t>9.1投标人应按照招标文件提供的投标文件格式编写投标文件，投标文件应包括以下内容：</w:t>
      </w:r>
    </w:p>
    <w:p>
      <w:pPr>
        <w:tabs>
          <w:tab w:val="left" w:pos="900"/>
        </w:tabs>
        <w:spacing w:before="120" w:line="360" w:lineRule="auto"/>
        <w:ind w:left="900" w:hanging="900"/>
        <w:rPr>
          <w:rFonts w:ascii="宋体" w:hAnsi="宋体"/>
          <w:sz w:val="24"/>
        </w:rPr>
      </w:pPr>
      <w:r>
        <w:rPr>
          <w:rFonts w:hint="eastAsia" w:ascii="宋体" w:hAnsi="宋体"/>
          <w:sz w:val="24"/>
        </w:rPr>
        <w:t>9.1.1投标文件资格册：</w:t>
      </w:r>
    </w:p>
    <w:p>
      <w:pPr>
        <w:pStyle w:val="13"/>
        <w:spacing w:line="360" w:lineRule="auto"/>
        <w:rPr>
          <w:rFonts w:ascii="宋体" w:hAnsi="宋体"/>
          <w:sz w:val="24"/>
        </w:rPr>
      </w:pPr>
      <w:r>
        <w:rPr>
          <w:rFonts w:hint="eastAsia" w:ascii="宋体" w:hAnsi="宋体"/>
          <w:sz w:val="24"/>
        </w:rPr>
        <w:t>详见《第七章 投标文件格式》</w:t>
      </w:r>
    </w:p>
    <w:p>
      <w:pPr>
        <w:pStyle w:val="13"/>
        <w:spacing w:line="360" w:lineRule="auto"/>
        <w:rPr>
          <w:rFonts w:ascii="宋体" w:hAnsi="宋体"/>
          <w:sz w:val="24"/>
        </w:rPr>
      </w:pPr>
      <w:r>
        <w:rPr>
          <w:rFonts w:hint="eastAsia" w:ascii="宋体" w:hAnsi="宋体"/>
          <w:sz w:val="24"/>
        </w:rPr>
        <w:t>9.1.2投标文件商务技术册应包括以下内容：</w:t>
      </w:r>
    </w:p>
    <w:p>
      <w:pPr>
        <w:pStyle w:val="20"/>
        <w:tabs>
          <w:tab w:val="left" w:pos="5580"/>
        </w:tabs>
        <w:spacing w:line="360" w:lineRule="auto"/>
        <w:ind w:left="-4" w:leftChars="-2" w:firstLine="151" w:firstLineChars="63"/>
        <w:jc w:val="left"/>
        <w:rPr>
          <w:rFonts w:hAnsi="宋体" w:cs="宋体"/>
          <w:sz w:val="24"/>
          <w:szCs w:val="24"/>
          <w:lang w:val="en-US"/>
        </w:rPr>
      </w:pPr>
      <w:bookmarkStart w:id="53" w:name="_Toc310195705"/>
      <w:bookmarkStart w:id="54" w:name="_Toc516367023"/>
      <w:bookmarkStart w:id="55" w:name="_Toc520356153"/>
      <w:r>
        <w:rPr>
          <w:rFonts w:hint="eastAsia" w:hAnsi="宋体" w:cs="宋体"/>
          <w:sz w:val="24"/>
          <w:szCs w:val="24"/>
          <w:lang w:val="en-US"/>
        </w:rPr>
        <w:t>1.投标函</w:t>
      </w:r>
    </w:p>
    <w:p>
      <w:pPr>
        <w:pStyle w:val="20"/>
        <w:tabs>
          <w:tab w:val="left" w:pos="5580"/>
        </w:tabs>
        <w:spacing w:line="360" w:lineRule="auto"/>
        <w:ind w:left="-4" w:leftChars="-2" w:firstLine="151" w:firstLineChars="63"/>
        <w:jc w:val="left"/>
        <w:rPr>
          <w:rFonts w:hAnsi="宋体" w:cs="宋体"/>
          <w:sz w:val="24"/>
          <w:szCs w:val="24"/>
          <w:lang w:val="en-US"/>
        </w:rPr>
      </w:pPr>
      <w:r>
        <w:rPr>
          <w:rFonts w:hint="eastAsia" w:hAnsi="宋体" w:cs="宋体"/>
          <w:sz w:val="24"/>
          <w:szCs w:val="24"/>
          <w:lang w:val="en-US"/>
        </w:rPr>
        <w:t>2.开标一览表</w:t>
      </w:r>
    </w:p>
    <w:p>
      <w:pPr>
        <w:pStyle w:val="20"/>
        <w:tabs>
          <w:tab w:val="left" w:pos="5580"/>
        </w:tabs>
        <w:spacing w:line="360" w:lineRule="auto"/>
        <w:ind w:left="-4" w:leftChars="-2" w:firstLine="151" w:firstLineChars="63"/>
        <w:jc w:val="left"/>
        <w:rPr>
          <w:rFonts w:hAnsi="宋体" w:cs="宋体"/>
          <w:sz w:val="24"/>
          <w:szCs w:val="24"/>
          <w:lang w:val="en-US"/>
        </w:rPr>
      </w:pPr>
      <w:r>
        <w:rPr>
          <w:rFonts w:hint="eastAsia" w:hAnsi="宋体" w:cs="宋体"/>
          <w:sz w:val="24"/>
          <w:szCs w:val="24"/>
          <w:lang w:val="en-US"/>
        </w:rPr>
        <w:t>3.投标分项报价表</w:t>
      </w:r>
    </w:p>
    <w:p>
      <w:pPr>
        <w:pStyle w:val="20"/>
        <w:tabs>
          <w:tab w:val="left" w:pos="5580"/>
        </w:tabs>
        <w:spacing w:line="360" w:lineRule="auto"/>
        <w:ind w:left="-4" w:leftChars="-2" w:firstLine="151" w:firstLineChars="63"/>
        <w:jc w:val="left"/>
        <w:rPr>
          <w:rFonts w:hAnsi="宋体" w:cs="宋体"/>
          <w:sz w:val="24"/>
          <w:szCs w:val="24"/>
          <w:lang w:val="en-US"/>
        </w:rPr>
      </w:pPr>
      <w:r>
        <w:rPr>
          <w:rFonts w:hint="eastAsia" w:hAnsi="宋体" w:cs="宋体"/>
          <w:sz w:val="24"/>
          <w:szCs w:val="24"/>
          <w:lang w:val="en-US"/>
        </w:rPr>
        <w:t>4.货物说明一览表</w:t>
      </w:r>
    </w:p>
    <w:p>
      <w:pPr>
        <w:pStyle w:val="20"/>
        <w:tabs>
          <w:tab w:val="left" w:pos="5580"/>
        </w:tabs>
        <w:spacing w:line="360" w:lineRule="auto"/>
        <w:ind w:left="-4" w:leftChars="-2" w:firstLine="151" w:firstLineChars="63"/>
        <w:jc w:val="left"/>
        <w:rPr>
          <w:rFonts w:hAnsi="宋体" w:cs="宋体"/>
          <w:sz w:val="24"/>
          <w:szCs w:val="24"/>
          <w:lang w:val="en-US"/>
        </w:rPr>
      </w:pPr>
      <w:r>
        <w:rPr>
          <w:rFonts w:hint="eastAsia" w:hAnsi="宋体" w:cs="宋体"/>
          <w:sz w:val="24"/>
          <w:szCs w:val="24"/>
          <w:lang w:val="en-US"/>
        </w:rPr>
        <w:t>5.技术规格偏离表</w:t>
      </w:r>
    </w:p>
    <w:p>
      <w:pPr>
        <w:pStyle w:val="20"/>
        <w:tabs>
          <w:tab w:val="left" w:pos="5580"/>
        </w:tabs>
        <w:spacing w:line="360" w:lineRule="auto"/>
        <w:ind w:left="-4" w:leftChars="-2" w:firstLine="151" w:firstLineChars="63"/>
        <w:jc w:val="left"/>
        <w:rPr>
          <w:rFonts w:hAnsi="宋体" w:cs="宋体"/>
          <w:sz w:val="24"/>
          <w:szCs w:val="24"/>
          <w:lang w:val="en-US"/>
        </w:rPr>
      </w:pPr>
      <w:r>
        <w:rPr>
          <w:rFonts w:hint="eastAsia" w:hAnsi="宋体" w:cs="宋体"/>
          <w:sz w:val="24"/>
          <w:szCs w:val="24"/>
          <w:lang w:val="en-US"/>
        </w:rPr>
        <w:t>6.商务条款偏离表</w:t>
      </w:r>
    </w:p>
    <w:p>
      <w:pPr>
        <w:pStyle w:val="20"/>
        <w:tabs>
          <w:tab w:val="left" w:pos="5580"/>
        </w:tabs>
        <w:spacing w:line="360" w:lineRule="auto"/>
        <w:ind w:left="-4" w:leftChars="-2" w:firstLine="151" w:firstLineChars="63"/>
        <w:jc w:val="left"/>
        <w:rPr>
          <w:rFonts w:hAnsi="宋体" w:cs="宋体"/>
          <w:sz w:val="24"/>
          <w:szCs w:val="24"/>
          <w:lang w:val="en-US"/>
        </w:rPr>
      </w:pPr>
      <w:r>
        <w:rPr>
          <w:rFonts w:hint="eastAsia" w:hAnsi="宋体" w:cs="宋体"/>
          <w:sz w:val="24"/>
          <w:szCs w:val="24"/>
          <w:lang w:val="en-US"/>
        </w:rPr>
        <w:t>7.业绩案例一览表</w:t>
      </w:r>
    </w:p>
    <w:p>
      <w:pPr>
        <w:pStyle w:val="20"/>
        <w:tabs>
          <w:tab w:val="left" w:pos="5580"/>
        </w:tabs>
        <w:spacing w:line="360" w:lineRule="auto"/>
        <w:ind w:left="-4" w:leftChars="-2" w:firstLine="151" w:firstLineChars="63"/>
        <w:jc w:val="left"/>
        <w:rPr>
          <w:rFonts w:hAnsi="宋体" w:cs="宋体"/>
          <w:sz w:val="24"/>
          <w:szCs w:val="24"/>
          <w:lang w:val="en-US"/>
        </w:rPr>
      </w:pPr>
      <w:r>
        <w:rPr>
          <w:rFonts w:hint="eastAsia" w:hAnsi="宋体" w:cs="宋体"/>
          <w:sz w:val="24"/>
          <w:szCs w:val="24"/>
          <w:lang w:val="en-US"/>
        </w:rPr>
        <w:t>8 投标人基本情况表</w:t>
      </w:r>
    </w:p>
    <w:p>
      <w:pPr>
        <w:pStyle w:val="20"/>
        <w:tabs>
          <w:tab w:val="left" w:pos="5580"/>
        </w:tabs>
        <w:spacing w:line="360" w:lineRule="auto"/>
        <w:ind w:left="-4" w:leftChars="-2" w:firstLine="151" w:firstLineChars="63"/>
        <w:jc w:val="left"/>
        <w:rPr>
          <w:rFonts w:hAnsi="宋体" w:cs="宋体"/>
          <w:sz w:val="24"/>
          <w:szCs w:val="24"/>
          <w:lang w:val="en-US"/>
        </w:rPr>
      </w:pPr>
      <w:r>
        <w:rPr>
          <w:rFonts w:hint="eastAsia" w:hAnsi="宋体" w:cs="宋体"/>
          <w:sz w:val="24"/>
          <w:szCs w:val="24"/>
          <w:lang w:val="en-US"/>
        </w:rPr>
        <w:t>9 实施方案</w:t>
      </w:r>
    </w:p>
    <w:p>
      <w:pPr>
        <w:pStyle w:val="20"/>
        <w:tabs>
          <w:tab w:val="left" w:pos="5580"/>
        </w:tabs>
        <w:spacing w:line="360" w:lineRule="auto"/>
        <w:ind w:left="-4" w:leftChars="-2" w:firstLine="151" w:firstLineChars="63"/>
        <w:jc w:val="left"/>
        <w:rPr>
          <w:rFonts w:hAnsi="宋体" w:cs="宋体"/>
          <w:sz w:val="24"/>
          <w:szCs w:val="24"/>
          <w:lang w:val="en-US"/>
        </w:rPr>
      </w:pPr>
      <w:r>
        <w:rPr>
          <w:rFonts w:hint="eastAsia" w:hAnsi="宋体" w:cs="宋体"/>
          <w:sz w:val="24"/>
          <w:szCs w:val="24"/>
          <w:lang w:val="en-US"/>
        </w:rPr>
        <w:t>10 售后服务及培训计划</w:t>
      </w:r>
    </w:p>
    <w:p>
      <w:pPr>
        <w:pStyle w:val="20"/>
        <w:tabs>
          <w:tab w:val="left" w:pos="5580"/>
        </w:tabs>
        <w:spacing w:line="360" w:lineRule="auto"/>
        <w:ind w:left="-4" w:leftChars="-2" w:firstLine="151" w:firstLineChars="63"/>
        <w:jc w:val="left"/>
        <w:rPr>
          <w:rFonts w:hAnsi="宋体" w:cs="宋体"/>
          <w:sz w:val="24"/>
          <w:szCs w:val="24"/>
          <w:lang w:val="en-US"/>
        </w:rPr>
      </w:pPr>
      <w:r>
        <w:rPr>
          <w:rFonts w:hint="eastAsia" w:hAnsi="宋体" w:cs="宋体"/>
          <w:sz w:val="24"/>
          <w:szCs w:val="24"/>
          <w:lang w:val="en-US"/>
        </w:rPr>
        <w:t>11提交投标保证金的证明材料（如适用）</w:t>
      </w:r>
    </w:p>
    <w:p>
      <w:pPr>
        <w:pStyle w:val="20"/>
        <w:tabs>
          <w:tab w:val="left" w:pos="5580"/>
        </w:tabs>
        <w:spacing w:line="360" w:lineRule="auto"/>
        <w:ind w:left="-4" w:leftChars="-2" w:firstLine="151" w:firstLineChars="63"/>
        <w:jc w:val="left"/>
        <w:rPr>
          <w:rFonts w:hAnsi="宋体" w:cs="宋体"/>
          <w:sz w:val="24"/>
          <w:szCs w:val="24"/>
          <w:lang w:val="en-US"/>
        </w:rPr>
      </w:pPr>
      <w:r>
        <w:rPr>
          <w:rFonts w:hint="eastAsia" w:hAnsi="宋体" w:cs="宋体"/>
          <w:sz w:val="24"/>
          <w:szCs w:val="24"/>
          <w:lang w:val="en-US"/>
        </w:rPr>
        <w:t>12 中标服务费承诺书</w:t>
      </w:r>
    </w:p>
    <w:p>
      <w:pPr>
        <w:pStyle w:val="20"/>
        <w:tabs>
          <w:tab w:val="left" w:pos="5580"/>
        </w:tabs>
        <w:spacing w:line="360" w:lineRule="auto"/>
        <w:ind w:left="-4" w:leftChars="-2" w:firstLine="151" w:firstLineChars="63"/>
        <w:jc w:val="left"/>
        <w:rPr>
          <w:rFonts w:hAnsi="宋体" w:cs="宋体"/>
          <w:sz w:val="24"/>
          <w:szCs w:val="24"/>
          <w:lang w:val="en-US"/>
        </w:rPr>
      </w:pPr>
      <w:r>
        <w:rPr>
          <w:rFonts w:hint="eastAsia" w:hAnsi="宋体" w:cs="宋体"/>
          <w:sz w:val="24"/>
          <w:szCs w:val="24"/>
          <w:lang w:val="en-US"/>
        </w:rPr>
        <w:t>13 投标人企业类型声明函（如适用）</w:t>
      </w:r>
    </w:p>
    <w:p>
      <w:pPr>
        <w:pStyle w:val="20"/>
        <w:tabs>
          <w:tab w:val="left" w:pos="5580"/>
        </w:tabs>
        <w:spacing w:line="360" w:lineRule="auto"/>
        <w:ind w:left="-4" w:leftChars="-2" w:firstLine="151" w:firstLineChars="63"/>
        <w:jc w:val="left"/>
        <w:rPr>
          <w:rFonts w:hAnsi="宋体" w:cs="宋体"/>
          <w:sz w:val="24"/>
          <w:szCs w:val="24"/>
          <w:lang w:val="en-US"/>
        </w:rPr>
      </w:pPr>
      <w:r>
        <w:rPr>
          <w:rFonts w:hint="eastAsia" w:hAnsi="宋体" w:cs="宋体"/>
          <w:sz w:val="24"/>
          <w:szCs w:val="24"/>
          <w:lang w:val="en-US"/>
        </w:rPr>
        <w:t>14残疾人福利性单位声明函（如适用）</w:t>
      </w:r>
    </w:p>
    <w:p>
      <w:pPr>
        <w:pStyle w:val="20"/>
        <w:widowControl/>
        <w:tabs>
          <w:tab w:val="left" w:pos="5580"/>
        </w:tabs>
        <w:spacing w:line="360" w:lineRule="auto"/>
        <w:ind w:left="-4" w:leftChars="-2" w:firstLine="151" w:firstLineChars="63"/>
        <w:jc w:val="left"/>
        <w:rPr>
          <w:rFonts w:hAnsi="宋体" w:cs="宋体"/>
          <w:sz w:val="24"/>
          <w:szCs w:val="24"/>
          <w:lang w:val="en-US"/>
        </w:rPr>
      </w:pPr>
      <w:r>
        <w:rPr>
          <w:rFonts w:hint="eastAsia" w:hAnsi="宋体" w:cs="宋体"/>
          <w:sz w:val="24"/>
          <w:szCs w:val="24"/>
          <w:lang w:val="en-US"/>
        </w:rPr>
        <w:t>15 监狱、戒毒企业声明函（如适用）</w:t>
      </w:r>
    </w:p>
    <w:p>
      <w:pPr>
        <w:pStyle w:val="20"/>
        <w:widowControl/>
        <w:tabs>
          <w:tab w:val="left" w:pos="5580"/>
        </w:tabs>
        <w:spacing w:line="360" w:lineRule="auto"/>
        <w:ind w:left="-4" w:leftChars="-2" w:firstLine="151" w:firstLineChars="63"/>
        <w:jc w:val="left"/>
        <w:rPr>
          <w:sz w:val="24"/>
        </w:rPr>
      </w:pPr>
      <w:r>
        <w:rPr>
          <w:sz w:val="24"/>
        </w:rPr>
        <w:t>1</w:t>
      </w:r>
      <w:r>
        <w:rPr>
          <w:rFonts w:hint="eastAsia"/>
          <w:sz w:val="24"/>
          <w:lang w:val="en-US"/>
        </w:rPr>
        <w:t>6</w:t>
      </w:r>
      <w:r>
        <w:rPr>
          <w:sz w:val="24"/>
        </w:rPr>
        <w:t>投标人认为必要的其他证明文件</w:t>
      </w:r>
    </w:p>
    <w:p>
      <w:pPr>
        <w:pStyle w:val="20"/>
        <w:tabs>
          <w:tab w:val="left" w:pos="5580"/>
        </w:tabs>
        <w:spacing w:line="360" w:lineRule="auto"/>
        <w:ind w:left="-4" w:leftChars="-2" w:firstLine="151" w:firstLineChars="63"/>
        <w:jc w:val="left"/>
        <w:rPr>
          <w:rFonts w:hAnsi="宋体" w:cs="宋体"/>
          <w:sz w:val="24"/>
          <w:szCs w:val="24"/>
          <w:lang w:val="en-US"/>
        </w:rPr>
      </w:pPr>
    </w:p>
    <w:p>
      <w:pPr>
        <w:pStyle w:val="4"/>
        <w:tabs>
          <w:tab w:val="left" w:pos="900"/>
        </w:tabs>
        <w:spacing w:line="360" w:lineRule="auto"/>
        <w:rPr>
          <w:rFonts w:hint="default"/>
          <w:b/>
          <w:sz w:val="24"/>
        </w:rPr>
      </w:pPr>
      <w:bookmarkStart w:id="56" w:name="_Toc6665519"/>
      <w:r>
        <w:rPr>
          <w:b/>
          <w:sz w:val="24"/>
        </w:rPr>
        <w:t>10.</w:t>
      </w:r>
      <w:bookmarkEnd w:id="53"/>
      <w:bookmarkEnd w:id="54"/>
      <w:bookmarkEnd w:id="55"/>
      <w:r>
        <w:rPr>
          <w:b/>
          <w:sz w:val="24"/>
        </w:rPr>
        <w:t>投标文件格式</w:t>
      </w:r>
      <w:bookmarkEnd w:id="56"/>
      <w:bookmarkStart w:id="57" w:name="_Toc310195706"/>
      <w:bookmarkStart w:id="58" w:name="_Toc520356155"/>
    </w:p>
    <w:p>
      <w:pPr>
        <w:pStyle w:val="117"/>
        <w:spacing w:line="360" w:lineRule="auto"/>
        <w:rPr>
          <w:rFonts w:ascii="宋体" w:hAnsi="宋体"/>
          <w:sz w:val="24"/>
        </w:rPr>
      </w:pPr>
      <w:r>
        <w:rPr>
          <w:rFonts w:hint="eastAsia" w:ascii="宋体" w:hAnsi="宋体"/>
          <w:sz w:val="24"/>
        </w:rPr>
        <w:t>10.1</w:t>
      </w:r>
      <w:r>
        <w:rPr>
          <w:rFonts w:ascii="宋体" w:hAnsi="宋体"/>
          <w:sz w:val="24"/>
        </w:rPr>
        <w:t>投标人应按招标文件提供的投标文件格式</w:t>
      </w:r>
      <w:r>
        <w:rPr>
          <w:rFonts w:hint="eastAsia" w:ascii="宋体" w:hAnsi="宋体"/>
          <w:sz w:val="24"/>
        </w:rPr>
        <w:t>要求编写投标文件</w:t>
      </w:r>
      <w:r>
        <w:rPr>
          <w:rFonts w:ascii="宋体" w:hAnsi="宋体"/>
          <w:sz w:val="24"/>
        </w:rPr>
        <w:t>。</w:t>
      </w:r>
    </w:p>
    <w:p>
      <w:pPr>
        <w:pStyle w:val="117"/>
        <w:spacing w:line="360" w:lineRule="auto"/>
        <w:rPr>
          <w:rFonts w:ascii="宋体" w:hAnsi="宋体"/>
          <w:sz w:val="24"/>
        </w:rPr>
      </w:pPr>
      <w:r>
        <w:rPr>
          <w:rFonts w:hint="eastAsia" w:ascii="宋体" w:hAnsi="宋体"/>
          <w:sz w:val="24"/>
        </w:rPr>
        <w:t>10.2 招标文件中要求提供证明文件的，投标人应如实提交，该证明文件是投标文件的组成部分。</w:t>
      </w:r>
    </w:p>
    <w:p>
      <w:pPr>
        <w:spacing w:before="120" w:line="360" w:lineRule="auto"/>
        <w:ind w:left="900" w:hanging="900"/>
        <w:rPr>
          <w:rFonts w:ascii="宋体" w:hAnsi="宋体"/>
          <w:sz w:val="24"/>
        </w:rPr>
      </w:pPr>
      <w:bookmarkStart w:id="59" w:name="_Ref467306244"/>
      <w:r>
        <w:rPr>
          <w:rFonts w:hint="eastAsia" w:ascii="宋体" w:hAnsi="宋体"/>
          <w:sz w:val="24"/>
        </w:rPr>
        <w:t>10.3 上款所述的证明文件，包括：</w:t>
      </w:r>
    </w:p>
    <w:p>
      <w:pPr>
        <w:spacing w:before="120" w:line="360" w:lineRule="auto"/>
        <w:ind w:left="900" w:hanging="900"/>
        <w:rPr>
          <w:rFonts w:ascii="宋体" w:hAnsi="宋体"/>
          <w:sz w:val="24"/>
        </w:rPr>
      </w:pPr>
      <w:r>
        <w:rPr>
          <w:rFonts w:hint="eastAsia" w:ascii="宋体" w:hAnsi="宋体"/>
          <w:sz w:val="24"/>
        </w:rPr>
        <w:t>10.3.1文字资料、图纸和数据等；</w:t>
      </w:r>
      <w:bookmarkEnd w:id="59"/>
    </w:p>
    <w:p>
      <w:pPr>
        <w:spacing w:before="120" w:line="360" w:lineRule="auto"/>
        <w:ind w:left="900" w:hanging="900"/>
        <w:rPr>
          <w:rFonts w:ascii="宋体" w:hAnsi="宋体"/>
          <w:sz w:val="24"/>
        </w:rPr>
      </w:pPr>
      <w:r>
        <w:rPr>
          <w:rFonts w:hint="eastAsia" w:ascii="宋体" w:hAnsi="宋体"/>
          <w:sz w:val="24"/>
        </w:rPr>
        <w:t>10.3.2货物主要技术指标和性能的详细说明；</w:t>
      </w:r>
    </w:p>
    <w:p>
      <w:pPr>
        <w:spacing w:before="120" w:line="360" w:lineRule="auto"/>
        <w:rPr>
          <w:rFonts w:ascii="宋体" w:hAnsi="宋体"/>
          <w:sz w:val="24"/>
        </w:rPr>
      </w:pPr>
      <w:r>
        <w:rPr>
          <w:rFonts w:hint="eastAsia" w:ascii="宋体" w:hAnsi="宋体"/>
          <w:sz w:val="24"/>
        </w:rPr>
        <w:t>10.3.3货物所必须的备品备件和专用工具清单；</w:t>
      </w:r>
    </w:p>
    <w:p>
      <w:pPr>
        <w:spacing w:before="120" w:line="360" w:lineRule="auto"/>
        <w:rPr>
          <w:rFonts w:ascii="宋体" w:hAnsi="宋体"/>
          <w:sz w:val="24"/>
        </w:rPr>
      </w:pPr>
      <w:r>
        <w:rPr>
          <w:rFonts w:hint="eastAsia" w:ascii="宋体" w:hAnsi="宋体"/>
          <w:sz w:val="24"/>
        </w:rPr>
        <w:t>10.3.4 投标文件中《技术规格偏离表》、《商务条款偏离表》须如实填写。</w:t>
      </w:r>
    </w:p>
    <w:p>
      <w:pPr>
        <w:pStyle w:val="4"/>
        <w:tabs>
          <w:tab w:val="left" w:pos="900"/>
        </w:tabs>
        <w:spacing w:line="360" w:lineRule="auto"/>
        <w:rPr>
          <w:rFonts w:hint="default"/>
          <w:b/>
          <w:sz w:val="24"/>
        </w:rPr>
      </w:pPr>
      <w:bookmarkStart w:id="60" w:name="_Toc6665520"/>
      <w:r>
        <w:rPr>
          <w:b/>
          <w:sz w:val="24"/>
        </w:rPr>
        <w:t>11.投标报价</w:t>
      </w:r>
      <w:bookmarkEnd w:id="57"/>
      <w:bookmarkEnd w:id="58"/>
      <w:bookmarkEnd w:id="60"/>
    </w:p>
    <w:p>
      <w:pPr>
        <w:spacing w:line="360" w:lineRule="auto"/>
        <w:rPr>
          <w:rFonts w:ascii="宋体" w:hAnsi="宋体"/>
          <w:sz w:val="24"/>
        </w:rPr>
      </w:pPr>
      <w:bookmarkStart w:id="61" w:name="_Toc310195707"/>
      <w:bookmarkStart w:id="62" w:name="_Ref467306513"/>
      <w:bookmarkStart w:id="63" w:name="_Toc520356156"/>
      <w:r>
        <w:rPr>
          <w:rFonts w:ascii="宋体" w:hAnsi="宋体"/>
          <w:sz w:val="24"/>
        </w:rPr>
        <w:t>11.1投标报价：所有投标均以人民币报价。投标人的投标报价应遵守</w:t>
      </w:r>
      <w:r>
        <w:rPr>
          <w:rFonts w:hint="eastAsia" w:ascii="宋体" w:hAnsi="宋体"/>
          <w:sz w:val="24"/>
        </w:rPr>
        <w:t>《</w:t>
      </w:r>
      <w:r>
        <w:rPr>
          <w:rFonts w:ascii="宋体" w:hAnsi="宋体"/>
          <w:sz w:val="24"/>
        </w:rPr>
        <w:t>中华人民共和国价格法</w:t>
      </w:r>
      <w:r>
        <w:rPr>
          <w:rFonts w:hint="eastAsia" w:ascii="宋体" w:hAnsi="宋体"/>
          <w:sz w:val="24"/>
        </w:rPr>
        <w:t>》</w:t>
      </w:r>
      <w:r>
        <w:rPr>
          <w:rFonts w:ascii="宋体" w:hAnsi="宋体"/>
          <w:sz w:val="24"/>
        </w:rPr>
        <w:t>。该报价的全部费用，含相关税费，运输费，保险费，安装费及相关服务费等一切可能发生的费用。如投标产品为进口产品，投标报价必须报进口免税价。进口免税价须包含在采购人指定地点交货的，除进口关税和进口增值税外的全部费用（例如进口代理服务费等相关费用），并包含安装、调试、培训和检测等全部费用。</w:t>
      </w:r>
    </w:p>
    <w:p>
      <w:pPr>
        <w:spacing w:line="360" w:lineRule="auto"/>
        <w:rPr>
          <w:rFonts w:ascii="宋体" w:hAnsi="宋体"/>
          <w:sz w:val="24"/>
        </w:rPr>
      </w:pPr>
      <w:r>
        <w:rPr>
          <w:rFonts w:ascii="宋体" w:hAnsi="宋体"/>
          <w:sz w:val="24"/>
        </w:rPr>
        <w:t>11.2投标人应在“投标分项报价表”上标明投标货物及相关服务的单价和总价，并由法定代表人或其授权代表签署。</w:t>
      </w:r>
    </w:p>
    <w:p>
      <w:pPr>
        <w:pStyle w:val="13"/>
        <w:spacing w:line="360" w:lineRule="auto"/>
      </w:pPr>
      <w:r>
        <w:rPr>
          <w:rFonts w:hint="eastAsia" w:ascii="宋体" w:hAnsi="宋体"/>
          <w:sz w:val="24"/>
        </w:rPr>
        <w:t>11.3投标分项报价表上的价格项应包含所有费用（招标文件另行规定除外），包括招标文件中要求的全部内容。</w:t>
      </w:r>
    </w:p>
    <w:p>
      <w:pPr>
        <w:spacing w:line="360" w:lineRule="auto"/>
        <w:rPr>
          <w:sz w:val="24"/>
        </w:rPr>
      </w:pPr>
      <w:r>
        <w:rPr>
          <w:sz w:val="24"/>
        </w:rPr>
        <w:t>11.</w:t>
      </w:r>
      <w:r>
        <w:rPr>
          <w:rFonts w:hint="eastAsia"/>
          <w:sz w:val="24"/>
        </w:rPr>
        <w:t>4</w:t>
      </w:r>
      <w:r>
        <w:rPr>
          <w:sz w:val="24"/>
        </w:rPr>
        <w:t>本次招标</w:t>
      </w:r>
      <w:r>
        <w:rPr>
          <w:rFonts w:hint="eastAsia"/>
          <w:sz w:val="24"/>
        </w:rPr>
        <w:t>，</w:t>
      </w:r>
      <w:r>
        <w:rPr>
          <w:sz w:val="24"/>
        </w:rPr>
        <w:t>只允许有一个</w:t>
      </w:r>
      <w:r>
        <w:rPr>
          <w:rFonts w:hint="eastAsia"/>
          <w:sz w:val="24"/>
        </w:rPr>
        <w:t>投标</w:t>
      </w:r>
      <w:r>
        <w:rPr>
          <w:sz w:val="24"/>
        </w:rPr>
        <w:t>报价，</w:t>
      </w:r>
      <w:r>
        <w:rPr>
          <w:rFonts w:hint="eastAsia"/>
          <w:sz w:val="24"/>
        </w:rPr>
        <w:t>本项目不接受任何</w:t>
      </w:r>
      <w:r>
        <w:rPr>
          <w:sz w:val="24"/>
        </w:rPr>
        <w:t>选择性报价。</w:t>
      </w:r>
    </w:p>
    <w:p>
      <w:pPr>
        <w:spacing w:line="360" w:lineRule="auto"/>
        <w:rPr>
          <w:sz w:val="24"/>
        </w:rPr>
      </w:pPr>
      <w:r>
        <w:rPr>
          <w:sz w:val="24"/>
        </w:rPr>
        <w:t>11.</w:t>
      </w:r>
      <w:r>
        <w:rPr>
          <w:rFonts w:hint="eastAsia"/>
          <w:sz w:val="24"/>
        </w:rPr>
        <w:t>5</w:t>
      </w:r>
      <w:r>
        <w:rPr>
          <w:sz w:val="24"/>
        </w:rPr>
        <w:t xml:space="preserve"> 最低报价不</w:t>
      </w:r>
      <w:r>
        <w:rPr>
          <w:rFonts w:hint="eastAsia"/>
          <w:sz w:val="24"/>
        </w:rPr>
        <w:t>作为</w:t>
      </w:r>
      <w:r>
        <w:rPr>
          <w:sz w:val="24"/>
        </w:rPr>
        <w:t>授予合同的唯一保证。</w:t>
      </w:r>
    </w:p>
    <w:p>
      <w:pPr>
        <w:pStyle w:val="4"/>
        <w:tabs>
          <w:tab w:val="left" w:pos="900"/>
        </w:tabs>
        <w:spacing w:line="360" w:lineRule="auto"/>
        <w:rPr>
          <w:rFonts w:hint="default"/>
          <w:b/>
          <w:sz w:val="24"/>
        </w:rPr>
      </w:pPr>
      <w:bookmarkStart w:id="64" w:name="_Toc6665521"/>
      <w:r>
        <w:rPr>
          <w:b/>
          <w:sz w:val="24"/>
        </w:rPr>
        <w:t>12.投标保证金</w:t>
      </w:r>
      <w:bookmarkEnd w:id="61"/>
      <w:bookmarkEnd w:id="62"/>
      <w:bookmarkEnd w:id="63"/>
      <w:bookmarkEnd w:id="64"/>
    </w:p>
    <w:p>
      <w:pPr>
        <w:pStyle w:val="117"/>
        <w:spacing w:line="360" w:lineRule="auto"/>
        <w:rPr>
          <w:rFonts w:ascii="宋体" w:hAnsi="宋体"/>
          <w:sz w:val="24"/>
        </w:rPr>
      </w:pPr>
      <w:bookmarkStart w:id="65" w:name="_Ref467306302"/>
      <w:r>
        <w:rPr>
          <w:rFonts w:hint="eastAsia" w:ascii="宋体" w:hAnsi="宋体"/>
          <w:sz w:val="24"/>
        </w:rPr>
        <w:t>12.1 投标人应提供投标保证金</w:t>
      </w:r>
      <w:bookmarkEnd w:id="65"/>
      <w:r>
        <w:rPr>
          <w:rFonts w:hint="eastAsia" w:ascii="宋体" w:hAnsi="宋体"/>
          <w:sz w:val="24"/>
        </w:rPr>
        <w:t>，作为其有效投标的一部分。</w:t>
      </w:r>
    </w:p>
    <w:p>
      <w:pPr>
        <w:pStyle w:val="117"/>
        <w:spacing w:line="360" w:lineRule="auto"/>
        <w:rPr>
          <w:rFonts w:ascii="宋体" w:hAnsi="宋体"/>
          <w:sz w:val="24"/>
        </w:rPr>
      </w:pPr>
      <w:r>
        <w:rPr>
          <w:rFonts w:hint="eastAsia" w:ascii="宋体" w:hAnsi="宋体"/>
          <w:b/>
          <w:sz w:val="24"/>
        </w:rPr>
        <w:t>下列任何情况发生，投标保证金将不予返还：</w:t>
      </w:r>
    </w:p>
    <w:p>
      <w:pPr>
        <w:pStyle w:val="117"/>
        <w:spacing w:line="360" w:lineRule="auto"/>
        <w:rPr>
          <w:rFonts w:ascii="宋体" w:hAnsi="宋体"/>
          <w:sz w:val="24"/>
        </w:rPr>
      </w:pPr>
      <w:r>
        <w:rPr>
          <w:rFonts w:hint="eastAsia" w:ascii="宋体" w:hAnsi="宋体"/>
          <w:sz w:val="24"/>
        </w:rPr>
        <w:t>(1)投标有效期内投标人撤销投标文件的；</w:t>
      </w:r>
    </w:p>
    <w:p>
      <w:pPr>
        <w:pStyle w:val="117"/>
        <w:spacing w:line="360" w:lineRule="auto"/>
        <w:rPr>
          <w:rFonts w:ascii="宋体" w:hAnsi="宋体"/>
          <w:sz w:val="24"/>
        </w:rPr>
      </w:pPr>
      <w:r>
        <w:rPr>
          <w:rFonts w:hint="eastAsia" w:ascii="宋体" w:hAnsi="宋体"/>
          <w:sz w:val="24"/>
        </w:rPr>
        <w:t>(2)中标人不按本须知第</w:t>
      </w:r>
      <w:r>
        <w:rPr>
          <w:rFonts w:ascii="宋体" w:hAnsi="宋体"/>
          <w:sz w:val="24"/>
        </w:rPr>
        <w:t>27条的规定与</w:t>
      </w:r>
      <w:r>
        <w:rPr>
          <w:rFonts w:hint="eastAsia" w:ascii="宋体" w:hAnsi="宋体"/>
          <w:sz w:val="24"/>
        </w:rPr>
        <w:t>采购人签订合同的；</w:t>
      </w:r>
    </w:p>
    <w:p>
      <w:pPr>
        <w:pStyle w:val="117"/>
        <w:spacing w:line="360" w:lineRule="auto"/>
        <w:rPr>
          <w:rFonts w:ascii="宋体" w:hAnsi="宋体"/>
          <w:sz w:val="24"/>
        </w:rPr>
      </w:pPr>
      <w:r>
        <w:rPr>
          <w:rFonts w:hint="eastAsia" w:ascii="宋体" w:hAnsi="宋体"/>
          <w:sz w:val="24"/>
        </w:rPr>
        <w:t>(3)中标人不按本须知第28条的规定提交履约保证金的；</w:t>
      </w:r>
    </w:p>
    <w:p>
      <w:pPr>
        <w:pStyle w:val="117"/>
        <w:spacing w:line="360" w:lineRule="auto"/>
        <w:rPr>
          <w:rFonts w:ascii="宋体" w:hAnsi="宋体"/>
          <w:sz w:val="24"/>
        </w:rPr>
      </w:pPr>
      <w:r>
        <w:rPr>
          <w:rFonts w:hint="eastAsia" w:ascii="宋体" w:hAnsi="宋体"/>
          <w:sz w:val="24"/>
        </w:rPr>
        <w:t>（4）中标人擅自放弃中标的。</w:t>
      </w:r>
    </w:p>
    <w:p>
      <w:pPr>
        <w:spacing w:line="360" w:lineRule="auto"/>
        <w:rPr>
          <w:rFonts w:ascii="宋体" w:hAnsi="宋体"/>
          <w:sz w:val="24"/>
        </w:rPr>
      </w:pPr>
      <w:bookmarkStart w:id="66" w:name="_Ref467306336"/>
      <w:r>
        <w:rPr>
          <w:rFonts w:hint="eastAsia" w:ascii="宋体" w:hAnsi="宋体"/>
          <w:sz w:val="24"/>
        </w:rPr>
        <w:t>12.2提交</w:t>
      </w:r>
      <w:r>
        <w:rPr>
          <w:rFonts w:ascii="宋体" w:hAnsi="宋体"/>
          <w:sz w:val="24"/>
        </w:rPr>
        <w:t>投标保证金形式：</w:t>
      </w:r>
      <w:r>
        <w:rPr>
          <w:rFonts w:hint="eastAsia" w:ascii="宋体" w:hAnsi="宋体"/>
          <w:sz w:val="24"/>
        </w:rPr>
        <w:t>支票、汇款等非现金形式</w:t>
      </w:r>
      <w:bookmarkEnd w:id="66"/>
      <w:r>
        <w:rPr>
          <w:rFonts w:ascii="宋体" w:hAnsi="宋体"/>
          <w:sz w:val="24"/>
        </w:rPr>
        <w:t>。</w:t>
      </w:r>
    </w:p>
    <w:p>
      <w:pPr>
        <w:pStyle w:val="117"/>
        <w:spacing w:line="360" w:lineRule="auto"/>
        <w:rPr>
          <w:rFonts w:ascii="宋体" w:hAnsi="宋体"/>
          <w:sz w:val="24"/>
        </w:rPr>
      </w:pPr>
      <w:r>
        <w:rPr>
          <w:rFonts w:hint="eastAsia" w:ascii="宋体" w:hAnsi="宋体"/>
          <w:sz w:val="24"/>
        </w:rPr>
        <w:t>12.3中标人的投标保证金，自采购合同签订之日起5个工作日内退还。</w:t>
      </w:r>
    </w:p>
    <w:p>
      <w:pPr>
        <w:pStyle w:val="117"/>
        <w:spacing w:line="360" w:lineRule="auto"/>
      </w:pPr>
      <w:r>
        <w:rPr>
          <w:rFonts w:hint="eastAsia" w:ascii="宋体" w:hAnsi="宋体"/>
          <w:sz w:val="24"/>
        </w:rPr>
        <w:t>12.4未中标人的投标保证金，自中标通知书发出之日起5个工作日内退还。</w:t>
      </w:r>
    </w:p>
    <w:p>
      <w:pPr>
        <w:pStyle w:val="4"/>
        <w:tabs>
          <w:tab w:val="left" w:pos="900"/>
        </w:tabs>
        <w:spacing w:line="360" w:lineRule="auto"/>
        <w:rPr>
          <w:rFonts w:hint="default"/>
          <w:b/>
          <w:sz w:val="24"/>
        </w:rPr>
      </w:pPr>
      <w:bookmarkStart w:id="67" w:name="_Toc310195708"/>
      <w:bookmarkStart w:id="68" w:name="_Toc6665522"/>
      <w:bookmarkStart w:id="69" w:name="_Toc520356157"/>
      <w:r>
        <w:rPr>
          <w:b/>
          <w:sz w:val="24"/>
        </w:rPr>
        <w:t>13.投标有效期</w:t>
      </w:r>
      <w:bookmarkEnd w:id="67"/>
      <w:bookmarkEnd w:id="68"/>
      <w:bookmarkEnd w:id="69"/>
    </w:p>
    <w:p>
      <w:pPr>
        <w:pStyle w:val="117"/>
        <w:spacing w:line="360" w:lineRule="auto"/>
        <w:rPr>
          <w:rFonts w:ascii="宋体" w:hAnsi="宋体"/>
          <w:sz w:val="24"/>
        </w:rPr>
      </w:pPr>
      <w:r>
        <w:rPr>
          <w:rFonts w:hint="eastAsia" w:ascii="宋体" w:hAnsi="宋体"/>
          <w:sz w:val="24"/>
        </w:rPr>
        <w:t>13.1</w:t>
      </w:r>
      <w:r>
        <w:rPr>
          <w:b/>
          <w:sz w:val="24"/>
        </w:rPr>
        <w:t>投标有效期</w:t>
      </w:r>
      <w:r>
        <w:rPr>
          <w:rFonts w:hint="eastAsia"/>
          <w:b/>
          <w:sz w:val="24"/>
        </w:rPr>
        <w:t>：详见投标人须知资料表</w:t>
      </w:r>
      <w:r>
        <w:rPr>
          <w:rFonts w:hint="eastAsia" w:ascii="宋体" w:hAnsi="宋体"/>
          <w:sz w:val="24"/>
        </w:rPr>
        <w:t>。</w:t>
      </w:r>
    </w:p>
    <w:p>
      <w:pPr>
        <w:pStyle w:val="117"/>
        <w:spacing w:line="360" w:lineRule="auto"/>
      </w:pPr>
      <w:r>
        <w:rPr>
          <w:rFonts w:hint="eastAsia" w:ascii="宋体" w:hAnsi="宋体"/>
          <w:sz w:val="24"/>
        </w:rPr>
        <w:t>13.2采购人或者采购代理机构可根据实际情况，在原投标有效期截止之前，要求投标人同意延长投标文件的有效期。接受该要求的投标人将不允许修正其它内容，且本须知中有关投标保证金的返还的规定将在延长了的有效期内继续有效。投标人也可以拒绝采购代理机构的这种要求，其投标保证金将不会被没收。上述要求和答复都应以书面形式提交。</w:t>
      </w:r>
    </w:p>
    <w:p>
      <w:pPr>
        <w:pStyle w:val="4"/>
        <w:tabs>
          <w:tab w:val="left" w:pos="900"/>
        </w:tabs>
        <w:spacing w:line="360" w:lineRule="auto"/>
        <w:rPr>
          <w:rFonts w:hint="default"/>
          <w:b/>
          <w:sz w:val="24"/>
        </w:rPr>
      </w:pPr>
      <w:bookmarkStart w:id="70" w:name="_Toc520356158"/>
      <w:bookmarkStart w:id="71" w:name="_Toc310195709"/>
      <w:bookmarkStart w:id="72" w:name="_Toc6665523"/>
      <w:r>
        <w:rPr>
          <w:b/>
          <w:sz w:val="24"/>
        </w:rPr>
        <w:t>14.投标文件的签署</w:t>
      </w:r>
      <w:bookmarkEnd w:id="70"/>
      <w:r>
        <w:rPr>
          <w:b/>
          <w:sz w:val="24"/>
        </w:rPr>
        <w:t>与规定</w:t>
      </w:r>
      <w:bookmarkEnd w:id="71"/>
      <w:bookmarkEnd w:id="72"/>
    </w:p>
    <w:p>
      <w:pPr>
        <w:pStyle w:val="117"/>
        <w:spacing w:line="360" w:lineRule="auto"/>
        <w:rPr>
          <w:rFonts w:ascii="宋体" w:hAnsi="宋体"/>
          <w:sz w:val="24"/>
        </w:rPr>
      </w:pPr>
      <w:r>
        <w:rPr>
          <w:rFonts w:hint="eastAsia" w:ascii="宋体" w:hAnsi="宋体"/>
          <w:sz w:val="24"/>
        </w:rPr>
        <w:t>14.1投标人应按招标文件第二章投标人须知资料表的规定准备投标文件的正本、副本、电子版，每份投标文件须清楚地标明“正本”、“副本”、“电子版”。若正本和副本、电子文件不符，以纸质正本为准。</w:t>
      </w:r>
    </w:p>
    <w:p>
      <w:pPr>
        <w:pStyle w:val="117"/>
        <w:spacing w:line="360" w:lineRule="auto"/>
        <w:rPr>
          <w:rFonts w:ascii="宋体" w:hAnsi="宋体"/>
          <w:sz w:val="24"/>
        </w:rPr>
      </w:pPr>
      <w:r>
        <w:rPr>
          <w:rFonts w:hint="eastAsia" w:ascii="宋体" w:hAnsi="宋体"/>
          <w:sz w:val="24"/>
        </w:rPr>
        <w:t>14.2投标文件的正本需打印或用不退色墨水书写。</w:t>
      </w:r>
    </w:p>
    <w:p>
      <w:pPr>
        <w:pStyle w:val="117"/>
        <w:spacing w:line="360" w:lineRule="auto"/>
        <w:rPr>
          <w:rFonts w:ascii="宋体" w:hAnsi="宋体"/>
          <w:sz w:val="24"/>
        </w:rPr>
      </w:pPr>
      <w:r>
        <w:rPr>
          <w:rFonts w:hint="eastAsia" w:ascii="宋体" w:hAnsi="宋体"/>
          <w:sz w:val="24"/>
        </w:rPr>
        <w:t>14.3 任何对投标文件行间插字、涂改和增删，必须由法定代表人或其授权代表签字，或加盖本单位公章后才有效。</w:t>
      </w:r>
    </w:p>
    <w:p>
      <w:pPr>
        <w:pStyle w:val="117"/>
        <w:spacing w:line="360" w:lineRule="auto"/>
        <w:rPr>
          <w:rFonts w:ascii="宋体" w:hAnsi="宋体"/>
          <w:sz w:val="24"/>
        </w:rPr>
      </w:pPr>
      <w:r>
        <w:rPr>
          <w:rFonts w:hint="eastAsia" w:ascii="宋体" w:hAnsi="宋体"/>
          <w:sz w:val="24"/>
        </w:rPr>
        <w:t>14.4 投标文件因字迹潦草或表达不清所引起的后果由投标人负责。</w:t>
      </w:r>
    </w:p>
    <w:p>
      <w:pPr>
        <w:pStyle w:val="4"/>
        <w:tabs>
          <w:tab w:val="left" w:pos="900"/>
        </w:tabs>
        <w:spacing w:line="360" w:lineRule="auto"/>
        <w:jc w:val="center"/>
        <w:rPr>
          <w:rFonts w:hint="default"/>
          <w:sz w:val="24"/>
        </w:rPr>
      </w:pPr>
      <w:bookmarkStart w:id="73" w:name="_Toc310195710"/>
      <w:bookmarkStart w:id="74" w:name="_Toc520356159"/>
      <w:bookmarkStart w:id="75" w:name="_Toc6665524"/>
      <w:r>
        <w:rPr>
          <w:sz w:val="24"/>
        </w:rPr>
        <w:t>四   投标文件的递交</w:t>
      </w:r>
      <w:bookmarkEnd w:id="73"/>
      <w:bookmarkEnd w:id="74"/>
      <w:bookmarkEnd w:id="75"/>
    </w:p>
    <w:p>
      <w:pPr>
        <w:pStyle w:val="4"/>
        <w:spacing w:line="360" w:lineRule="auto"/>
        <w:rPr>
          <w:rFonts w:hint="default"/>
          <w:b/>
          <w:sz w:val="24"/>
        </w:rPr>
      </w:pPr>
      <w:bookmarkStart w:id="76" w:name="_Toc310195711"/>
      <w:bookmarkStart w:id="77" w:name="_Toc6665525"/>
      <w:r>
        <w:rPr>
          <w:b/>
          <w:sz w:val="24"/>
        </w:rPr>
        <w:t>15.投标文件的装订及递交</w:t>
      </w:r>
      <w:bookmarkEnd w:id="76"/>
      <w:bookmarkEnd w:id="77"/>
    </w:p>
    <w:p>
      <w:pPr>
        <w:pStyle w:val="117"/>
        <w:spacing w:line="360" w:lineRule="auto"/>
        <w:rPr>
          <w:rFonts w:ascii="宋体" w:hAnsi="宋体"/>
          <w:b/>
          <w:sz w:val="24"/>
        </w:rPr>
      </w:pPr>
      <w:bookmarkStart w:id="78" w:name="_Toc520356161"/>
      <w:r>
        <w:rPr>
          <w:rFonts w:hint="eastAsia" w:ascii="宋体" w:hAnsi="宋体"/>
          <w:b/>
          <w:sz w:val="24"/>
        </w:rPr>
        <w:t>15.1 投标文件一律采用A4纸（图纸、彩页等除外），左侧装订。装订应牢固可靠，不易散落，不得采用活页式装订，采购人或采购代理机构对因装订不牢造成的文件散失不负责任。</w:t>
      </w:r>
    </w:p>
    <w:p>
      <w:pPr>
        <w:pStyle w:val="117"/>
        <w:spacing w:line="360" w:lineRule="auto"/>
        <w:rPr>
          <w:rFonts w:ascii="宋体" w:hAnsi="宋体"/>
          <w:b/>
          <w:sz w:val="24"/>
        </w:rPr>
      </w:pPr>
      <w:r>
        <w:rPr>
          <w:rFonts w:hint="eastAsia" w:ascii="宋体" w:hAnsi="宋体"/>
          <w:b/>
          <w:sz w:val="24"/>
        </w:rPr>
        <w:t>15.2投标人应将“开标一览表”、“投标文件资格册正本”、“投标文件资格册副本”、</w:t>
      </w:r>
      <w:r>
        <w:rPr>
          <w:rFonts w:ascii="宋体" w:hAnsi="宋体"/>
          <w:b/>
          <w:color w:val="000000"/>
          <w:sz w:val="24"/>
        </w:rPr>
        <w:t>“投标文件</w:t>
      </w:r>
      <w:r>
        <w:rPr>
          <w:rFonts w:hint="eastAsia" w:ascii="宋体" w:hAnsi="宋体"/>
          <w:b/>
          <w:color w:val="000000"/>
          <w:sz w:val="24"/>
        </w:rPr>
        <w:t>商务技术册</w:t>
      </w:r>
      <w:r>
        <w:rPr>
          <w:rFonts w:ascii="宋体" w:hAnsi="宋体"/>
          <w:b/>
          <w:color w:val="000000"/>
          <w:sz w:val="24"/>
        </w:rPr>
        <w:t>正本”</w:t>
      </w:r>
      <w:r>
        <w:rPr>
          <w:rFonts w:hint="eastAsia" w:ascii="宋体" w:hAnsi="宋体"/>
          <w:b/>
          <w:color w:val="000000"/>
          <w:sz w:val="24"/>
        </w:rPr>
        <w:t>、</w:t>
      </w:r>
      <w:r>
        <w:rPr>
          <w:rFonts w:ascii="宋体" w:hAnsi="宋体"/>
          <w:b/>
          <w:color w:val="000000"/>
          <w:sz w:val="24"/>
        </w:rPr>
        <w:t>“投标文件</w:t>
      </w:r>
      <w:r>
        <w:rPr>
          <w:rFonts w:hint="eastAsia" w:ascii="宋体" w:hAnsi="宋体"/>
          <w:b/>
          <w:color w:val="000000"/>
          <w:sz w:val="24"/>
        </w:rPr>
        <w:t>商务技术册</w:t>
      </w:r>
      <w:r>
        <w:rPr>
          <w:rFonts w:ascii="宋体" w:hAnsi="宋体"/>
          <w:b/>
          <w:color w:val="000000"/>
          <w:sz w:val="24"/>
        </w:rPr>
        <w:t>副本”</w:t>
      </w:r>
      <w:r>
        <w:rPr>
          <w:rFonts w:hint="eastAsia" w:ascii="宋体" w:hAnsi="宋体"/>
          <w:b/>
          <w:sz w:val="24"/>
        </w:rPr>
        <w:t>“投标保证金复印件”、“</w:t>
      </w:r>
      <w:r>
        <w:rPr>
          <w:rFonts w:hint="eastAsia"/>
          <w:b/>
          <w:bCs/>
          <w:sz w:val="24"/>
        </w:rPr>
        <w:t>投标文件</w:t>
      </w:r>
      <w:r>
        <w:rPr>
          <w:rFonts w:hint="eastAsia" w:ascii="宋体" w:hAnsi="宋体"/>
          <w:b/>
          <w:sz w:val="24"/>
        </w:rPr>
        <w:t>电子版”、</w:t>
      </w:r>
      <w:r>
        <w:rPr>
          <w:rFonts w:hint="eastAsia"/>
          <w:b/>
          <w:color w:val="000000"/>
          <w:sz w:val="24"/>
        </w:rPr>
        <w:t>“样品（如有）”</w:t>
      </w:r>
      <w:r>
        <w:rPr>
          <w:rFonts w:hint="eastAsia" w:ascii="宋体" w:hAnsi="宋体"/>
          <w:b/>
          <w:sz w:val="24"/>
        </w:rPr>
        <w:t>分开单独密封，并在密封袋/箱上分别注明标明“开标一览表”、“投标文件资格册正本”、“投标文件资格册副本”、“投标保证金</w:t>
      </w:r>
      <w:bookmarkStart w:id="79" w:name="_Toc350411806"/>
      <w:bookmarkStart w:id="80" w:name="_Toc366683837"/>
      <w:r>
        <w:rPr>
          <w:rFonts w:hint="eastAsia" w:ascii="宋体" w:hAnsi="宋体"/>
          <w:b/>
          <w:sz w:val="24"/>
        </w:rPr>
        <w:t>”、</w:t>
      </w:r>
      <w:bookmarkEnd w:id="79"/>
      <w:bookmarkEnd w:id="80"/>
      <w:r>
        <w:rPr>
          <w:rFonts w:hint="eastAsia" w:ascii="宋体" w:hAnsi="宋体"/>
          <w:b/>
          <w:sz w:val="24"/>
        </w:rPr>
        <w:t>“电子版”、</w:t>
      </w:r>
      <w:r>
        <w:rPr>
          <w:rFonts w:ascii="宋体" w:hAnsi="宋体"/>
          <w:b/>
          <w:color w:val="000000"/>
          <w:sz w:val="24"/>
        </w:rPr>
        <w:t>“投标文件</w:t>
      </w:r>
      <w:r>
        <w:rPr>
          <w:rFonts w:hint="eastAsia" w:ascii="宋体" w:hAnsi="宋体"/>
          <w:b/>
          <w:color w:val="000000"/>
          <w:sz w:val="24"/>
        </w:rPr>
        <w:t>商务技术册</w:t>
      </w:r>
      <w:r>
        <w:rPr>
          <w:rFonts w:ascii="宋体" w:hAnsi="宋体"/>
          <w:b/>
          <w:color w:val="000000"/>
          <w:sz w:val="24"/>
        </w:rPr>
        <w:t>正本”</w:t>
      </w:r>
      <w:r>
        <w:rPr>
          <w:rFonts w:hint="eastAsia" w:ascii="宋体" w:hAnsi="宋体"/>
          <w:b/>
          <w:color w:val="000000"/>
          <w:sz w:val="24"/>
        </w:rPr>
        <w:t>、</w:t>
      </w:r>
      <w:r>
        <w:rPr>
          <w:rFonts w:ascii="宋体" w:hAnsi="宋体"/>
          <w:b/>
          <w:color w:val="000000"/>
          <w:sz w:val="24"/>
        </w:rPr>
        <w:t>“投标文件</w:t>
      </w:r>
      <w:r>
        <w:rPr>
          <w:rFonts w:hint="eastAsia" w:ascii="宋体" w:hAnsi="宋体"/>
          <w:b/>
          <w:color w:val="000000"/>
          <w:sz w:val="24"/>
        </w:rPr>
        <w:t>商务技术册</w:t>
      </w:r>
      <w:r>
        <w:rPr>
          <w:rFonts w:ascii="宋体" w:hAnsi="宋体"/>
          <w:b/>
          <w:color w:val="000000"/>
          <w:sz w:val="24"/>
        </w:rPr>
        <w:t>副本”</w:t>
      </w:r>
      <w:r>
        <w:rPr>
          <w:rFonts w:hint="eastAsia" w:ascii="宋体" w:hAnsi="宋体"/>
          <w:b/>
          <w:sz w:val="24"/>
        </w:rPr>
        <w:t>、“样品（如有）”字样，在投标时单独递交。同时提供“法人代表授权书（加盖本单位公章）”及“授权代表身份证复印件（加盖本单位公章）”。</w:t>
      </w:r>
    </w:p>
    <w:p>
      <w:pPr>
        <w:pStyle w:val="117"/>
        <w:spacing w:line="360" w:lineRule="auto"/>
        <w:rPr>
          <w:rFonts w:ascii="宋体" w:hAnsi="宋体"/>
          <w:b/>
          <w:sz w:val="24"/>
        </w:rPr>
      </w:pPr>
      <w:r>
        <w:rPr>
          <w:rFonts w:hint="eastAsia" w:ascii="宋体" w:hAnsi="宋体"/>
          <w:b/>
          <w:sz w:val="24"/>
        </w:rPr>
        <w:t>15.3所有密封袋/箱上均应：</w:t>
      </w:r>
    </w:p>
    <w:p>
      <w:pPr>
        <w:pStyle w:val="117"/>
        <w:spacing w:line="360" w:lineRule="auto"/>
        <w:rPr>
          <w:rFonts w:ascii="宋体" w:hAnsi="宋体"/>
          <w:b/>
          <w:sz w:val="24"/>
        </w:rPr>
      </w:pPr>
      <w:r>
        <w:rPr>
          <w:rFonts w:hint="eastAsia" w:ascii="宋体" w:hAnsi="宋体"/>
          <w:b/>
          <w:sz w:val="24"/>
        </w:rPr>
        <w:t>1)清楚标明</w:t>
      </w:r>
      <w:r>
        <w:rPr>
          <w:rFonts w:ascii="宋体" w:hAnsi="宋体"/>
          <w:sz w:val="24"/>
        </w:rPr>
        <w:t>投标文件递交地点暨开标地点</w:t>
      </w:r>
      <w:r>
        <w:rPr>
          <w:rFonts w:hint="eastAsia" w:ascii="宋体" w:hAnsi="宋体"/>
          <w:b/>
          <w:sz w:val="24"/>
        </w:rPr>
        <w:t>。</w:t>
      </w:r>
    </w:p>
    <w:p>
      <w:pPr>
        <w:pStyle w:val="117"/>
        <w:spacing w:line="360" w:lineRule="auto"/>
        <w:rPr>
          <w:rFonts w:ascii="宋体" w:hAnsi="宋体"/>
          <w:sz w:val="24"/>
        </w:rPr>
      </w:pPr>
      <w:r>
        <w:rPr>
          <w:rFonts w:hint="eastAsia" w:ascii="宋体" w:hAnsi="宋体"/>
          <w:b/>
          <w:sz w:val="24"/>
        </w:rPr>
        <w:t>2)注明招标的项目名称、项目代理编号和投标人名称和地址，以及“在</w:t>
      </w:r>
      <w:r>
        <w:rPr>
          <w:rFonts w:hint="eastAsia" w:ascii="宋体" w:hAnsi="宋体"/>
          <w:b/>
          <w:i/>
          <w:sz w:val="24"/>
          <w:u w:val="single"/>
        </w:rPr>
        <w:t>（</w:t>
      </w:r>
      <w:r>
        <w:rPr>
          <w:rFonts w:hint="eastAsia" w:ascii="宋体" w:hAnsi="宋体"/>
          <w:i/>
          <w:sz w:val="24"/>
          <w:u w:val="single"/>
        </w:rPr>
        <w:t>开标时间</w:t>
      </w:r>
      <w:r>
        <w:rPr>
          <w:rFonts w:hint="eastAsia" w:ascii="宋体" w:hAnsi="宋体"/>
          <w:b/>
          <w:i/>
          <w:sz w:val="24"/>
          <w:u w:val="single"/>
        </w:rPr>
        <w:t>）</w:t>
      </w:r>
      <w:r>
        <w:rPr>
          <w:rFonts w:hint="eastAsia" w:ascii="宋体" w:hAnsi="宋体"/>
          <w:b/>
          <w:sz w:val="24"/>
        </w:rPr>
        <w:t>之前不得启封”的字样。</w:t>
      </w:r>
      <w:r>
        <w:rPr>
          <w:rFonts w:hint="eastAsia" w:ascii="宋体" w:hAnsi="宋体"/>
          <w:sz w:val="24"/>
        </w:rPr>
        <w:t>如果投标人未按上述要求加写标记的，采购代理机构对投标文件的误投概不负责。</w:t>
      </w:r>
    </w:p>
    <w:p>
      <w:pPr>
        <w:pStyle w:val="117"/>
        <w:spacing w:line="360" w:lineRule="auto"/>
        <w:rPr>
          <w:rFonts w:ascii="宋体" w:hAnsi="宋体"/>
          <w:sz w:val="24"/>
        </w:rPr>
      </w:pPr>
      <w:r>
        <w:rPr>
          <w:rFonts w:hint="eastAsia" w:ascii="宋体" w:hAnsi="宋体"/>
          <w:b/>
          <w:sz w:val="24"/>
        </w:rPr>
        <w:t>3)投标人提供投标文件的密封粘贴处应加盖本单位公章，以便确认密封情况，不符合要求的投标将被拒绝。</w:t>
      </w:r>
    </w:p>
    <w:p>
      <w:pPr>
        <w:pStyle w:val="4"/>
        <w:spacing w:line="360" w:lineRule="auto"/>
        <w:rPr>
          <w:rFonts w:hint="default"/>
          <w:b/>
          <w:sz w:val="24"/>
        </w:rPr>
      </w:pPr>
      <w:bookmarkStart w:id="81" w:name="_Toc6665526"/>
      <w:bookmarkStart w:id="82" w:name="_Toc310195712"/>
      <w:r>
        <w:rPr>
          <w:b/>
          <w:sz w:val="24"/>
        </w:rPr>
        <w:t>16.投标截止期</w:t>
      </w:r>
      <w:bookmarkEnd w:id="78"/>
      <w:bookmarkEnd w:id="81"/>
      <w:bookmarkEnd w:id="82"/>
    </w:p>
    <w:p>
      <w:pPr>
        <w:pStyle w:val="117"/>
        <w:spacing w:line="360" w:lineRule="auto"/>
        <w:rPr>
          <w:rFonts w:ascii="宋体" w:hAnsi="宋体"/>
          <w:sz w:val="24"/>
        </w:rPr>
      </w:pPr>
      <w:r>
        <w:rPr>
          <w:rFonts w:hint="eastAsia" w:ascii="宋体" w:hAnsi="宋体"/>
          <w:sz w:val="24"/>
        </w:rPr>
        <w:t>投标人应在招标公告或投标邀请书中规定的投标文件递交截止时间前，将投标文件按招标公告或投标邀请书中规定的投标地点递交。</w:t>
      </w:r>
    </w:p>
    <w:p>
      <w:pPr>
        <w:pStyle w:val="4"/>
        <w:spacing w:line="360" w:lineRule="auto"/>
        <w:rPr>
          <w:rFonts w:hint="default"/>
          <w:b/>
          <w:sz w:val="24"/>
        </w:rPr>
      </w:pPr>
      <w:bookmarkStart w:id="83" w:name="_Toc6665527"/>
      <w:bookmarkStart w:id="84" w:name="_Toc310195713"/>
      <w:bookmarkStart w:id="85" w:name="_Toc520356162"/>
      <w:r>
        <w:rPr>
          <w:b/>
          <w:sz w:val="24"/>
        </w:rPr>
        <w:t>17.投标文件的修改与撤回</w:t>
      </w:r>
      <w:bookmarkEnd w:id="83"/>
      <w:bookmarkEnd w:id="84"/>
      <w:bookmarkEnd w:id="85"/>
    </w:p>
    <w:p>
      <w:pPr>
        <w:pStyle w:val="117"/>
        <w:spacing w:line="360" w:lineRule="auto"/>
        <w:rPr>
          <w:rFonts w:ascii="宋体" w:hAnsi="宋体"/>
          <w:sz w:val="24"/>
        </w:rPr>
      </w:pPr>
      <w:r>
        <w:rPr>
          <w:rFonts w:hint="eastAsia" w:ascii="宋体" w:hAnsi="宋体"/>
          <w:sz w:val="24"/>
        </w:rPr>
        <w:t>17.1投标人在投标截止时间前，可以对所递交的投标文件进行补充、修改或者撤回，并书面通知采购人或者采购代理机构。</w:t>
      </w:r>
    </w:p>
    <w:p>
      <w:pPr>
        <w:pStyle w:val="117"/>
        <w:spacing w:line="360" w:lineRule="auto"/>
        <w:rPr>
          <w:rFonts w:ascii="宋体" w:hAnsi="宋体"/>
          <w:sz w:val="24"/>
        </w:rPr>
      </w:pPr>
      <w:r>
        <w:rPr>
          <w:rFonts w:hint="eastAsia" w:ascii="宋体" w:hAnsi="宋体"/>
          <w:sz w:val="24"/>
        </w:rPr>
        <w:t>17.2补充、修改的内容应当按照招标文件要求签署、盖章、密封后，作为投标文件的组成部分。</w:t>
      </w:r>
    </w:p>
    <w:p>
      <w:pPr>
        <w:pStyle w:val="117"/>
        <w:spacing w:line="360" w:lineRule="auto"/>
        <w:rPr>
          <w:rFonts w:ascii="宋体" w:hAnsi="宋体"/>
          <w:sz w:val="24"/>
        </w:rPr>
      </w:pPr>
      <w:r>
        <w:rPr>
          <w:rFonts w:hint="eastAsia" w:ascii="宋体" w:hAnsi="宋体"/>
          <w:sz w:val="24"/>
        </w:rPr>
        <w:t>17.3在投标截止期之后，投标人不得对其投标文件做任何修改。</w:t>
      </w:r>
    </w:p>
    <w:p>
      <w:pPr>
        <w:pStyle w:val="117"/>
        <w:spacing w:line="360" w:lineRule="auto"/>
        <w:rPr>
          <w:rFonts w:ascii="宋体" w:hAnsi="宋体"/>
          <w:b/>
          <w:sz w:val="24"/>
        </w:rPr>
      </w:pPr>
      <w:r>
        <w:rPr>
          <w:rFonts w:hint="eastAsia" w:ascii="宋体" w:hAnsi="宋体"/>
          <w:b/>
          <w:sz w:val="24"/>
        </w:rPr>
        <w:t>17.4在投标截止期之后，投标人不得撤回其投标（包括全部投标资料）。</w:t>
      </w:r>
    </w:p>
    <w:p>
      <w:pPr>
        <w:pStyle w:val="4"/>
        <w:spacing w:line="360" w:lineRule="auto"/>
        <w:ind w:left="899" w:hanging="899"/>
        <w:jc w:val="center"/>
        <w:rPr>
          <w:rFonts w:hint="default"/>
          <w:sz w:val="24"/>
        </w:rPr>
      </w:pPr>
      <w:bookmarkStart w:id="86" w:name="_Toc310195714"/>
      <w:bookmarkStart w:id="87" w:name="_Toc6665528"/>
      <w:bookmarkStart w:id="88" w:name="_Toc520356163"/>
      <w:r>
        <w:rPr>
          <w:sz w:val="24"/>
        </w:rPr>
        <w:t>五   开标及评标</w:t>
      </w:r>
      <w:bookmarkEnd w:id="86"/>
      <w:bookmarkEnd w:id="87"/>
      <w:bookmarkEnd w:id="88"/>
    </w:p>
    <w:p>
      <w:pPr>
        <w:pStyle w:val="4"/>
        <w:spacing w:line="360" w:lineRule="auto"/>
        <w:rPr>
          <w:rFonts w:hint="default"/>
          <w:b/>
          <w:sz w:val="24"/>
        </w:rPr>
      </w:pPr>
      <w:bookmarkStart w:id="89" w:name="_Toc520356164"/>
      <w:bookmarkStart w:id="90" w:name="_Toc6665529"/>
      <w:bookmarkStart w:id="91" w:name="_Toc310195715"/>
      <w:r>
        <w:rPr>
          <w:b/>
          <w:sz w:val="24"/>
        </w:rPr>
        <w:t>18.开标</w:t>
      </w:r>
      <w:bookmarkEnd w:id="89"/>
      <w:bookmarkEnd w:id="90"/>
      <w:bookmarkEnd w:id="91"/>
    </w:p>
    <w:p>
      <w:pPr>
        <w:pStyle w:val="117"/>
        <w:spacing w:line="360" w:lineRule="auto"/>
        <w:rPr>
          <w:rFonts w:ascii="宋体" w:hAnsi="宋体"/>
          <w:sz w:val="24"/>
        </w:rPr>
      </w:pPr>
      <w:r>
        <w:rPr>
          <w:rFonts w:hint="eastAsia" w:ascii="宋体" w:hAnsi="宋体"/>
          <w:sz w:val="24"/>
        </w:rPr>
        <w:t>18.1采购代理机构应当按招标公告或投标邀请书的规定，在投标截止时间的同一时间和预先确定的地点组织公开开标。所有投标人应派法定代表人或授权代表参加开标会，并签到以证明其出席。</w:t>
      </w:r>
    </w:p>
    <w:p>
      <w:pPr>
        <w:pStyle w:val="117"/>
        <w:spacing w:line="360" w:lineRule="auto"/>
        <w:rPr>
          <w:rFonts w:ascii="宋体" w:hAnsi="宋体"/>
          <w:sz w:val="24"/>
        </w:rPr>
      </w:pPr>
      <w:r>
        <w:rPr>
          <w:rFonts w:hint="eastAsia" w:ascii="宋体" w:hAnsi="宋体"/>
          <w:sz w:val="24"/>
        </w:rPr>
        <w:t>18.2开标时，由公证员（如有）、监标人（如有）或授权代表检查投标文件的密封情况。</w:t>
      </w:r>
    </w:p>
    <w:p>
      <w:pPr>
        <w:pStyle w:val="117"/>
        <w:spacing w:line="360" w:lineRule="auto"/>
        <w:rPr>
          <w:rFonts w:ascii="宋体" w:hAnsi="宋体"/>
          <w:b/>
          <w:sz w:val="24"/>
        </w:rPr>
      </w:pPr>
      <w:r>
        <w:rPr>
          <w:rFonts w:hint="eastAsia" w:ascii="宋体" w:hAnsi="宋体"/>
          <w:b/>
          <w:sz w:val="24"/>
        </w:rPr>
        <w:t>18.3开标时，采购代理机构当众宣读开标一览表中全部内容。</w:t>
      </w:r>
    </w:p>
    <w:p>
      <w:pPr>
        <w:pStyle w:val="117"/>
        <w:spacing w:line="360" w:lineRule="auto"/>
      </w:pPr>
      <w:r>
        <w:rPr>
          <w:rFonts w:hint="eastAsia" w:ascii="宋体" w:hAnsi="宋体"/>
          <w:sz w:val="24"/>
        </w:rPr>
        <w:t>18.4采购代理机构将对唱标内容做开标记录</w:t>
      </w:r>
      <w:bookmarkStart w:id="92" w:name="_Toc520356165"/>
      <w:r>
        <w:rPr>
          <w:rFonts w:hint="eastAsia" w:ascii="宋体" w:hAnsi="宋体"/>
          <w:sz w:val="24"/>
        </w:rPr>
        <w:t>，由公证员（如有）、监标人（如有）、采购代理机构、授权代表签字确认。</w:t>
      </w:r>
    </w:p>
    <w:bookmarkEnd w:id="92"/>
    <w:p>
      <w:pPr>
        <w:pStyle w:val="4"/>
        <w:spacing w:line="360" w:lineRule="auto"/>
        <w:rPr>
          <w:rFonts w:hint="default"/>
          <w:b/>
          <w:sz w:val="24"/>
        </w:rPr>
      </w:pPr>
      <w:bookmarkStart w:id="93" w:name="_Toc6665530"/>
      <w:bookmarkStart w:id="94" w:name="_Toc310195716"/>
      <w:r>
        <w:rPr>
          <w:b/>
          <w:sz w:val="24"/>
        </w:rPr>
        <w:t>19.评标委员会和评标方法</w:t>
      </w:r>
      <w:bookmarkEnd w:id="93"/>
      <w:bookmarkEnd w:id="94"/>
    </w:p>
    <w:p>
      <w:pPr>
        <w:pStyle w:val="117"/>
        <w:spacing w:line="360" w:lineRule="auto"/>
        <w:rPr>
          <w:rFonts w:ascii="宋体" w:hAnsi="宋体"/>
          <w:sz w:val="24"/>
        </w:rPr>
      </w:pPr>
      <w:r>
        <w:rPr>
          <w:rFonts w:hint="eastAsia" w:ascii="宋体" w:hAnsi="宋体"/>
          <w:sz w:val="24"/>
        </w:rPr>
        <w:t>19.1评标由依照有关法律法规组建的评标委员会负责。评标方法和评标标准详见本招标文件第五章。评标委员会对投标文件的评审，分为符合性审查、商务评审、技术评审、综合评审。</w:t>
      </w:r>
    </w:p>
    <w:p>
      <w:pPr>
        <w:pStyle w:val="4"/>
        <w:spacing w:line="360" w:lineRule="auto"/>
        <w:rPr>
          <w:rFonts w:hint="default"/>
          <w:b/>
          <w:sz w:val="24"/>
        </w:rPr>
      </w:pPr>
      <w:bookmarkStart w:id="95" w:name="_Toc520356166"/>
      <w:bookmarkStart w:id="96" w:name="_Toc6665531"/>
      <w:bookmarkStart w:id="97" w:name="_Toc310195717"/>
      <w:r>
        <w:rPr>
          <w:b/>
          <w:sz w:val="24"/>
          <w:lang w:val="en-US"/>
        </w:rPr>
        <w:t>20.</w:t>
      </w:r>
      <w:r>
        <w:rPr>
          <w:b/>
          <w:sz w:val="24"/>
        </w:rPr>
        <w:t>投标文件的</w:t>
      </w:r>
      <w:bookmarkEnd w:id="95"/>
      <w:r>
        <w:rPr>
          <w:b/>
          <w:sz w:val="24"/>
        </w:rPr>
        <w:t>初审</w:t>
      </w:r>
      <w:bookmarkEnd w:id="96"/>
      <w:bookmarkEnd w:id="97"/>
    </w:p>
    <w:p>
      <w:pPr>
        <w:pStyle w:val="117"/>
        <w:numPr>
          <w:ilvl w:val="255"/>
          <w:numId w:val="0"/>
        </w:numPr>
        <w:spacing w:line="360" w:lineRule="auto"/>
        <w:rPr>
          <w:rFonts w:ascii="宋体" w:hAnsi="宋体"/>
          <w:sz w:val="24"/>
        </w:rPr>
      </w:pPr>
      <w:r>
        <w:rPr>
          <w:rFonts w:hint="eastAsia" w:ascii="宋体" w:hAnsi="宋体"/>
          <w:sz w:val="24"/>
        </w:rPr>
        <w:t>20.1资格性审查。公开招标采购项目开标结束后，采购人或者采购代理机构应当依法对投标人的资格进行审查，以确定投标人是否具备投标资格。</w:t>
      </w:r>
    </w:p>
    <w:p>
      <w:pPr>
        <w:pStyle w:val="117"/>
        <w:spacing w:line="360" w:lineRule="auto"/>
        <w:rPr>
          <w:rFonts w:ascii="宋体" w:hAnsi="宋体"/>
          <w:sz w:val="24"/>
        </w:rPr>
      </w:pPr>
      <w:r>
        <w:rPr>
          <w:rFonts w:hint="eastAsia" w:ascii="宋体" w:hAnsi="宋体"/>
          <w:sz w:val="24"/>
        </w:rPr>
        <w:t>20.2符合性审查。评标委员会应当对符合资格的投标人的投标文件进行符合性审查，以确定其是否满足招标文件的实质性要求。</w:t>
      </w:r>
    </w:p>
    <w:p>
      <w:pPr>
        <w:pStyle w:val="117"/>
        <w:spacing w:line="360" w:lineRule="auto"/>
        <w:rPr>
          <w:rFonts w:ascii="宋体" w:hAnsi="宋体"/>
          <w:sz w:val="24"/>
        </w:rPr>
      </w:pPr>
      <w:r>
        <w:rPr>
          <w:rFonts w:hint="eastAsia" w:ascii="宋体" w:hAnsi="宋体"/>
          <w:sz w:val="24"/>
        </w:rPr>
        <w:t>20.3评标时算术错误将按以下方法更正（有明显错误的情况除外）：</w:t>
      </w:r>
    </w:p>
    <w:p>
      <w:pPr>
        <w:pStyle w:val="117"/>
        <w:spacing w:line="360" w:lineRule="auto"/>
        <w:rPr>
          <w:rFonts w:ascii="宋体" w:hAnsi="宋体"/>
          <w:sz w:val="24"/>
        </w:rPr>
      </w:pPr>
      <w:r>
        <w:rPr>
          <w:rFonts w:hint="eastAsia" w:ascii="宋体" w:hAnsi="宋体"/>
          <w:sz w:val="24"/>
        </w:rPr>
        <w:t>20.3.1投标文件中开标一览表（报价表）内容与投标文件中相应内容不一致的，以开标一览表（报价表）为准；</w:t>
      </w:r>
    </w:p>
    <w:p>
      <w:pPr>
        <w:pStyle w:val="117"/>
        <w:spacing w:line="360" w:lineRule="auto"/>
        <w:rPr>
          <w:rFonts w:ascii="宋体" w:hAnsi="宋体"/>
          <w:sz w:val="24"/>
        </w:rPr>
      </w:pPr>
      <w:r>
        <w:rPr>
          <w:rFonts w:hint="eastAsia" w:ascii="宋体" w:hAnsi="宋体"/>
          <w:sz w:val="24"/>
        </w:rPr>
        <w:t>20.3.2大写金额和小写金额不一致的，以大写金额为准；</w:t>
      </w:r>
    </w:p>
    <w:p>
      <w:pPr>
        <w:pStyle w:val="117"/>
        <w:spacing w:line="360" w:lineRule="auto"/>
        <w:rPr>
          <w:rFonts w:ascii="宋体" w:hAnsi="宋体"/>
          <w:sz w:val="24"/>
        </w:rPr>
      </w:pPr>
      <w:r>
        <w:rPr>
          <w:rFonts w:hint="eastAsia" w:ascii="宋体" w:hAnsi="宋体"/>
          <w:sz w:val="24"/>
        </w:rPr>
        <w:t>20.3.3单价金额小数点或者百分比有明显错位的，以开标一览表的总价为准，并修改单价；</w:t>
      </w:r>
    </w:p>
    <w:p>
      <w:pPr>
        <w:pStyle w:val="117"/>
        <w:spacing w:line="360" w:lineRule="auto"/>
        <w:rPr>
          <w:rFonts w:ascii="宋体" w:hAnsi="宋体"/>
          <w:sz w:val="24"/>
        </w:rPr>
      </w:pPr>
      <w:r>
        <w:rPr>
          <w:rFonts w:hint="eastAsia" w:ascii="宋体" w:hAnsi="宋体"/>
          <w:sz w:val="24"/>
        </w:rPr>
        <w:t>20.3.4总价金额与按单价汇总金额不一致的，以单价金额计算结果为准。</w:t>
      </w:r>
    </w:p>
    <w:p>
      <w:pPr>
        <w:pStyle w:val="117"/>
        <w:spacing w:line="360" w:lineRule="auto"/>
        <w:rPr>
          <w:rFonts w:ascii="宋体" w:hAnsi="宋体"/>
          <w:sz w:val="24"/>
        </w:rPr>
      </w:pPr>
      <w:r>
        <w:rPr>
          <w:rFonts w:hint="eastAsia" w:ascii="宋体" w:hAnsi="宋体"/>
          <w:sz w:val="24"/>
        </w:rPr>
        <w:t>20.3.5同时出现两种以上不一致的，按照20.3.1至20.3.4规定的顺序修正。</w:t>
      </w:r>
    </w:p>
    <w:p>
      <w:pPr>
        <w:pStyle w:val="117"/>
        <w:spacing w:line="360" w:lineRule="auto"/>
        <w:rPr>
          <w:rFonts w:ascii="宋体" w:hAnsi="宋体"/>
          <w:sz w:val="24"/>
        </w:rPr>
      </w:pPr>
      <w:r>
        <w:rPr>
          <w:rFonts w:hint="eastAsia" w:ascii="宋体" w:hAnsi="宋体"/>
          <w:sz w:val="24"/>
        </w:rPr>
        <w:t>20.3.6对不同文字文本投标文件解释发生异议的，以中文文本为准。</w:t>
      </w:r>
    </w:p>
    <w:p>
      <w:pPr>
        <w:pStyle w:val="117"/>
        <w:spacing w:line="360" w:lineRule="auto"/>
        <w:rPr>
          <w:rFonts w:ascii="宋体" w:hAnsi="宋体"/>
          <w:sz w:val="24"/>
        </w:rPr>
      </w:pPr>
      <w:r>
        <w:rPr>
          <w:rFonts w:hint="eastAsia" w:ascii="宋体" w:hAnsi="宋体"/>
          <w:sz w:val="24"/>
        </w:rPr>
        <w:t>20.4 在评标之前，评标委员会须审查每份投标文件《商务技术册》是否实质性响应了招标文件的要求。实质性响应的投标应该是《商务技术册》完整的、与招标文件要求的全部条款、条件和规格相符的，没有重大偏离的投标。对关键条文，例如关于投标保证金、投标有效期、适用法律等内容的偏离、保留和反对将被认为是实质上的偏离。评标委员会决定投标的响应性只根据投标文件本身的内容，而不依靠外部证据。</w:t>
      </w:r>
    </w:p>
    <w:p>
      <w:pPr>
        <w:pStyle w:val="117"/>
        <w:spacing w:line="360" w:lineRule="auto"/>
        <w:rPr>
          <w:rFonts w:ascii="宋体" w:hAnsi="宋体"/>
          <w:b/>
          <w:sz w:val="24"/>
        </w:rPr>
      </w:pPr>
      <w:r>
        <w:rPr>
          <w:rFonts w:hint="eastAsia" w:ascii="宋体" w:hAnsi="宋体"/>
          <w:sz w:val="24"/>
        </w:rPr>
        <w:t>20.5</w:t>
      </w:r>
      <w:r>
        <w:rPr>
          <w:rFonts w:hint="eastAsia" w:ascii="宋体" w:hAnsi="宋体"/>
          <w:b/>
          <w:sz w:val="24"/>
        </w:rPr>
        <w:t xml:space="preserve"> 在招标采购中，出现下列情形之一的，应予废标：</w:t>
      </w:r>
    </w:p>
    <w:p>
      <w:pPr>
        <w:pStyle w:val="117"/>
        <w:spacing w:line="360" w:lineRule="auto"/>
        <w:rPr>
          <w:rFonts w:ascii="宋体" w:hAnsi="宋体"/>
          <w:bCs/>
          <w:sz w:val="24"/>
        </w:rPr>
      </w:pPr>
      <w:r>
        <w:rPr>
          <w:rFonts w:hint="eastAsia" w:ascii="宋体" w:hAnsi="宋体"/>
          <w:bCs/>
          <w:sz w:val="24"/>
        </w:rPr>
        <w:t>20.5.1符合专业条件的投标人或者对招标文件作实质响应的投标人不足三家的；</w:t>
      </w:r>
    </w:p>
    <w:p>
      <w:pPr>
        <w:pStyle w:val="117"/>
        <w:spacing w:line="360" w:lineRule="auto"/>
        <w:rPr>
          <w:rFonts w:ascii="宋体" w:hAnsi="宋体"/>
          <w:bCs/>
          <w:sz w:val="24"/>
        </w:rPr>
      </w:pPr>
      <w:r>
        <w:rPr>
          <w:rFonts w:hint="eastAsia" w:ascii="宋体" w:hAnsi="宋体"/>
          <w:bCs/>
          <w:sz w:val="24"/>
        </w:rPr>
        <w:t>20.5.2出现影响采购公正的违法、违规行为的；</w:t>
      </w:r>
    </w:p>
    <w:p>
      <w:pPr>
        <w:pStyle w:val="117"/>
        <w:spacing w:line="360" w:lineRule="auto"/>
        <w:rPr>
          <w:rFonts w:ascii="宋体" w:hAnsi="宋体"/>
          <w:bCs/>
          <w:sz w:val="24"/>
        </w:rPr>
      </w:pPr>
      <w:r>
        <w:rPr>
          <w:rFonts w:hint="eastAsia" w:ascii="宋体" w:hAnsi="宋体"/>
          <w:bCs/>
          <w:sz w:val="24"/>
        </w:rPr>
        <w:t>20.5.3投标人的报价均超过了采购预算，采购人不能支付的；</w:t>
      </w:r>
    </w:p>
    <w:p>
      <w:pPr>
        <w:pStyle w:val="117"/>
        <w:spacing w:line="360" w:lineRule="auto"/>
        <w:rPr>
          <w:rFonts w:ascii="宋体" w:hAnsi="宋体"/>
          <w:bCs/>
          <w:sz w:val="24"/>
        </w:rPr>
      </w:pPr>
      <w:r>
        <w:rPr>
          <w:rFonts w:hint="eastAsia" w:ascii="宋体" w:hAnsi="宋体"/>
          <w:bCs/>
          <w:sz w:val="24"/>
        </w:rPr>
        <w:t>20.5.4因重大变故，采购任务取消的。</w:t>
      </w:r>
    </w:p>
    <w:p>
      <w:pPr>
        <w:pStyle w:val="117"/>
        <w:spacing w:line="360" w:lineRule="auto"/>
        <w:rPr>
          <w:rFonts w:ascii="宋体" w:hAnsi="宋体"/>
          <w:b/>
          <w:sz w:val="24"/>
        </w:rPr>
      </w:pPr>
      <w:r>
        <w:rPr>
          <w:rFonts w:hint="eastAsia" w:ascii="宋体" w:hAnsi="宋体"/>
          <w:b/>
          <w:sz w:val="24"/>
        </w:rPr>
        <w:t>20.6 投标文件属下列情况之一的，应当在资格性、符合性审查时按照无效投标处理：</w:t>
      </w:r>
    </w:p>
    <w:p>
      <w:pPr>
        <w:pStyle w:val="117"/>
        <w:spacing w:line="360" w:lineRule="auto"/>
        <w:rPr>
          <w:rFonts w:ascii="宋体" w:hAnsi="宋体"/>
          <w:bCs/>
          <w:sz w:val="24"/>
        </w:rPr>
      </w:pPr>
      <w:bookmarkStart w:id="98" w:name="_Toc310195718"/>
      <w:bookmarkStart w:id="99" w:name="_Toc520356167"/>
      <w:r>
        <w:rPr>
          <w:rFonts w:hint="eastAsia" w:ascii="宋体" w:hAnsi="宋体"/>
          <w:bCs/>
          <w:sz w:val="24"/>
        </w:rPr>
        <w:t>20.6.1未按照招标文件的规定提交投标保证金的；</w:t>
      </w:r>
    </w:p>
    <w:p>
      <w:pPr>
        <w:pStyle w:val="117"/>
        <w:spacing w:line="360" w:lineRule="auto"/>
        <w:rPr>
          <w:rFonts w:ascii="宋体" w:hAnsi="宋体"/>
          <w:bCs/>
          <w:sz w:val="24"/>
        </w:rPr>
      </w:pPr>
      <w:r>
        <w:rPr>
          <w:rFonts w:hint="eastAsia" w:ascii="宋体" w:hAnsi="宋体"/>
          <w:bCs/>
          <w:sz w:val="24"/>
        </w:rPr>
        <w:t>20.6.2投标文件未按招标文件要求签署、盖章的；</w:t>
      </w:r>
    </w:p>
    <w:p>
      <w:pPr>
        <w:pStyle w:val="117"/>
        <w:spacing w:line="360" w:lineRule="auto"/>
        <w:rPr>
          <w:rFonts w:ascii="宋体" w:hAnsi="宋体"/>
          <w:bCs/>
          <w:sz w:val="24"/>
        </w:rPr>
      </w:pPr>
      <w:r>
        <w:rPr>
          <w:rFonts w:hint="eastAsia" w:ascii="宋体" w:hAnsi="宋体"/>
          <w:bCs/>
          <w:sz w:val="24"/>
        </w:rPr>
        <w:t>20.6.3不具备招标文件中规定的资格要求的；</w:t>
      </w:r>
    </w:p>
    <w:p>
      <w:pPr>
        <w:pStyle w:val="117"/>
        <w:spacing w:line="360" w:lineRule="auto"/>
        <w:rPr>
          <w:rFonts w:ascii="宋体" w:hAnsi="宋体"/>
          <w:bCs/>
          <w:sz w:val="24"/>
        </w:rPr>
      </w:pPr>
      <w:r>
        <w:rPr>
          <w:rFonts w:hint="eastAsia" w:ascii="宋体" w:hAnsi="宋体"/>
          <w:bCs/>
          <w:sz w:val="24"/>
        </w:rPr>
        <w:t>20.6.4报价超过招标文件中规定的预算金额或者最高限价的；</w:t>
      </w:r>
    </w:p>
    <w:p>
      <w:pPr>
        <w:pStyle w:val="117"/>
        <w:spacing w:line="360" w:lineRule="auto"/>
        <w:rPr>
          <w:rFonts w:ascii="宋体" w:hAnsi="宋体"/>
          <w:bCs/>
          <w:sz w:val="24"/>
        </w:rPr>
      </w:pPr>
      <w:r>
        <w:rPr>
          <w:rFonts w:hint="eastAsia" w:ascii="宋体" w:hAnsi="宋体"/>
          <w:bCs/>
          <w:sz w:val="24"/>
        </w:rPr>
        <w:t>20.6.5投标文件含有采购人不能接受的附加条件的；</w:t>
      </w:r>
    </w:p>
    <w:p>
      <w:pPr>
        <w:pStyle w:val="117"/>
        <w:spacing w:line="360" w:lineRule="auto"/>
        <w:rPr>
          <w:rFonts w:ascii="宋体" w:hAnsi="宋体"/>
          <w:bCs/>
          <w:sz w:val="24"/>
        </w:rPr>
      </w:pPr>
      <w:r>
        <w:rPr>
          <w:rFonts w:hint="eastAsia" w:ascii="宋体" w:hAnsi="宋体"/>
          <w:bCs/>
          <w:sz w:val="24"/>
        </w:rPr>
        <w:t>20.6.6不同投标人的投标文件由同一单位或者个人编制；</w:t>
      </w:r>
    </w:p>
    <w:p>
      <w:pPr>
        <w:pStyle w:val="117"/>
        <w:spacing w:line="360" w:lineRule="auto"/>
        <w:rPr>
          <w:rFonts w:ascii="宋体" w:hAnsi="宋体"/>
          <w:bCs/>
          <w:sz w:val="24"/>
        </w:rPr>
      </w:pPr>
      <w:r>
        <w:rPr>
          <w:rFonts w:hint="eastAsia" w:ascii="宋体" w:hAnsi="宋体"/>
          <w:bCs/>
          <w:sz w:val="24"/>
        </w:rPr>
        <w:t>20.6.7不同投标人委托同一单位或者个人办理投标事宜；</w:t>
      </w:r>
    </w:p>
    <w:p>
      <w:pPr>
        <w:pStyle w:val="117"/>
        <w:spacing w:line="360" w:lineRule="auto"/>
        <w:rPr>
          <w:rFonts w:ascii="宋体" w:hAnsi="宋体"/>
          <w:bCs/>
          <w:sz w:val="24"/>
        </w:rPr>
      </w:pPr>
      <w:r>
        <w:rPr>
          <w:rFonts w:hint="eastAsia" w:ascii="宋体" w:hAnsi="宋体"/>
          <w:bCs/>
          <w:sz w:val="24"/>
        </w:rPr>
        <w:t>20.6.8不同投标人的投标文件载明的项目管理成员或者联系人员为同一人；</w:t>
      </w:r>
    </w:p>
    <w:p>
      <w:pPr>
        <w:pStyle w:val="117"/>
        <w:spacing w:line="360" w:lineRule="auto"/>
        <w:rPr>
          <w:rFonts w:ascii="宋体" w:hAnsi="宋体"/>
          <w:bCs/>
          <w:sz w:val="24"/>
        </w:rPr>
      </w:pPr>
      <w:r>
        <w:rPr>
          <w:rFonts w:hint="eastAsia" w:ascii="宋体" w:hAnsi="宋体"/>
          <w:bCs/>
          <w:sz w:val="24"/>
        </w:rPr>
        <w:t>20.6.9不同投标人的投标文件异常一致或者投标报价呈规律性差异；</w:t>
      </w:r>
    </w:p>
    <w:p>
      <w:pPr>
        <w:pStyle w:val="117"/>
        <w:spacing w:line="360" w:lineRule="auto"/>
        <w:rPr>
          <w:rFonts w:ascii="宋体" w:hAnsi="宋体"/>
          <w:bCs/>
          <w:sz w:val="24"/>
        </w:rPr>
      </w:pPr>
      <w:r>
        <w:rPr>
          <w:rFonts w:hint="eastAsia" w:ascii="宋体" w:hAnsi="宋体"/>
          <w:bCs/>
          <w:sz w:val="24"/>
        </w:rPr>
        <w:t>20.6.10不同投标人的投标文件相互混装；</w:t>
      </w:r>
    </w:p>
    <w:p>
      <w:pPr>
        <w:pStyle w:val="117"/>
        <w:spacing w:line="360" w:lineRule="auto"/>
        <w:rPr>
          <w:rFonts w:ascii="宋体" w:hAnsi="宋体"/>
          <w:bCs/>
          <w:sz w:val="24"/>
        </w:rPr>
      </w:pPr>
      <w:r>
        <w:rPr>
          <w:rFonts w:hint="eastAsia" w:ascii="宋体" w:hAnsi="宋体"/>
          <w:bCs/>
          <w:sz w:val="24"/>
        </w:rPr>
        <w:t>20.6.11不同投标人的投标保证金从同一单位或者个人的账户转出；</w:t>
      </w:r>
    </w:p>
    <w:p>
      <w:pPr>
        <w:pStyle w:val="117"/>
        <w:spacing w:line="360" w:lineRule="auto"/>
        <w:rPr>
          <w:rFonts w:ascii="宋体" w:hAnsi="宋体"/>
          <w:bCs/>
          <w:sz w:val="24"/>
        </w:rPr>
      </w:pPr>
      <w:r>
        <w:rPr>
          <w:rFonts w:hint="eastAsia" w:ascii="宋体" w:hAnsi="宋体"/>
          <w:bCs/>
          <w:sz w:val="24"/>
        </w:rPr>
        <w:t>20.6.12按照20.3.1至20.3.4规定顺序修正，修正后的报价按照招标文件第21.2条的规定经投标人确认后产生约束力，投标人不确认的；</w:t>
      </w:r>
    </w:p>
    <w:p>
      <w:pPr>
        <w:pStyle w:val="117"/>
        <w:spacing w:line="360" w:lineRule="auto"/>
        <w:rPr>
          <w:rFonts w:ascii="宋体" w:hAnsi="宋体"/>
          <w:bCs/>
          <w:sz w:val="24"/>
        </w:rPr>
      </w:pPr>
      <w:r>
        <w:rPr>
          <w:rFonts w:hint="eastAsia" w:ascii="宋体" w:hAnsi="宋体"/>
          <w:bCs/>
          <w:sz w:val="24"/>
        </w:rPr>
        <w:t>20.6.13联合体各方在同一项目中以自己名义单独投标或者参加其他联合体投标的；</w:t>
      </w:r>
    </w:p>
    <w:p>
      <w:pPr>
        <w:pStyle w:val="117"/>
        <w:spacing w:line="360" w:lineRule="auto"/>
        <w:rPr>
          <w:rFonts w:ascii="宋体" w:hAnsi="宋体"/>
          <w:bCs/>
          <w:sz w:val="24"/>
        </w:rPr>
      </w:pPr>
      <w:r>
        <w:rPr>
          <w:rFonts w:hint="eastAsia" w:ascii="宋体" w:hAnsi="宋体"/>
          <w:bCs/>
          <w:sz w:val="24"/>
        </w:rPr>
        <w:t>20.6.14若投标人须知资料表中未写明允许采购进口产品，投标人所投产品为进口产品的；</w:t>
      </w:r>
    </w:p>
    <w:p>
      <w:pPr>
        <w:pStyle w:val="117"/>
        <w:spacing w:line="360" w:lineRule="auto"/>
        <w:rPr>
          <w:rFonts w:ascii="宋体" w:hAnsi="宋体"/>
          <w:bCs/>
          <w:sz w:val="24"/>
        </w:rPr>
      </w:pPr>
      <w:r>
        <w:rPr>
          <w:rFonts w:hint="eastAsia" w:ascii="宋体" w:hAnsi="宋体"/>
          <w:bCs/>
          <w:sz w:val="24"/>
        </w:rPr>
        <w:t>20.6.15投标人在投标过程中向采购人、采购代理机构行贿或者提供其他不正当利益的；</w:t>
      </w:r>
    </w:p>
    <w:p>
      <w:pPr>
        <w:pStyle w:val="117"/>
        <w:spacing w:line="360" w:lineRule="auto"/>
        <w:rPr>
          <w:rFonts w:ascii="宋体" w:hAnsi="宋体"/>
          <w:bCs/>
          <w:sz w:val="24"/>
        </w:rPr>
      </w:pPr>
      <w:r>
        <w:rPr>
          <w:rFonts w:hint="eastAsia" w:ascii="宋体" w:hAnsi="宋体"/>
          <w:bCs/>
          <w:sz w:val="24"/>
        </w:rPr>
        <w:t>20.6.16投标有效期不满足招标要求；</w:t>
      </w:r>
    </w:p>
    <w:p>
      <w:pPr>
        <w:pStyle w:val="117"/>
        <w:spacing w:line="360" w:lineRule="auto"/>
        <w:rPr>
          <w:rFonts w:ascii="宋体" w:hAnsi="宋体"/>
          <w:bCs/>
          <w:sz w:val="24"/>
        </w:rPr>
      </w:pPr>
      <w:r>
        <w:rPr>
          <w:rFonts w:hint="eastAsia" w:ascii="宋体" w:hAnsi="宋体"/>
          <w:bCs/>
          <w:sz w:val="24"/>
        </w:rPr>
        <w:t>20.6.17“采购需求”中“*”指标的；</w:t>
      </w:r>
    </w:p>
    <w:p>
      <w:pPr>
        <w:pStyle w:val="117"/>
        <w:spacing w:line="360" w:lineRule="auto"/>
        <w:rPr>
          <w:rFonts w:ascii="宋体" w:hAnsi="宋体"/>
          <w:bCs/>
          <w:sz w:val="24"/>
        </w:rPr>
      </w:pPr>
      <w:r>
        <w:rPr>
          <w:rFonts w:hint="eastAsia" w:ascii="宋体" w:hAnsi="宋体"/>
          <w:bCs/>
          <w:sz w:val="24"/>
        </w:rPr>
        <w:t>20.6.18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pStyle w:val="117"/>
        <w:spacing w:line="360" w:lineRule="auto"/>
        <w:rPr>
          <w:rFonts w:ascii="宋体" w:hAnsi="宋体"/>
          <w:bCs/>
          <w:sz w:val="24"/>
        </w:rPr>
      </w:pPr>
      <w:r>
        <w:rPr>
          <w:rFonts w:hint="eastAsia" w:ascii="宋体" w:hAnsi="宋体"/>
          <w:bCs/>
          <w:sz w:val="24"/>
        </w:rPr>
        <w:t>20.6.19在评标过程中发现投标人未遵循公平竞争的原则，恶意串通，妨碍其他投标人的竞争行为，损害采购人或者其他投标人的合法权益的；</w:t>
      </w:r>
    </w:p>
    <w:p>
      <w:pPr>
        <w:pStyle w:val="117"/>
        <w:spacing w:line="360" w:lineRule="auto"/>
        <w:rPr>
          <w:rFonts w:ascii="宋体" w:hAnsi="宋体"/>
          <w:b/>
          <w:sz w:val="24"/>
        </w:rPr>
      </w:pPr>
      <w:r>
        <w:rPr>
          <w:rFonts w:hint="eastAsia" w:ascii="宋体" w:hAnsi="宋体"/>
          <w:b/>
          <w:sz w:val="24"/>
        </w:rPr>
        <w:t>20.6.20法律、法规和招标文件规定的其他无效情形。</w:t>
      </w:r>
    </w:p>
    <w:p>
      <w:pPr>
        <w:pStyle w:val="4"/>
        <w:spacing w:line="360" w:lineRule="auto"/>
        <w:rPr>
          <w:rFonts w:hint="default"/>
          <w:b/>
        </w:rPr>
      </w:pPr>
      <w:bookmarkStart w:id="100" w:name="_Toc6665532"/>
      <w:r>
        <w:rPr>
          <w:b/>
          <w:bCs/>
          <w:sz w:val="24"/>
          <w:szCs w:val="24"/>
        </w:rPr>
        <w:t>21. 投标文件的澄清</w:t>
      </w:r>
      <w:bookmarkEnd w:id="98"/>
      <w:bookmarkEnd w:id="100"/>
    </w:p>
    <w:p>
      <w:pPr>
        <w:pStyle w:val="117"/>
        <w:spacing w:line="360" w:lineRule="auto"/>
        <w:rPr>
          <w:rFonts w:ascii="宋体" w:hAnsi="宋体"/>
          <w:sz w:val="24"/>
        </w:rPr>
      </w:pPr>
      <w:r>
        <w:rPr>
          <w:rFonts w:hint="eastAsia" w:ascii="宋体" w:hAnsi="宋体"/>
          <w:sz w:val="24"/>
        </w:rPr>
        <w:t>21.1 对于投标文件中含义不明确、同类问题表述不一致或者有明显文字和计算错误的内容，评标委员会应当以书面形式要求投标人作出必要的澄清、说明或者补正。</w:t>
      </w:r>
      <w:r>
        <w:rPr>
          <w:rFonts w:hint="eastAsia" w:ascii="宋体" w:hAnsi="宋体"/>
          <w:sz w:val="24"/>
        </w:rPr>
        <w:br w:type="textWrapping"/>
      </w:r>
      <w:r>
        <w:rPr>
          <w:rFonts w:hint="eastAsia" w:ascii="宋体" w:hAnsi="宋体"/>
          <w:sz w:val="24"/>
        </w:rPr>
        <w:t>21.2投标人的澄清、说明或者补正应当采用书面形式，并加盖公章，或者由法定代表人或其授权的代表签字。投标人的澄清、说明或者补正不得超出投标文件的范围或者改变投标文件的实质性内容</w:t>
      </w:r>
    </w:p>
    <w:p>
      <w:pPr>
        <w:pStyle w:val="117"/>
        <w:spacing w:line="360" w:lineRule="auto"/>
      </w:pPr>
      <w:r>
        <w:rPr>
          <w:rFonts w:hint="eastAsia" w:ascii="宋体" w:hAnsi="宋体"/>
          <w:sz w:val="24"/>
        </w:rPr>
        <w:t>21.3 澄清文件将作为投标文件内容的一部分。</w:t>
      </w:r>
    </w:p>
    <w:bookmarkEnd w:id="99"/>
    <w:p>
      <w:pPr>
        <w:pStyle w:val="4"/>
        <w:spacing w:line="360" w:lineRule="auto"/>
        <w:rPr>
          <w:rFonts w:hint="default"/>
          <w:b/>
          <w:sz w:val="24"/>
        </w:rPr>
      </w:pPr>
      <w:bookmarkStart w:id="101" w:name="_Toc310195719"/>
      <w:bookmarkStart w:id="102" w:name="_Toc6665533"/>
      <w:r>
        <w:rPr>
          <w:b/>
          <w:sz w:val="24"/>
        </w:rPr>
        <w:t>22. 评标</w:t>
      </w:r>
      <w:bookmarkEnd w:id="101"/>
      <w:bookmarkEnd w:id="102"/>
    </w:p>
    <w:p>
      <w:pPr>
        <w:pStyle w:val="117"/>
        <w:spacing w:line="360" w:lineRule="auto"/>
        <w:rPr>
          <w:rFonts w:ascii="宋体" w:hAnsi="宋体"/>
          <w:sz w:val="24"/>
        </w:rPr>
      </w:pPr>
      <w:r>
        <w:rPr>
          <w:rFonts w:hint="eastAsia" w:ascii="宋体" w:hAnsi="宋体"/>
          <w:sz w:val="24"/>
        </w:rPr>
        <w:t>22.1评标委员会负责具体评标事务，并独立履行下列职责：</w:t>
      </w:r>
    </w:p>
    <w:p>
      <w:pPr>
        <w:pStyle w:val="117"/>
        <w:spacing w:line="360" w:lineRule="auto"/>
        <w:rPr>
          <w:rFonts w:ascii="宋体" w:hAnsi="宋体"/>
          <w:sz w:val="24"/>
        </w:rPr>
      </w:pPr>
      <w:r>
        <w:rPr>
          <w:rFonts w:hint="eastAsia" w:ascii="宋体" w:hAnsi="宋体"/>
          <w:sz w:val="24"/>
        </w:rPr>
        <w:t>22.1.1审查、评价投标文件是否符合招标文件的商务、技术等实质性要求；</w:t>
      </w:r>
    </w:p>
    <w:p>
      <w:pPr>
        <w:pStyle w:val="117"/>
        <w:spacing w:line="360" w:lineRule="auto"/>
        <w:rPr>
          <w:rFonts w:ascii="宋体" w:hAnsi="宋体"/>
          <w:sz w:val="24"/>
        </w:rPr>
      </w:pPr>
      <w:r>
        <w:rPr>
          <w:rFonts w:hint="eastAsia" w:ascii="宋体" w:hAnsi="宋体"/>
          <w:sz w:val="24"/>
        </w:rPr>
        <w:t>22.1.2要求投标人对投标文件有关事项作出澄清或者说明；</w:t>
      </w:r>
    </w:p>
    <w:p>
      <w:pPr>
        <w:pStyle w:val="117"/>
        <w:spacing w:line="360" w:lineRule="auto"/>
        <w:rPr>
          <w:rFonts w:ascii="宋体" w:hAnsi="宋体"/>
          <w:sz w:val="24"/>
        </w:rPr>
      </w:pPr>
      <w:r>
        <w:rPr>
          <w:rFonts w:hint="eastAsia" w:ascii="宋体" w:hAnsi="宋体"/>
          <w:sz w:val="24"/>
        </w:rPr>
        <w:t>22.1.3对投标文件进行比较和评价；</w:t>
      </w:r>
    </w:p>
    <w:p>
      <w:pPr>
        <w:pStyle w:val="117"/>
        <w:spacing w:line="360" w:lineRule="auto"/>
        <w:rPr>
          <w:rFonts w:ascii="宋体" w:hAnsi="宋体"/>
          <w:sz w:val="24"/>
        </w:rPr>
      </w:pPr>
      <w:r>
        <w:rPr>
          <w:rFonts w:hint="eastAsia" w:ascii="宋体" w:hAnsi="宋体"/>
          <w:sz w:val="24"/>
        </w:rPr>
        <w:t>22.1.4确定中标候选人名单，以及根据采购人委托直接确定中标人；</w:t>
      </w:r>
    </w:p>
    <w:p>
      <w:pPr>
        <w:pStyle w:val="117"/>
        <w:spacing w:line="360" w:lineRule="auto"/>
        <w:rPr>
          <w:rFonts w:ascii="宋体" w:hAnsi="宋体"/>
          <w:sz w:val="24"/>
        </w:rPr>
      </w:pPr>
      <w:r>
        <w:rPr>
          <w:rFonts w:hint="eastAsia" w:ascii="宋体" w:hAnsi="宋体"/>
          <w:sz w:val="24"/>
        </w:rPr>
        <w:t>22.1.5向采购人、采购代理机构或者有关部门报告评标中发现的违法行为。。</w:t>
      </w:r>
    </w:p>
    <w:p>
      <w:pPr>
        <w:pStyle w:val="117"/>
        <w:spacing w:line="360" w:lineRule="auto"/>
        <w:rPr>
          <w:rFonts w:ascii="宋体" w:hAnsi="宋体"/>
          <w:b/>
          <w:sz w:val="24"/>
        </w:rPr>
      </w:pPr>
      <w:r>
        <w:rPr>
          <w:rFonts w:hint="eastAsia" w:ascii="宋体" w:hAnsi="宋体"/>
          <w:sz w:val="24"/>
        </w:rPr>
        <w:t>22.2评标委员会应当按照招标文件中规定的评标方法和标准，对符合性审查合格的投标文件进行商务和技术评估，综合比较与评价。</w:t>
      </w:r>
    </w:p>
    <w:p>
      <w:pPr>
        <w:pStyle w:val="117"/>
        <w:spacing w:line="360" w:lineRule="auto"/>
        <w:rPr>
          <w:rFonts w:ascii="宋体" w:hAnsi="宋体"/>
          <w:sz w:val="24"/>
        </w:rPr>
      </w:pPr>
      <w:r>
        <w:rPr>
          <w:rFonts w:hint="eastAsia" w:ascii="宋体" w:hAnsi="宋体"/>
          <w:sz w:val="24"/>
        </w:rPr>
        <w:t>22.3综合评分法：</w:t>
      </w:r>
    </w:p>
    <w:p>
      <w:pPr>
        <w:pStyle w:val="117"/>
        <w:spacing w:line="360" w:lineRule="auto"/>
        <w:rPr>
          <w:rFonts w:ascii="宋体" w:hAnsi="宋体"/>
          <w:sz w:val="24"/>
        </w:rPr>
      </w:pPr>
      <w:r>
        <w:rPr>
          <w:rFonts w:hint="eastAsia" w:ascii="宋体" w:hAnsi="宋体"/>
          <w:sz w:val="24"/>
        </w:rPr>
        <w:t>综合评分法，是指投标文件满足招标文件全部实质性要求，且按照评审因素的量化指标评审得分最高的投标人为中标候选人的评标方法。</w:t>
      </w:r>
    </w:p>
    <w:p>
      <w:pPr>
        <w:pStyle w:val="117"/>
        <w:spacing w:line="360" w:lineRule="auto"/>
        <w:rPr>
          <w:rFonts w:ascii="Arial" w:hAnsi="Arial" w:cs="Arial"/>
          <w:kern w:val="0"/>
          <w:sz w:val="24"/>
        </w:rPr>
      </w:pPr>
      <w:r>
        <w:rPr>
          <w:rFonts w:hint="eastAsia" w:ascii="宋体" w:hAnsi="宋体"/>
          <w:sz w:val="24"/>
        </w:rPr>
        <w:t>22.4</w:t>
      </w:r>
      <w:r>
        <w:rPr>
          <w:rFonts w:ascii="Arial" w:hAnsi="Arial" w:cs="Arial"/>
          <w:kern w:val="0"/>
          <w:sz w:val="24"/>
        </w:rPr>
        <w:t>评标时，</w:t>
      </w:r>
      <w:r>
        <w:rPr>
          <w:rFonts w:hint="eastAsia" w:ascii="Arial" w:hAnsi="Arial" w:cs="Arial"/>
          <w:kern w:val="0"/>
          <w:sz w:val="24"/>
        </w:rPr>
        <w:t>评标委员会各成员应当独立对每个投标人的投标文件进行评价，并汇总每个投标人的得分</w:t>
      </w:r>
      <w:r>
        <w:rPr>
          <w:rFonts w:ascii="Arial" w:hAnsi="Arial" w:cs="Arial"/>
          <w:kern w:val="0"/>
          <w:sz w:val="24"/>
        </w:rPr>
        <w:t>。</w:t>
      </w:r>
    </w:p>
    <w:p>
      <w:pPr>
        <w:pStyle w:val="4"/>
        <w:spacing w:line="360" w:lineRule="auto"/>
        <w:rPr>
          <w:rFonts w:hint="default"/>
          <w:b/>
          <w:sz w:val="24"/>
        </w:rPr>
      </w:pPr>
      <w:bookmarkStart w:id="103" w:name="_Toc520356168"/>
      <w:bookmarkStart w:id="104" w:name="_Toc6665534"/>
      <w:bookmarkStart w:id="105" w:name="_Toc310195720"/>
      <w:r>
        <w:rPr>
          <w:b/>
          <w:sz w:val="24"/>
        </w:rPr>
        <w:t>2</w:t>
      </w:r>
      <w:bookmarkEnd w:id="103"/>
      <w:r>
        <w:rPr>
          <w:b/>
          <w:sz w:val="24"/>
        </w:rPr>
        <w:t>3.评标过程及保密原则</w:t>
      </w:r>
      <w:bookmarkEnd w:id="104"/>
      <w:bookmarkEnd w:id="105"/>
    </w:p>
    <w:p>
      <w:pPr>
        <w:pStyle w:val="117"/>
        <w:spacing w:line="360" w:lineRule="auto"/>
        <w:rPr>
          <w:rFonts w:ascii="宋体" w:hAnsi="宋体"/>
          <w:sz w:val="24"/>
        </w:rPr>
      </w:pPr>
      <w:r>
        <w:rPr>
          <w:rFonts w:hint="eastAsia" w:ascii="宋体" w:hAnsi="宋体"/>
          <w:sz w:val="24"/>
        </w:rPr>
        <w:t>23.1政府采购评审专家应当遵守评审工作纪律，不得泄露评审文件、评审情况和评审中获悉的商业秘密。</w:t>
      </w:r>
    </w:p>
    <w:p>
      <w:pPr>
        <w:pStyle w:val="117"/>
        <w:spacing w:line="360" w:lineRule="auto"/>
        <w:rPr>
          <w:rFonts w:ascii="宋体" w:hAnsi="宋体"/>
          <w:sz w:val="24"/>
        </w:rPr>
      </w:pPr>
      <w:r>
        <w:rPr>
          <w:rFonts w:hint="eastAsia" w:ascii="宋体" w:hAnsi="宋体"/>
          <w:sz w:val="24"/>
        </w:rPr>
        <w:t>23.2评标委员会成员名单在评标结果公告前应当保密。</w:t>
      </w:r>
    </w:p>
    <w:p>
      <w:pPr>
        <w:pStyle w:val="117"/>
        <w:spacing w:line="360" w:lineRule="auto"/>
        <w:rPr>
          <w:rFonts w:ascii="宋体" w:hAnsi="宋体"/>
          <w:sz w:val="24"/>
        </w:rPr>
      </w:pPr>
      <w:r>
        <w:rPr>
          <w:rFonts w:hint="eastAsia" w:ascii="宋体" w:hAnsi="宋体"/>
          <w:sz w:val="24"/>
        </w:rPr>
        <w:t>23.3采购人、采购代理机构应当采取必要措施，保证评标在严格保密的情况下进行。除采购人代表、评标现场组织人员外，采购人的其他工作人员以及与评标工作无关的人员不得进入评标现场。</w:t>
      </w:r>
    </w:p>
    <w:p>
      <w:pPr>
        <w:pStyle w:val="117"/>
        <w:spacing w:line="360" w:lineRule="auto"/>
      </w:pPr>
      <w:r>
        <w:rPr>
          <w:rFonts w:hint="eastAsia" w:ascii="宋体" w:hAnsi="宋体"/>
          <w:sz w:val="24"/>
        </w:rPr>
        <w:t>23.4有关人员对评标情况以及在评标过程中获悉的国家秘密、商业秘密负有保密责任。</w:t>
      </w:r>
      <w:bookmarkStart w:id="106" w:name="_Toc520356169"/>
    </w:p>
    <w:p>
      <w:pPr>
        <w:pStyle w:val="4"/>
        <w:spacing w:line="360" w:lineRule="auto"/>
        <w:ind w:left="899" w:hanging="899"/>
        <w:jc w:val="center"/>
        <w:rPr>
          <w:rFonts w:hint="default"/>
          <w:sz w:val="24"/>
        </w:rPr>
      </w:pPr>
      <w:bookmarkStart w:id="107" w:name="_Toc6665535"/>
      <w:bookmarkStart w:id="108" w:name="_Toc310195721"/>
      <w:r>
        <w:rPr>
          <w:sz w:val="24"/>
        </w:rPr>
        <w:t xml:space="preserve">六   </w:t>
      </w:r>
      <w:bookmarkEnd w:id="106"/>
      <w:r>
        <w:rPr>
          <w:sz w:val="24"/>
        </w:rPr>
        <w:t>确定中标</w:t>
      </w:r>
      <w:bookmarkEnd w:id="107"/>
      <w:bookmarkEnd w:id="108"/>
    </w:p>
    <w:p>
      <w:pPr>
        <w:pStyle w:val="4"/>
        <w:spacing w:line="360" w:lineRule="auto"/>
        <w:rPr>
          <w:rFonts w:hint="default"/>
          <w:b/>
          <w:sz w:val="24"/>
        </w:rPr>
      </w:pPr>
      <w:bookmarkStart w:id="109" w:name="_Toc310195722"/>
      <w:bookmarkStart w:id="110" w:name="_Toc520356170"/>
      <w:bookmarkStart w:id="111" w:name="_Ref467307010"/>
      <w:bookmarkStart w:id="112" w:name="_Toc6665536"/>
      <w:r>
        <w:rPr>
          <w:b/>
          <w:sz w:val="24"/>
        </w:rPr>
        <w:t>24.中标人的确定标准</w:t>
      </w:r>
      <w:bookmarkEnd w:id="109"/>
      <w:bookmarkEnd w:id="110"/>
      <w:bookmarkEnd w:id="111"/>
      <w:bookmarkEnd w:id="112"/>
    </w:p>
    <w:p>
      <w:pPr>
        <w:pStyle w:val="117"/>
        <w:spacing w:after="240" w:line="360" w:lineRule="auto"/>
        <w:rPr>
          <w:rFonts w:ascii="宋体" w:hAnsi="宋体"/>
          <w:sz w:val="24"/>
        </w:rPr>
      </w:pPr>
      <w:r>
        <w:rPr>
          <w:rFonts w:hint="eastAsia" w:ascii="宋体" w:hAnsi="宋体"/>
          <w:sz w:val="24"/>
        </w:rPr>
        <w:t>24.1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117"/>
        <w:spacing w:after="240" w:line="360" w:lineRule="auto"/>
        <w:rPr>
          <w:sz w:val="24"/>
        </w:rPr>
      </w:pPr>
      <w:r>
        <w:rPr>
          <w:sz w:val="24"/>
        </w:rPr>
        <w:t>24.2</w:t>
      </w:r>
      <w:r>
        <w:rPr>
          <w:rFonts w:hint="eastAsia"/>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17"/>
        <w:spacing w:after="240" w:line="360" w:lineRule="auto"/>
        <w:rPr>
          <w:sz w:val="24"/>
        </w:rPr>
      </w:pPr>
      <w:r>
        <w:rPr>
          <w:rFonts w:hint="eastAsia"/>
          <w:sz w:val="24"/>
        </w:rPr>
        <w:t>24.3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r>
        <w:rPr>
          <w:sz w:val="24"/>
        </w:rPr>
        <w:t>。</w:t>
      </w:r>
      <w:bookmarkStart w:id="113" w:name="_Toc520356173"/>
      <w:bookmarkStart w:id="114" w:name="_Toc310195723"/>
      <w:bookmarkStart w:id="115" w:name="_Ref467306874"/>
    </w:p>
    <w:p>
      <w:pPr>
        <w:pStyle w:val="4"/>
        <w:spacing w:line="360" w:lineRule="auto"/>
        <w:rPr>
          <w:rFonts w:hint="default"/>
          <w:b/>
          <w:sz w:val="24"/>
        </w:rPr>
      </w:pPr>
      <w:bookmarkStart w:id="116" w:name="_Toc6665537"/>
      <w:r>
        <w:rPr>
          <w:b/>
          <w:sz w:val="24"/>
        </w:rPr>
        <w:t>25.接受和拒绝任何或所有投标的权利</w:t>
      </w:r>
      <w:bookmarkEnd w:id="113"/>
      <w:bookmarkEnd w:id="114"/>
      <w:bookmarkEnd w:id="115"/>
      <w:bookmarkEnd w:id="116"/>
    </w:p>
    <w:p>
      <w:pPr>
        <w:pStyle w:val="117"/>
        <w:spacing w:line="360" w:lineRule="auto"/>
        <w:rPr>
          <w:rFonts w:ascii="宋体" w:hAnsi="宋体"/>
          <w:sz w:val="24"/>
        </w:rPr>
      </w:pPr>
      <w:r>
        <w:rPr>
          <w:rFonts w:ascii="宋体" w:hAnsi="宋体"/>
          <w:sz w:val="24"/>
        </w:rPr>
        <w:t>25.1为维护国家和社会公共利益，采购人和采购代理机构保留在授标之前任何时候接受或拒绝任何投标的权利，且对受影响的投标人</w:t>
      </w:r>
      <w:r>
        <w:rPr>
          <w:rFonts w:hint="eastAsia" w:ascii="宋体" w:hAnsi="宋体"/>
          <w:sz w:val="24"/>
        </w:rPr>
        <w:t>不承担任何责任。</w:t>
      </w:r>
    </w:p>
    <w:p>
      <w:pPr>
        <w:pStyle w:val="117"/>
        <w:spacing w:line="360" w:lineRule="auto"/>
        <w:rPr>
          <w:rFonts w:ascii="宋体" w:hAnsi="宋体"/>
          <w:sz w:val="24"/>
        </w:rPr>
      </w:pPr>
      <w:r>
        <w:rPr>
          <w:rFonts w:ascii="宋体" w:hAnsi="宋体"/>
          <w:sz w:val="24"/>
        </w:rPr>
        <w:t>25.2因不可抗力或中标人自身原因不能履约等情形，采购人保留与其他候选人签订合同的权利。</w:t>
      </w:r>
    </w:p>
    <w:p>
      <w:pPr>
        <w:pStyle w:val="4"/>
        <w:spacing w:line="360" w:lineRule="auto"/>
        <w:rPr>
          <w:rFonts w:hint="default"/>
          <w:b/>
          <w:sz w:val="24"/>
        </w:rPr>
      </w:pPr>
      <w:bookmarkStart w:id="117" w:name="_Toc310195724"/>
      <w:bookmarkStart w:id="118" w:name="_Toc520356174"/>
      <w:bookmarkStart w:id="119" w:name="_Toc6665538"/>
      <w:r>
        <w:rPr>
          <w:b/>
          <w:sz w:val="24"/>
        </w:rPr>
        <w:t>26.中标通知书</w:t>
      </w:r>
      <w:bookmarkEnd w:id="117"/>
      <w:bookmarkEnd w:id="118"/>
      <w:r>
        <w:rPr>
          <w:b/>
          <w:sz w:val="24"/>
        </w:rPr>
        <w:t>及结果通知书</w:t>
      </w:r>
      <w:bookmarkEnd w:id="119"/>
    </w:p>
    <w:p>
      <w:pPr>
        <w:pStyle w:val="117"/>
        <w:spacing w:line="360" w:lineRule="auto"/>
        <w:rPr>
          <w:rFonts w:ascii="宋体" w:hAnsi="宋体"/>
          <w:sz w:val="24"/>
        </w:rPr>
      </w:pPr>
      <w:r>
        <w:rPr>
          <w:rFonts w:hint="eastAsia" w:ascii="宋体" w:hAnsi="宋体"/>
          <w:sz w:val="24"/>
        </w:rPr>
        <w:t>26.1采购人或者采购代理机构应当自中标人确定之日起2个工作日内，在省级以上财政部门指定的媒体上公告中标结果，招标文件应当随中标结果同时公告。</w:t>
      </w:r>
    </w:p>
    <w:p>
      <w:pPr>
        <w:pStyle w:val="117"/>
        <w:spacing w:line="360" w:lineRule="auto"/>
        <w:rPr>
          <w:rFonts w:ascii="宋体" w:hAnsi="宋体"/>
          <w:sz w:val="24"/>
        </w:rPr>
      </w:pPr>
      <w:r>
        <w:rPr>
          <w:rFonts w:hint="eastAsia" w:ascii="宋体" w:hAnsi="宋体"/>
          <w:sz w:val="24"/>
        </w:rPr>
        <w:t>26.2中标公告期限为1个工作日。</w:t>
      </w:r>
    </w:p>
    <w:p>
      <w:pPr>
        <w:pStyle w:val="117"/>
        <w:spacing w:line="360" w:lineRule="auto"/>
        <w:rPr>
          <w:rFonts w:ascii="宋体" w:hAnsi="宋体"/>
          <w:sz w:val="24"/>
        </w:rPr>
      </w:pPr>
      <w:r>
        <w:rPr>
          <w:rFonts w:hint="eastAsia" w:ascii="宋体" w:hAnsi="宋体"/>
          <w:sz w:val="24"/>
        </w:rPr>
        <w:t>26.3中标通知书是合同的组成部分。</w:t>
      </w:r>
    </w:p>
    <w:p>
      <w:pPr>
        <w:pStyle w:val="117"/>
        <w:spacing w:line="360" w:lineRule="auto"/>
        <w:rPr>
          <w:rFonts w:ascii="宋体" w:hAnsi="宋体"/>
          <w:sz w:val="24"/>
        </w:rPr>
      </w:pPr>
      <w:r>
        <w:rPr>
          <w:rFonts w:hint="eastAsia" w:ascii="宋体" w:hAnsi="宋体"/>
          <w:sz w:val="24"/>
        </w:rPr>
        <w:t>26.4未中标的投标人应当在中标结果公示后5个工作日内领取结果通知书。</w:t>
      </w:r>
    </w:p>
    <w:p>
      <w:pPr>
        <w:pStyle w:val="4"/>
        <w:spacing w:line="360" w:lineRule="auto"/>
        <w:rPr>
          <w:rFonts w:hint="default"/>
          <w:b/>
          <w:sz w:val="24"/>
        </w:rPr>
      </w:pPr>
      <w:bookmarkStart w:id="120" w:name="_Ref467307204"/>
      <w:bookmarkStart w:id="121" w:name="_Toc6665539"/>
      <w:bookmarkStart w:id="122" w:name="_Toc310195725"/>
      <w:bookmarkStart w:id="123" w:name="_Ref467306978"/>
      <w:bookmarkStart w:id="124" w:name="_Toc520356175"/>
      <w:bookmarkStart w:id="125" w:name="_Ref467307062"/>
      <w:bookmarkStart w:id="126" w:name="_Ref467306377"/>
      <w:r>
        <w:rPr>
          <w:b/>
          <w:sz w:val="24"/>
        </w:rPr>
        <w:t>27. 签订合同</w:t>
      </w:r>
      <w:bookmarkEnd w:id="120"/>
      <w:bookmarkEnd w:id="121"/>
      <w:bookmarkEnd w:id="122"/>
      <w:bookmarkEnd w:id="123"/>
      <w:bookmarkEnd w:id="124"/>
      <w:bookmarkEnd w:id="125"/>
      <w:bookmarkEnd w:id="126"/>
    </w:p>
    <w:p>
      <w:pPr>
        <w:pStyle w:val="117"/>
        <w:spacing w:line="360" w:lineRule="auto"/>
        <w:rPr>
          <w:rFonts w:ascii="宋体" w:hAnsi="宋体"/>
          <w:sz w:val="24"/>
        </w:rPr>
      </w:pPr>
      <w:r>
        <w:rPr>
          <w:rFonts w:hint="eastAsia" w:ascii="宋体" w:hAnsi="宋体"/>
          <w:sz w:val="24"/>
        </w:rPr>
        <w:t>27.1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r>
        <w:rPr>
          <w:rFonts w:ascii="Arial" w:hAnsi="Arial" w:cs="Arial"/>
          <w:kern w:val="0"/>
          <w:sz w:val="24"/>
        </w:rPr>
        <w:t>。</w:t>
      </w:r>
    </w:p>
    <w:p>
      <w:pPr>
        <w:pStyle w:val="117"/>
        <w:spacing w:line="360" w:lineRule="auto"/>
        <w:rPr>
          <w:rFonts w:ascii="宋体" w:hAnsi="宋体"/>
          <w:sz w:val="24"/>
        </w:rPr>
      </w:pPr>
      <w:r>
        <w:rPr>
          <w:rFonts w:hint="eastAsia" w:ascii="宋体" w:hAnsi="宋体"/>
          <w:sz w:val="24"/>
        </w:rPr>
        <w:t>27.2</w:t>
      </w:r>
      <w:bookmarkStart w:id="127" w:name="_Toc520356176"/>
      <w:bookmarkStart w:id="128" w:name="_Ref467306425"/>
      <w:bookmarkStart w:id="129" w:name="_Ref467307090"/>
      <w:r>
        <w:rPr>
          <w:rFonts w:hint="eastAsia" w:ascii="宋体" w:hAnsi="宋体"/>
          <w:sz w:val="24"/>
        </w:rPr>
        <w:t>招标文件、中标人的投标文件及其澄清文件等，均为签订合同的依据。</w:t>
      </w:r>
    </w:p>
    <w:bookmarkEnd w:id="127"/>
    <w:bookmarkEnd w:id="128"/>
    <w:bookmarkEnd w:id="129"/>
    <w:p>
      <w:pPr>
        <w:pStyle w:val="4"/>
        <w:spacing w:line="360" w:lineRule="auto"/>
        <w:rPr>
          <w:rFonts w:hint="default"/>
          <w:b/>
          <w:sz w:val="24"/>
        </w:rPr>
      </w:pPr>
      <w:bookmarkStart w:id="130" w:name="_Toc310195726"/>
      <w:bookmarkStart w:id="131" w:name="_Toc6665540"/>
      <w:r>
        <w:rPr>
          <w:b/>
          <w:sz w:val="24"/>
        </w:rPr>
        <w:t>28.履约保证金</w:t>
      </w:r>
      <w:bookmarkEnd w:id="130"/>
      <w:bookmarkEnd w:id="131"/>
    </w:p>
    <w:p>
      <w:pPr>
        <w:pStyle w:val="117"/>
        <w:spacing w:line="360" w:lineRule="auto"/>
        <w:rPr>
          <w:rFonts w:ascii="宋体" w:hAnsi="宋体"/>
          <w:sz w:val="24"/>
        </w:rPr>
      </w:pPr>
      <w:r>
        <w:rPr>
          <w:rFonts w:hint="eastAsia" w:ascii="宋体" w:hAnsi="宋体"/>
          <w:sz w:val="24"/>
        </w:rPr>
        <w:t>28.1提交履约保证金的时间：详见投标人须知资料表。</w:t>
      </w:r>
    </w:p>
    <w:p>
      <w:pPr>
        <w:pStyle w:val="117"/>
        <w:spacing w:line="360" w:lineRule="auto"/>
        <w:rPr>
          <w:rFonts w:ascii="宋体" w:hAnsi="宋体"/>
          <w:sz w:val="24"/>
        </w:rPr>
      </w:pPr>
      <w:r>
        <w:rPr>
          <w:rFonts w:hint="eastAsia" w:ascii="宋体" w:hAnsi="宋体"/>
          <w:sz w:val="24"/>
        </w:rPr>
        <w:t>28.1.1履约保证金用于补偿采购人因中标人不能履行其合同义务而蒙受的损失。</w:t>
      </w:r>
    </w:p>
    <w:p>
      <w:pPr>
        <w:pStyle w:val="117"/>
        <w:spacing w:line="360" w:lineRule="auto"/>
        <w:rPr>
          <w:rFonts w:ascii="宋体" w:hAnsi="宋体"/>
          <w:sz w:val="24"/>
        </w:rPr>
      </w:pPr>
      <w:r>
        <w:rPr>
          <w:rFonts w:hint="eastAsia" w:ascii="宋体" w:hAnsi="宋体"/>
          <w:sz w:val="24"/>
        </w:rPr>
        <w:t xml:space="preserve">28.1.2提交履约保证金形式：支票、汇款等非现金形式。 </w:t>
      </w:r>
    </w:p>
    <w:p>
      <w:pPr>
        <w:pStyle w:val="117"/>
        <w:spacing w:line="360" w:lineRule="auto"/>
        <w:rPr>
          <w:rFonts w:ascii="宋体" w:hAnsi="宋体"/>
          <w:sz w:val="24"/>
        </w:rPr>
      </w:pPr>
      <w:r>
        <w:rPr>
          <w:rFonts w:hint="eastAsia" w:ascii="宋体" w:hAnsi="宋体"/>
          <w:sz w:val="24"/>
        </w:rPr>
        <w:t>28.1.3履约保证金在法定的服务质量保证期期满前应完全有效。</w:t>
      </w:r>
    </w:p>
    <w:p>
      <w:pPr>
        <w:pStyle w:val="117"/>
        <w:spacing w:line="360" w:lineRule="auto"/>
        <w:rPr>
          <w:rFonts w:ascii="宋体" w:hAnsi="宋体"/>
          <w:sz w:val="24"/>
        </w:rPr>
      </w:pPr>
      <w:r>
        <w:rPr>
          <w:rFonts w:hint="eastAsia" w:ascii="宋体" w:hAnsi="宋体"/>
          <w:sz w:val="24"/>
        </w:rPr>
        <w:t>28.1.4如果中标人未能按合同规定履行其义务，采购人有权从履约保证金中取得补偿。</w:t>
      </w:r>
    </w:p>
    <w:p>
      <w:pPr>
        <w:pStyle w:val="117"/>
        <w:spacing w:line="360" w:lineRule="auto"/>
        <w:rPr>
          <w:rFonts w:ascii="宋体" w:hAnsi="宋体"/>
          <w:sz w:val="24"/>
        </w:rPr>
      </w:pPr>
      <w:r>
        <w:rPr>
          <w:rFonts w:hint="eastAsia" w:ascii="宋体" w:hAnsi="宋体"/>
          <w:sz w:val="24"/>
        </w:rPr>
        <w:t>28.2如果中标人没有按照上述第27条的规定执行，采购人和采购代理机构将取消该中标决定，该中标人的投标保证金不予返还，同时将结果报政府采购监督管理部门备案。采购人和采购代理机构可将中标结果授予下一个中标人候选人，或重新招标。</w:t>
      </w:r>
      <w:bookmarkStart w:id="132" w:name="_Toc518803443"/>
      <w:bookmarkStart w:id="133" w:name="_Toc520424502"/>
      <w:bookmarkStart w:id="134" w:name="_Toc520647611"/>
    </w:p>
    <w:p>
      <w:pPr>
        <w:spacing w:before="120" w:line="360" w:lineRule="auto"/>
        <w:rPr>
          <w:rFonts w:ascii="宋体" w:hAnsi="宋体"/>
          <w:sz w:val="24"/>
        </w:rPr>
      </w:pPr>
    </w:p>
    <w:p>
      <w:pPr>
        <w:pStyle w:val="4"/>
        <w:spacing w:line="360" w:lineRule="auto"/>
        <w:ind w:left="899" w:hanging="899"/>
        <w:jc w:val="center"/>
        <w:rPr>
          <w:rFonts w:hint="default"/>
          <w:sz w:val="24"/>
        </w:rPr>
      </w:pPr>
      <w:bookmarkStart w:id="135" w:name="_Toc310195727"/>
      <w:bookmarkStart w:id="136" w:name="_Toc6665541"/>
      <w:r>
        <w:rPr>
          <w:sz w:val="24"/>
        </w:rPr>
        <w:t>七  中标服务费</w:t>
      </w:r>
      <w:bookmarkEnd w:id="132"/>
      <w:bookmarkEnd w:id="133"/>
      <w:bookmarkEnd w:id="134"/>
      <w:bookmarkEnd w:id="135"/>
      <w:bookmarkEnd w:id="136"/>
    </w:p>
    <w:p>
      <w:pPr>
        <w:pStyle w:val="4"/>
        <w:spacing w:line="360" w:lineRule="auto"/>
        <w:rPr>
          <w:rFonts w:hint="default"/>
          <w:b/>
          <w:sz w:val="24"/>
        </w:rPr>
      </w:pPr>
      <w:bookmarkStart w:id="137" w:name="_Toc6665542"/>
      <w:bookmarkStart w:id="138" w:name="_Toc310195728"/>
      <w:bookmarkStart w:id="139" w:name="_Toc520424503"/>
      <w:bookmarkStart w:id="140" w:name="_Toc518803444"/>
      <w:bookmarkStart w:id="141" w:name="_Toc520647612"/>
      <w:bookmarkStart w:id="142" w:name="_Ref467306463"/>
      <w:r>
        <w:rPr>
          <w:b/>
          <w:sz w:val="24"/>
        </w:rPr>
        <w:t>29.中标服务费</w:t>
      </w:r>
      <w:bookmarkEnd w:id="137"/>
      <w:bookmarkEnd w:id="138"/>
      <w:bookmarkEnd w:id="139"/>
      <w:bookmarkEnd w:id="140"/>
      <w:bookmarkEnd w:id="141"/>
      <w:bookmarkEnd w:id="142"/>
    </w:p>
    <w:p>
      <w:pPr>
        <w:pStyle w:val="117"/>
        <w:spacing w:line="360" w:lineRule="auto"/>
        <w:rPr>
          <w:rFonts w:ascii="宋体" w:hAnsi="宋体"/>
          <w:sz w:val="24"/>
        </w:rPr>
      </w:pPr>
      <w:bookmarkStart w:id="143" w:name="_Ref467307288"/>
      <w:r>
        <w:rPr>
          <w:rFonts w:hint="eastAsia" w:ascii="宋体" w:hAnsi="宋体"/>
          <w:sz w:val="24"/>
        </w:rPr>
        <w:t>29.1</w:t>
      </w:r>
      <w:bookmarkEnd w:id="143"/>
      <w:r>
        <w:rPr>
          <w:rFonts w:hint="eastAsia" w:ascii="宋体" w:hAnsi="宋体"/>
          <w:sz w:val="24"/>
        </w:rPr>
        <w:t>采购代理机构参照原计价格[2002]1980号文、</w:t>
      </w:r>
      <w:r>
        <w:rPr>
          <w:rFonts w:hint="eastAsia" w:ascii="宋体" w:hAnsi="宋体" w:cs="宋体"/>
          <w:kern w:val="0"/>
          <w:sz w:val="24"/>
        </w:rPr>
        <w:t>发改办价格[2003]857号文及</w:t>
      </w:r>
      <w:r>
        <w:rPr>
          <w:rFonts w:ascii="宋体" w:hAnsi="宋体" w:cs="宋体"/>
          <w:kern w:val="0"/>
          <w:sz w:val="24"/>
        </w:rPr>
        <w:t>发改价格</w:t>
      </w:r>
      <w:r>
        <w:rPr>
          <w:rFonts w:ascii="宋体" w:hAnsi="宋体"/>
          <w:kern w:val="0"/>
          <w:sz w:val="24"/>
        </w:rPr>
        <w:t>[2011]534</w:t>
      </w:r>
      <w:r>
        <w:rPr>
          <w:rFonts w:ascii="宋体" w:hAnsi="宋体" w:cs="宋体"/>
          <w:kern w:val="0"/>
          <w:sz w:val="24"/>
        </w:rPr>
        <w:t>号</w:t>
      </w:r>
      <w:r>
        <w:rPr>
          <w:rFonts w:hint="eastAsia" w:ascii="宋体" w:hAnsi="宋体" w:cs="宋体"/>
          <w:kern w:val="0"/>
          <w:sz w:val="24"/>
        </w:rPr>
        <w:t>文有关规定向中标人收取</w:t>
      </w:r>
      <w:r>
        <w:rPr>
          <w:rFonts w:hint="eastAsia" w:ascii="宋体" w:hAnsi="宋体"/>
          <w:sz w:val="24"/>
        </w:rPr>
        <w:t>中标服务费用。此项费用不单独开列而应计入投标价。</w:t>
      </w:r>
    </w:p>
    <w:p>
      <w:pPr>
        <w:pStyle w:val="117"/>
        <w:spacing w:line="360" w:lineRule="auto"/>
        <w:rPr>
          <w:rFonts w:ascii="宋体" w:hAnsi="宋体"/>
          <w:sz w:val="24"/>
        </w:rPr>
      </w:pPr>
      <w:bookmarkStart w:id="144" w:name="_Ref467307311"/>
      <w:r>
        <w:rPr>
          <w:rFonts w:hint="eastAsia" w:ascii="宋体" w:hAnsi="宋体"/>
          <w:sz w:val="24"/>
        </w:rPr>
        <w:t>29.2中标人在领取中标通知书时向采购代理机构一次性缴付中标服务费。</w:t>
      </w:r>
      <w:bookmarkEnd w:id="144"/>
    </w:p>
    <w:p>
      <w:pPr>
        <w:pStyle w:val="117"/>
        <w:spacing w:line="360" w:lineRule="auto"/>
        <w:rPr>
          <w:rFonts w:ascii="宋体" w:hAnsi="宋体"/>
          <w:sz w:val="24"/>
        </w:rPr>
      </w:pPr>
      <w:r>
        <w:rPr>
          <w:rFonts w:hint="eastAsia" w:ascii="宋体" w:hAnsi="宋体"/>
          <w:sz w:val="24"/>
        </w:rPr>
        <w:t>29.3中标服务费将以支票或电汇的方式收取。</w:t>
      </w:r>
    </w:p>
    <w:p>
      <w:pPr>
        <w:pStyle w:val="117"/>
        <w:spacing w:line="360" w:lineRule="auto"/>
      </w:pPr>
      <w:r>
        <w:rPr>
          <w:rFonts w:hint="eastAsia" w:ascii="宋体" w:hAnsi="宋体"/>
          <w:sz w:val="24"/>
        </w:rPr>
        <w:t>29.4在投标时，投标人应提供中标服务费承诺书。</w:t>
      </w:r>
    </w:p>
    <w:p>
      <w:pPr>
        <w:pStyle w:val="4"/>
        <w:spacing w:line="360" w:lineRule="auto"/>
        <w:ind w:left="899" w:hanging="899"/>
        <w:jc w:val="center"/>
        <w:rPr>
          <w:rFonts w:hint="default"/>
          <w:sz w:val="24"/>
          <w:szCs w:val="24"/>
        </w:rPr>
      </w:pPr>
      <w:bookmarkStart w:id="145" w:name="_Toc6665543"/>
      <w:r>
        <w:rPr>
          <w:sz w:val="24"/>
          <w:szCs w:val="24"/>
        </w:rPr>
        <w:t>八履约验收</w:t>
      </w:r>
      <w:bookmarkEnd w:id="145"/>
    </w:p>
    <w:p>
      <w:pPr>
        <w:pStyle w:val="4"/>
        <w:spacing w:line="360" w:lineRule="auto"/>
        <w:rPr>
          <w:rFonts w:hint="default"/>
          <w:b/>
          <w:sz w:val="24"/>
        </w:rPr>
      </w:pPr>
      <w:bookmarkStart w:id="146" w:name="_Toc6665544"/>
      <w:r>
        <w:rPr>
          <w:b/>
          <w:sz w:val="24"/>
        </w:rPr>
        <w:t>3</w:t>
      </w:r>
      <w:r>
        <w:rPr>
          <w:b/>
          <w:sz w:val="24"/>
          <w:lang w:val="en-US"/>
        </w:rPr>
        <w:t>0</w:t>
      </w:r>
      <w:r>
        <w:rPr>
          <w:b/>
          <w:sz w:val="24"/>
        </w:rPr>
        <w:t>.履约验收</w:t>
      </w:r>
      <w:bookmarkEnd w:id="146"/>
    </w:p>
    <w:p>
      <w:pPr>
        <w:pStyle w:val="117"/>
        <w:spacing w:line="360" w:lineRule="auto"/>
        <w:rPr>
          <w:bCs/>
          <w:sz w:val="24"/>
        </w:rPr>
      </w:pPr>
      <w:r>
        <w:rPr>
          <w:rFonts w:hint="eastAsia"/>
          <w:bCs/>
          <w:sz w:val="24"/>
          <w:lang w:val="zh-CN"/>
        </w:rPr>
        <w:t>3</w:t>
      </w:r>
      <w:r>
        <w:rPr>
          <w:rFonts w:hint="eastAsia"/>
          <w:bCs/>
          <w:sz w:val="24"/>
        </w:rPr>
        <w:t>0</w:t>
      </w:r>
      <w:r>
        <w:rPr>
          <w:rFonts w:hint="eastAsia"/>
          <w:bCs/>
          <w:sz w:val="24"/>
          <w:lang w:val="zh-CN"/>
        </w:rPr>
        <w:t>.1</w:t>
      </w:r>
      <w:r>
        <w:rPr>
          <w:rFonts w:hint="eastAsia"/>
          <w:bCs/>
          <w:sz w:val="24"/>
        </w:rPr>
        <w:t>采购人或者其委托的采购代理机构应当组织对投标人履约的验收。大型或者复杂的政府采购项目，应当邀请国家认可的质量检测机构参加验收工作。验收方成员应当在验收书上签字，并承担相应的法律责任。</w:t>
      </w:r>
    </w:p>
    <w:p>
      <w:pPr>
        <w:pStyle w:val="117"/>
        <w:spacing w:line="360" w:lineRule="auto"/>
        <w:rPr>
          <w:bCs/>
          <w:sz w:val="24"/>
        </w:rPr>
      </w:pPr>
      <w:r>
        <w:rPr>
          <w:rFonts w:hint="eastAsia"/>
          <w:bCs/>
          <w:sz w:val="24"/>
        </w:rPr>
        <w:t>30.2采购人或者采购代理机构应当按照政府采购合同规定的技术、服务、安全标准组织对投标人履约情况进行验收，并出具验收书。验收书应当包括每一项技术、服务、安全标准的履约情况。</w:t>
      </w:r>
    </w:p>
    <w:p>
      <w:pPr>
        <w:pStyle w:val="4"/>
        <w:spacing w:line="360" w:lineRule="auto"/>
        <w:ind w:left="899" w:hanging="899"/>
        <w:jc w:val="center"/>
        <w:rPr>
          <w:rFonts w:hint="default"/>
          <w:sz w:val="24"/>
          <w:szCs w:val="24"/>
        </w:rPr>
      </w:pPr>
      <w:bookmarkStart w:id="147" w:name="_Toc6665545"/>
      <w:bookmarkStart w:id="148" w:name="_Toc529197212"/>
      <w:r>
        <w:rPr>
          <w:sz w:val="24"/>
          <w:szCs w:val="24"/>
        </w:rPr>
        <w:t>九 询问与质疑</w:t>
      </w:r>
      <w:bookmarkEnd w:id="147"/>
      <w:bookmarkEnd w:id="148"/>
    </w:p>
    <w:p>
      <w:pPr>
        <w:pStyle w:val="4"/>
        <w:spacing w:line="360" w:lineRule="auto"/>
        <w:rPr>
          <w:rFonts w:hint="default"/>
          <w:b/>
          <w:sz w:val="24"/>
        </w:rPr>
      </w:pPr>
      <w:bookmarkStart w:id="149" w:name="_Toc6665546"/>
      <w:r>
        <w:rPr>
          <w:b/>
          <w:sz w:val="24"/>
        </w:rPr>
        <w:t>3</w:t>
      </w:r>
      <w:r>
        <w:rPr>
          <w:b/>
          <w:sz w:val="24"/>
          <w:lang w:val="en-US"/>
        </w:rPr>
        <w:t>1</w:t>
      </w:r>
      <w:r>
        <w:rPr>
          <w:b/>
          <w:sz w:val="24"/>
        </w:rPr>
        <w:t>.询问</w:t>
      </w:r>
      <w:bookmarkEnd w:id="149"/>
    </w:p>
    <w:p>
      <w:pPr>
        <w:pStyle w:val="117"/>
        <w:spacing w:line="360" w:lineRule="auto"/>
        <w:ind w:firstLine="480" w:firstLineChars="200"/>
        <w:rPr>
          <w:bCs/>
          <w:color w:val="000000"/>
          <w:sz w:val="24"/>
        </w:rPr>
      </w:pPr>
      <w:r>
        <w:rPr>
          <w:rFonts w:hint="eastAsia"/>
          <w:bCs/>
          <w:color w:val="000000"/>
          <w:sz w:val="24"/>
        </w:rPr>
        <w:t>投标人对政府采购活动事项有疑问的，可以向采购代理机构提出询问，采购代理机构应当在3个工作日内对投标人依法提出的询问作出答复，但答复的内容不得涉及商业秘密。</w:t>
      </w:r>
    </w:p>
    <w:p>
      <w:pPr>
        <w:pStyle w:val="4"/>
        <w:spacing w:line="360" w:lineRule="auto"/>
        <w:rPr>
          <w:rFonts w:hint="default"/>
          <w:b/>
          <w:sz w:val="24"/>
        </w:rPr>
      </w:pPr>
      <w:bookmarkStart w:id="150" w:name="_Toc6665547"/>
      <w:r>
        <w:rPr>
          <w:b/>
          <w:sz w:val="24"/>
        </w:rPr>
        <w:t>3</w:t>
      </w:r>
      <w:r>
        <w:rPr>
          <w:b/>
          <w:sz w:val="24"/>
          <w:lang w:val="en-US"/>
        </w:rPr>
        <w:t>2</w:t>
      </w:r>
      <w:r>
        <w:rPr>
          <w:b/>
          <w:sz w:val="24"/>
        </w:rPr>
        <w:t>.质疑</w:t>
      </w:r>
      <w:bookmarkEnd w:id="150"/>
    </w:p>
    <w:p>
      <w:pPr>
        <w:pStyle w:val="117"/>
        <w:spacing w:line="360" w:lineRule="auto"/>
        <w:rPr>
          <w:bCs/>
          <w:color w:val="000000"/>
          <w:sz w:val="24"/>
        </w:rPr>
      </w:pPr>
      <w:r>
        <w:rPr>
          <w:rFonts w:hint="eastAsia"/>
          <w:bCs/>
          <w:color w:val="000000"/>
          <w:sz w:val="24"/>
        </w:rPr>
        <w:t>32</w:t>
      </w:r>
      <w:r>
        <w:rPr>
          <w:bCs/>
          <w:color w:val="000000"/>
          <w:sz w:val="24"/>
        </w:rPr>
        <w:t>.1</w:t>
      </w:r>
      <w:r>
        <w:rPr>
          <w:rFonts w:hint="eastAsia"/>
          <w:bCs/>
          <w:color w:val="000000"/>
          <w:sz w:val="24"/>
        </w:rPr>
        <w:t>投标人认为采购文件、采购过程、中标或者成交结果使自己的权益受到损害的，可以在知道或者应知其权益受到损害之日起7个工作日内，以书面形式向采购代理机构提出质疑。</w:t>
      </w:r>
    </w:p>
    <w:p>
      <w:pPr>
        <w:pStyle w:val="117"/>
        <w:spacing w:line="360" w:lineRule="auto"/>
        <w:rPr>
          <w:bCs/>
          <w:color w:val="000000"/>
          <w:sz w:val="24"/>
        </w:rPr>
      </w:pPr>
      <w:r>
        <w:rPr>
          <w:bCs/>
          <w:color w:val="000000"/>
          <w:sz w:val="24"/>
        </w:rPr>
        <w:t>3</w:t>
      </w:r>
      <w:r>
        <w:rPr>
          <w:rFonts w:hint="eastAsia"/>
          <w:bCs/>
          <w:color w:val="000000"/>
          <w:sz w:val="24"/>
        </w:rPr>
        <w:t>2</w:t>
      </w:r>
      <w:r>
        <w:rPr>
          <w:bCs/>
          <w:color w:val="000000"/>
          <w:sz w:val="24"/>
        </w:rPr>
        <w:t>.</w:t>
      </w:r>
      <w:r>
        <w:rPr>
          <w:rFonts w:hint="eastAsia"/>
          <w:bCs/>
          <w:color w:val="000000"/>
          <w:sz w:val="24"/>
        </w:rPr>
        <w:t>2投标人应在法定质疑期内一次性提出针对同一采购程序环节的质疑。</w:t>
      </w:r>
    </w:p>
    <w:p>
      <w:pPr>
        <w:pStyle w:val="117"/>
        <w:spacing w:line="360" w:lineRule="auto"/>
        <w:rPr>
          <w:bCs/>
          <w:color w:val="000000"/>
          <w:sz w:val="24"/>
        </w:rPr>
      </w:pPr>
      <w:r>
        <w:rPr>
          <w:rFonts w:hint="eastAsia"/>
          <w:bCs/>
          <w:color w:val="000000"/>
          <w:sz w:val="24"/>
        </w:rPr>
        <w:t>32.3投标人提出质疑应当提交质疑函和必要的证明材料。　　</w:t>
      </w:r>
    </w:p>
    <w:p>
      <w:pPr>
        <w:pStyle w:val="117"/>
        <w:spacing w:line="360" w:lineRule="auto"/>
        <w:rPr>
          <w:bCs/>
          <w:color w:val="000000"/>
          <w:sz w:val="24"/>
        </w:rPr>
      </w:pPr>
      <w:r>
        <w:rPr>
          <w:bCs/>
          <w:color w:val="000000"/>
          <w:sz w:val="24"/>
        </w:rPr>
        <w:t>3</w:t>
      </w:r>
      <w:r>
        <w:rPr>
          <w:rFonts w:hint="eastAsia"/>
          <w:bCs/>
          <w:color w:val="000000"/>
          <w:sz w:val="24"/>
        </w:rPr>
        <w:t>2</w:t>
      </w:r>
      <w:r>
        <w:rPr>
          <w:bCs/>
          <w:color w:val="000000"/>
          <w:sz w:val="24"/>
        </w:rPr>
        <w:t>.</w:t>
      </w:r>
      <w:r>
        <w:rPr>
          <w:rFonts w:hint="eastAsia"/>
          <w:bCs/>
          <w:color w:val="000000"/>
          <w:sz w:val="24"/>
        </w:rPr>
        <w:t>4投标人进行质疑时，应当书面提交质疑函正本一份、副本一份及电子版一份（word版）。</w:t>
      </w:r>
    </w:p>
    <w:p>
      <w:pPr>
        <w:pStyle w:val="117"/>
        <w:spacing w:line="360" w:lineRule="auto"/>
        <w:rPr>
          <w:bCs/>
          <w:color w:val="000000"/>
          <w:sz w:val="24"/>
        </w:rPr>
      </w:pPr>
      <w:r>
        <w:rPr>
          <w:bCs/>
          <w:color w:val="000000"/>
          <w:sz w:val="24"/>
        </w:rPr>
        <w:t>3</w:t>
      </w:r>
      <w:r>
        <w:rPr>
          <w:rFonts w:hint="eastAsia"/>
          <w:bCs/>
          <w:color w:val="000000"/>
          <w:sz w:val="24"/>
        </w:rPr>
        <w:t>2</w:t>
      </w:r>
      <w:r>
        <w:rPr>
          <w:bCs/>
          <w:color w:val="000000"/>
          <w:sz w:val="24"/>
        </w:rPr>
        <w:t>.5</w:t>
      </w:r>
      <w:r>
        <w:rPr>
          <w:rFonts w:hint="eastAsia"/>
          <w:bCs/>
          <w:color w:val="000000"/>
          <w:sz w:val="24"/>
        </w:rPr>
        <w:t>质疑函应当采用政府采购供应商质疑函范本格式，应当包括下列主要内容：</w:t>
      </w:r>
    </w:p>
    <w:p>
      <w:pPr>
        <w:pStyle w:val="117"/>
        <w:spacing w:line="360" w:lineRule="auto"/>
        <w:rPr>
          <w:bCs/>
          <w:color w:val="000000"/>
          <w:sz w:val="24"/>
        </w:rPr>
      </w:pPr>
      <w:r>
        <w:rPr>
          <w:rFonts w:hint="eastAsia"/>
          <w:bCs/>
          <w:color w:val="000000"/>
          <w:sz w:val="24"/>
        </w:rPr>
        <w:t>32.5.1投标人的姓名或者名称、地址、邮编、联系人及联系电话；</w:t>
      </w:r>
    </w:p>
    <w:p>
      <w:pPr>
        <w:pStyle w:val="117"/>
        <w:spacing w:line="360" w:lineRule="auto"/>
        <w:rPr>
          <w:bCs/>
          <w:color w:val="000000"/>
          <w:sz w:val="24"/>
        </w:rPr>
      </w:pPr>
      <w:r>
        <w:rPr>
          <w:rFonts w:hint="eastAsia"/>
          <w:bCs/>
          <w:color w:val="000000"/>
          <w:sz w:val="24"/>
        </w:rPr>
        <w:t>32.5.2质疑项目的名称、编号；</w:t>
      </w:r>
    </w:p>
    <w:p>
      <w:pPr>
        <w:pStyle w:val="117"/>
        <w:spacing w:line="360" w:lineRule="auto"/>
        <w:rPr>
          <w:bCs/>
          <w:color w:val="000000"/>
          <w:sz w:val="24"/>
        </w:rPr>
      </w:pPr>
      <w:r>
        <w:rPr>
          <w:rFonts w:hint="eastAsia"/>
          <w:bCs/>
          <w:color w:val="000000"/>
          <w:sz w:val="24"/>
        </w:rPr>
        <w:t>32.5.3具体、明确的质疑事项和与质疑事项相关的请求；</w:t>
      </w:r>
    </w:p>
    <w:p>
      <w:pPr>
        <w:pStyle w:val="117"/>
        <w:spacing w:line="360" w:lineRule="auto"/>
        <w:rPr>
          <w:bCs/>
          <w:color w:val="000000"/>
          <w:sz w:val="24"/>
        </w:rPr>
      </w:pPr>
      <w:r>
        <w:rPr>
          <w:rFonts w:hint="eastAsia"/>
          <w:bCs/>
          <w:color w:val="000000"/>
          <w:sz w:val="24"/>
        </w:rPr>
        <w:t>32.5.4事实依据；</w:t>
      </w:r>
    </w:p>
    <w:p>
      <w:pPr>
        <w:pStyle w:val="117"/>
        <w:spacing w:line="360" w:lineRule="auto"/>
        <w:rPr>
          <w:bCs/>
          <w:color w:val="000000"/>
          <w:sz w:val="24"/>
        </w:rPr>
      </w:pPr>
      <w:r>
        <w:rPr>
          <w:rFonts w:hint="eastAsia"/>
          <w:bCs/>
          <w:color w:val="000000"/>
          <w:sz w:val="24"/>
        </w:rPr>
        <w:t>32.5.5必要的法律依据；</w:t>
      </w:r>
    </w:p>
    <w:p>
      <w:pPr>
        <w:pStyle w:val="117"/>
        <w:spacing w:line="360" w:lineRule="auto"/>
        <w:rPr>
          <w:bCs/>
          <w:color w:val="000000"/>
          <w:sz w:val="24"/>
        </w:rPr>
      </w:pPr>
      <w:r>
        <w:rPr>
          <w:rFonts w:hint="eastAsia"/>
          <w:bCs/>
          <w:color w:val="000000"/>
          <w:sz w:val="24"/>
        </w:rPr>
        <w:t>32.5.6提出质疑的日期（该日期为送达我公司项目负责人的日期）。</w:t>
      </w:r>
    </w:p>
    <w:p>
      <w:pPr>
        <w:pStyle w:val="117"/>
        <w:spacing w:line="360" w:lineRule="auto"/>
        <w:rPr>
          <w:bCs/>
          <w:color w:val="000000"/>
          <w:sz w:val="24"/>
        </w:rPr>
      </w:pPr>
      <w:r>
        <w:rPr>
          <w:bCs/>
          <w:color w:val="000000"/>
          <w:sz w:val="24"/>
        </w:rPr>
        <w:t>3</w:t>
      </w:r>
      <w:r>
        <w:rPr>
          <w:rFonts w:hint="eastAsia"/>
          <w:bCs/>
          <w:color w:val="000000"/>
          <w:sz w:val="24"/>
        </w:rPr>
        <w:t>2</w:t>
      </w:r>
      <w:r>
        <w:rPr>
          <w:bCs/>
          <w:color w:val="000000"/>
          <w:sz w:val="24"/>
        </w:rPr>
        <w:t>.</w:t>
      </w:r>
      <w:r>
        <w:rPr>
          <w:rFonts w:hint="eastAsia"/>
          <w:bCs/>
          <w:color w:val="000000"/>
          <w:sz w:val="24"/>
        </w:rPr>
        <w:t>6投标人为自然人的，应当由本人签字；投标人为法人或者其他组织的，应当由法定代表人、主要负责人，或者其授权代表签字或者盖章，并加盖公章。</w:t>
      </w:r>
    </w:p>
    <w:p>
      <w:pPr>
        <w:pStyle w:val="117"/>
        <w:spacing w:line="360" w:lineRule="auto"/>
        <w:rPr>
          <w:bCs/>
          <w:color w:val="000000"/>
          <w:sz w:val="24"/>
        </w:rPr>
      </w:pPr>
      <w:r>
        <w:rPr>
          <w:bCs/>
          <w:color w:val="000000"/>
          <w:sz w:val="24"/>
        </w:rPr>
        <w:t>3</w:t>
      </w:r>
      <w:r>
        <w:rPr>
          <w:rFonts w:hint="eastAsia"/>
          <w:bCs/>
          <w:color w:val="000000"/>
          <w:sz w:val="24"/>
        </w:rPr>
        <w:t>2</w:t>
      </w:r>
      <w:r>
        <w:rPr>
          <w:bCs/>
          <w:color w:val="000000"/>
          <w:sz w:val="24"/>
        </w:rPr>
        <w:t>.7</w:t>
      </w:r>
      <w:r>
        <w:rPr>
          <w:rFonts w:hint="eastAsia"/>
          <w:bCs/>
          <w:color w:val="000000"/>
          <w:sz w:val="24"/>
        </w:rPr>
        <w:t>质疑投标人进行虚假、恶意质疑的，采购代理机构将向财政主管部门进行汇报。</w:t>
      </w:r>
    </w:p>
    <w:p>
      <w:pPr>
        <w:spacing w:line="360" w:lineRule="auto"/>
        <w:rPr>
          <w:rFonts w:ascii="宋体" w:hAnsi="宋体"/>
          <w:sz w:val="24"/>
        </w:rPr>
      </w:pPr>
      <w:r>
        <w:rPr>
          <w:bCs/>
          <w:color w:val="000000"/>
          <w:sz w:val="24"/>
        </w:rPr>
        <w:t>3</w:t>
      </w:r>
      <w:r>
        <w:rPr>
          <w:rFonts w:hint="eastAsia"/>
          <w:bCs/>
          <w:color w:val="000000"/>
          <w:sz w:val="24"/>
        </w:rPr>
        <w:t>2</w:t>
      </w:r>
      <w:r>
        <w:rPr>
          <w:bCs/>
          <w:color w:val="000000"/>
          <w:sz w:val="24"/>
        </w:rPr>
        <w:t>.8</w:t>
      </w:r>
      <w:r>
        <w:rPr>
          <w:rFonts w:hint="eastAsia" w:ascii="宋体" w:hAnsi="宋体"/>
          <w:sz w:val="24"/>
        </w:rPr>
        <w:t>接收质疑函的方式：现场递交</w:t>
      </w:r>
    </w:p>
    <w:p>
      <w:pPr>
        <w:spacing w:line="336" w:lineRule="auto"/>
        <w:ind w:firstLine="480" w:firstLineChars="200"/>
        <w:rPr>
          <w:rFonts w:ascii="宋体" w:hAnsi="宋体"/>
          <w:sz w:val="24"/>
        </w:rPr>
      </w:pPr>
      <w:r>
        <w:rPr>
          <w:rFonts w:hint="eastAsia" w:ascii="宋体" w:hAnsi="宋体"/>
          <w:sz w:val="24"/>
        </w:rPr>
        <w:t>联系部门：北京华采招标代理有限公司</w:t>
      </w:r>
    </w:p>
    <w:p>
      <w:pPr>
        <w:spacing w:line="336" w:lineRule="auto"/>
        <w:ind w:firstLine="480" w:firstLineChars="200"/>
        <w:rPr>
          <w:rFonts w:ascii="宋体" w:hAnsi="宋体"/>
          <w:sz w:val="24"/>
        </w:rPr>
      </w:pPr>
      <w:r>
        <w:rPr>
          <w:rFonts w:hint="eastAsia" w:ascii="宋体" w:hAnsi="宋体"/>
          <w:sz w:val="24"/>
        </w:rPr>
        <w:t>通讯地址：北京市丰台区广安路9号国投财富广场6号楼1518室</w:t>
      </w:r>
    </w:p>
    <w:p>
      <w:pPr>
        <w:spacing w:line="336" w:lineRule="auto"/>
        <w:ind w:firstLine="480" w:firstLineChars="200"/>
        <w:rPr>
          <w:rFonts w:ascii="宋体" w:hAnsi="宋体"/>
          <w:sz w:val="24"/>
        </w:rPr>
      </w:pPr>
      <w:r>
        <w:rPr>
          <w:rFonts w:hint="eastAsia" w:ascii="宋体" w:hAnsi="宋体"/>
          <w:sz w:val="24"/>
        </w:rPr>
        <w:t>联系电话：010-63509799-509/510</w:t>
      </w:r>
    </w:p>
    <w:p>
      <w:pPr>
        <w:spacing w:line="336" w:lineRule="auto"/>
        <w:ind w:firstLine="480" w:firstLineChars="200"/>
        <w:rPr>
          <w:bCs/>
          <w:color w:val="000000"/>
          <w:sz w:val="24"/>
        </w:rPr>
      </w:pPr>
      <w:r>
        <w:rPr>
          <w:rFonts w:hint="eastAsia" w:ascii="宋体" w:hAnsi="宋体"/>
          <w:sz w:val="24"/>
        </w:rPr>
        <w:t>联系人：造价招标1部  贾东敏、金珊</w:t>
      </w:r>
    </w:p>
    <w:p>
      <w:pPr>
        <w:pStyle w:val="117"/>
        <w:spacing w:line="360" w:lineRule="auto"/>
        <w:rPr>
          <w:bCs/>
          <w:color w:val="000000"/>
          <w:sz w:val="24"/>
        </w:rPr>
      </w:pPr>
      <w:r>
        <w:rPr>
          <w:rFonts w:hint="eastAsia"/>
          <w:bCs/>
          <w:color w:val="000000"/>
          <w:sz w:val="24"/>
        </w:rPr>
        <w:br w:type="page"/>
      </w:r>
    </w:p>
    <w:p>
      <w:pPr>
        <w:pStyle w:val="2"/>
        <w:numPr>
          <w:ilvl w:val="0"/>
          <w:numId w:val="2"/>
        </w:numPr>
        <w:spacing w:before="0" w:after="0" w:line="360" w:lineRule="auto"/>
        <w:rPr>
          <w:rFonts w:hAnsi="宋体"/>
          <w:bCs w:val="0"/>
          <w:iCs/>
          <w:kern w:val="2"/>
          <w:szCs w:val="28"/>
        </w:rPr>
      </w:pPr>
      <w:bookmarkStart w:id="151" w:name="_Toc421633338"/>
      <w:bookmarkStart w:id="152" w:name="_Toc310195729"/>
      <w:r>
        <w:rPr>
          <w:rFonts w:hint="eastAsia" w:hAnsi="宋体"/>
          <w:bCs w:val="0"/>
          <w:iCs/>
          <w:kern w:val="2"/>
          <w:szCs w:val="28"/>
          <w:lang w:val="en-US"/>
        </w:rPr>
        <w:t xml:space="preserve">  </w:t>
      </w:r>
      <w:bookmarkStart w:id="153" w:name="_Toc6665548"/>
      <w:r>
        <w:rPr>
          <w:rFonts w:hint="eastAsia" w:hAnsi="宋体"/>
          <w:bCs w:val="0"/>
          <w:iCs/>
          <w:kern w:val="2"/>
          <w:szCs w:val="28"/>
        </w:rPr>
        <w:t>采购需求</w:t>
      </w:r>
      <w:bookmarkEnd w:id="153"/>
    </w:p>
    <w:p>
      <w:pPr>
        <w:adjustRightInd w:val="0"/>
        <w:snapToGrid w:val="0"/>
        <w:spacing w:line="360" w:lineRule="auto"/>
        <w:rPr>
          <w:rFonts w:ascii="宋体" w:hAnsi="宋体"/>
          <w:sz w:val="24"/>
        </w:rPr>
      </w:pPr>
    </w:p>
    <w:p>
      <w:pPr>
        <w:widowControl/>
        <w:spacing w:line="360" w:lineRule="auto"/>
        <w:jc w:val="left"/>
        <w:rPr>
          <w:rFonts w:ascii="宋体" w:hAnsi="宋体"/>
          <w:b/>
          <w:sz w:val="24"/>
        </w:rPr>
      </w:pPr>
      <w:r>
        <w:rPr>
          <w:rFonts w:hint="eastAsia" w:ascii="Arial" w:cs="Arial"/>
          <w:b/>
          <w:sz w:val="24"/>
        </w:rPr>
        <w:t>一、现场状</w:t>
      </w:r>
      <w:r>
        <w:rPr>
          <w:rFonts w:ascii="Arial" w:cs="Arial"/>
          <w:b/>
          <w:sz w:val="24"/>
        </w:rPr>
        <w:t>况</w:t>
      </w:r>
    </w:p>
    <w:p>
      <w:pPr>
        <w:widowControl/>
        <w:spacing w:line="360" w:lineRule="auto"/>
        <w:ind w:firstLine="420" w:firstLineChars="175"/>
        <w:jc w:val="left"/>
        <w:rPr>
          <w:sz w:val="24"/>
        </w:rPr>
      </w:pPr>
      <w:r>
        <w:rPr>
          <w:rFonts w:hint="eastAsia" w:hAnsi="Arial"/>
          <w:sz w:val="24"/>
        </w:rPr>
        <w:t>下沉广场加装1部室外自动扶梯</w:t>
      </w:r>
      <w:r>
        <w:rPr>
          <w:rFonts w:hint="eastAsia"/>
          <w:sz w:val="24"/>
        </w:rPr>
        <w:t>及电梯土建工程。</w:t>
      </w:r>
    </w:p>
    <w:p>
      <w:pPr>
        <w:widowControl/>
        <w:spacing w:line="360" w:lineRule="auto"/>
        <w:jc w:val="left"/>
        <w:rPr>
          <w:rFonts w:ascii="宋体" w:hAnsi="宋体"/>
          <w:sz w:val="24"/>
        </w:rPr>
      </w:pPr>
      <w:r>
        <w:rPr>
          <w:rFonts w:hint="eastAsia" w:ascii="Arial" w:cs="Arial"/>
          <w:b/>
          <w:sz w:val="24"/>
        </w:rPr>
        <w:t>二、电梯及土建</w:t>
      </w:r>
      <w:r>
        <w:rPr>
          <w:rFonts w:hint="eastAsia" w:ascii="宋体" w:hAnsi="宋体"/>
          <w:color w:val="000000"/>
          <w:kern w:val="0"/>
          <w:sz w:val="24"/>
        </w:rPr>
        <w:t xml:space="preserve">                                                                                      </w:t>
      </w:r>
      <w:r>
        <w:rPr>
          <w:rFonts w:hint="eastAsia" w:ascii="宋体" w:hAnsi="宋体"/>
          <w:sz w:val="24"/>
        </w:rPr>
        <w:t xml:space="preserve"> </w:t>
      </w:r>
    </w:p>
    <w:tbl>
      <w:tblPr>
        <w:tblStyle w:val="47"/>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715"/>
        <w:gridCol w:w="2694"/>
        <w:gridCol w:w="127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228" w:type="dxa"/>
            <w:vAlign w:val="center"/>
          </w:tcPr>
          <w:p>
            <w:pPr>
              <w:spacing w:line="360" w:lineRule="auto"/>
              <w:jc w:val="center"/>
              <w:rPr>
                <w:rFonts w:hAnsi="宋体"/>
                <w:color w:val="000000"/>
                <w:sz w:val="24"/>
              </w:rPr>
            </w:pPr>
            <w:r>
              <w:rPr>
                <w:rFonts w:hint="eastAsia" w:hAnsi="宋体"/>
                <w:sz w:val="24"/>
              </w:rPr>
              <w:t>序号</w:t>
            </w:r>
          </w:p>
        </w:tc>
        <w:tc>
          <w:tcPr>
            <w:tcW w:w="1715" w:type="dxa"/>
            <w:vAlign w:val="center"/>
          </w:tcPr>
          <w:p>
            <w:pPr>
              <w:spacing w:line="360" w:lineRule="auto"/>
              <w:jc w:val="center"/>
              <w:rPr>
                <w:rFonts w:hAnsi="宋体"/>
                <w:sz w:val="24"/>
              </w:rPr>
            </w:pPr>
            <w:r>
              <w:rPr>
                <w:rFonts w:hint="eastAsia" w:hAnsi="宋体"/>
                <w:sz w:val="24"/>
              </w:rPr>
              <w:t>名称</w:t>
            </w:r>
          </w:p>
        </w:tc>
        <w:tc>
          <w:tcPr>
            <w:tcW w:w="2694" w:type="dxa"/>
          </w:tcPr>
          <w:p>
            <w:pPr>
              <w:pStyle w:val="20"/>
              <w:spacing w:before="156" w:line="360" w:lineRule="auto"/>
              <w:jc w:val="center"/>
              <w:rPr>
                <w:rFonts w:hAnsi="宋体"/>
                <w:color w:val="000000"/>
                <w:sz w:val="24"/>
                <w:szCs w:val="24"/>
                <w:highlight w:val="yellow"/>
              </w:rPr>
            </w:pPr>
            <w:r>
              <w:rPr>
                <w:rFonts w:hint="eastAsia" w:hAnsi="宋体"/>
                <w:color w:val="000000"/>
                <w:sz w:val="24"/>
                <w:szCs w:val="24"/>
              </w:rPr>
              <w:t>名    称</w:t>
            </w:r>
          </w:p>
        </w:tc>
        <w:tc>
          <w:tcPr>
            <w:tcW w:w="1275" w:type="dxa"/>
          </w:tcPr>
          <w:p>
            <w:pPr>
              <w:pStyle w:val="20"/>
              <w:spacing w:before="156" w:line="360" w:lineRule="auto"/>
              <w:jc w:val="center"/>
              <w:rPr>
                <w:rFonts w:hAnsi="宋体"/>
                <w:color w:val="000000"/>
                <w:sz w:val="24"/>
                <w:szCs w:val="24"/>
              </w:rPr>
            </w:pPr>
            <w:r>
              <w:rPr>
                <w:rFonts w:hint="eastAsia" w:hAnsi="宋体"/>
                <w:color w:val="000000"/>
                <w:sz w:val="24"/>
                <w:szCs w:val="24"/>
              </w:rPr>
              <w:t>数 量</w:t>
            </w:r>
          </w:p>
        </w:tc>
        <w:tc>
          <w:tcPr>
            <w:tcW w:w="2268" w:type="dxa"/>
          </w:tcPr>
          <w:p>
            <w:pPr>
              <w:pStyle w:val="20"/>
              <w:spacing w:before="156" w:line="360" w:lineRule="auto"/>
              <w:jc w:val="center"/>
              <w:rPr>
                <w:rFonts w:hAnsi="宋体"/>
                <w:color w:val="000000"/>
                <w:sz w:val="24"/>
                <w:szCs w:val="24"/>
              </w:rPr>
            </w:pPr>
            <w:r>
              <w:rPr>
                <w:rFonts w:hint="eastAsia" w:hAnsi="宋体"/>
                <w:color w:val="00000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228" w:type="dxa"/>
            <w:vMerge w:val="restart"/>
            <w:vAlign w:val="center"/>
          </w:tcPr>
          <w:p>
            <w:pPr>
              <w:spacing w:line="360" w:lineRule="auto"/>
              <w:jc w:val="center"/>
              <w:rPr>
                <w:rFonts w:hAnsi="宋体"/>
                <w:color w:val="000000"/>
                <w:sz w:val="24"/>
              </w:rPr>
            </w:pPr>
            <w:r>
              <w:rPr>
                <w:rFonts w:hint="eastAsia" w:hAnsi="宋体"/>
                <w:sz w:val="24"/>
              </w:rPr>
              <w:t>1</w:t>
            </w:r>
          </w:p>
        </w:tc>
        <w:tc>
          <w:tcPr>
            <w:tcW w:w="1715" w:type="dxa"/>
            <w:vMerge w:val="restart"/>
            <w:vAlign w:val="center"/>
          </w:tcPr>
          <w:p>
            <w:pPr>
              <w:pStyle w:val="20"/>
              <w:jc w:val="center"/>
              <w:rPr>
                <w:rFonts w:hAnsi="宋体"/>
                <w:color w:val="000000"/>
                <w:sz w:val="24"/>
                <w:lang w:val="en-US"/>
              </w:rPr>
            </w:pPr>
            <w:r>
              <w:rPr>
                <w:rFonts w:hint="eastAsia" w:asciiTheme="minorEastAsia" w:hAnsiTheme="minorEastAsia" w:eastAsiaTheme="minorEastAsia" w:cstheme="minorEastAsia"/>
                <w:b/>
                <w:kern w:val="0"/>
                <w:sz w:val="24"/>
              </w:rPr>
              <w:t>▲</w:t>
            </w:r>
            <w:r>
              <w:rPr>
                <w:rFonts w:hint="eastAsia" w:hAnsi="宋体"/>
                <w:color w:val="000000"/>
                <w:sz w:val="24"/>
                <w:lang w:val="en-US"/>
              </w:rPr>
              <w:t>电梯</w:t>
            </w:r>
          </w:p>
        </w:tc>
        <w:tc>
          <w:tcPr>
            <w:tcW w:w="2694" w:type="dxa"/>
            <w:vAlign w:val="center"/>
          </w:tcPr>
          <w:p>
            <w:pPr>
              <w:pStyle w:val="20"/>
              <w:spacing w:line="360" w:lineRule="auto"/>
              <w:rPr>
                <w:rFonts w:hAnsi="宋体"/>
                <w:color w:val="000000"/>
                <w:sz w:val="24"/>
                <w:szCs w:val="24"/>
              </w:rPr>
            </w:pPr>
            <w:r>
              <w:rPr>
                <w:rFonts w:hint="eastAsia" w:hAnsi="宋体"/>
                <w:color w:val="000000"/>
                <w:sz w:val="24"/>
                <w:szCs w:val="24"/>
              </w:rPr>
              <w:t>室外自动扶梯</w:t>
            </w:r>
          </w:p>
        </w:tc>
        <w:tc>
          <w:tcPr>
            <w:tcW w:w="1275" w:type="dxa"/>
            <w:vAlign w:val="center"/>
          </w:tcPr>
          <w:p>
            <w:pPr>
              <w:pStyle w:val="20"/>
              <w:spacing w:line="360" w:lineRule="auto"/>
              <w:jc w:val="center"/>
              <w:rPr>
                <w:rFonts w:hAnsi="宋体"/>
                <w:color w:val="000000"/>
                <w:sz w:val="24"/>
                <w:szCs w:val="24"/>
              </w:rPr>
            </w:pPr>
            <w:r>
              <w:rPr>
                <w:rFonts w:hint="eastAsia" w:hAnsi="宋体"/>
                <w:color w:val="000000"/>
                <w:sz w:val="24"/>
                <w:szCs w:val="24"/>
                <w:lang w:val="en-US"/>
              </w:rPr>
              <w:t>1</w:t>
            </w:r>
            <w:r>
              <w:rPr>
                <w:rFonts w:hint="eastAsia" w:hAnsi="宋体"/>
                <w:color w:val="000000"/>
                <w:sz w:val="24"/>
                <w:szCs w:val="24"/>
              </w:rPr>
              <w:t>部</w:t>
            </w:r>
          </w:p>
        </w:tc>
        <w:tc>
          <w:tcPr>
            <w:tcW w:w="2268" w:type="dxa"/>
            <w:vAlign w:val="center"/>
          </w:tcPr>
          <w:p>
            <w:pPr>
              <w:pStyle w:val="20"/>
              <w:spacing w:line="360" w:lineRule="auto"/>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continue"/>
            <w:vAlign w:val="center"/>
          </w:tcPr>
          <w:p>
            <w:pPr>
              <w:pStyle w:val="20"/>
              <w:jc w:val="center"/>
              <w:rPr>
                <w:rFonts w:hAnsi="宋体"/>
                <w:color w:val="000000"/>
                <w:sz w:val="24"/>
                <w:szCs w:val="24"/>
              </w:rPr>
            </w:pPr>
          </w:p>
        </w:tc>
        <w:tc>
          <w:tcPr>
            <w:tcW w:w="1715" w:type="dxa"/>
            <w:vMerge w:val="continue"/>
            <w:vAlign w:val="center"/>
          </w:tcPr>
          <w:p>
            <w:pPr>
              <w:pStyle w:val="20"/>
              <w:jc w:val="center"/>
              <w:rPr>
                <w:rFonts w:hAnsi="宋体"/>
                <w:color w:val="000000"/>
                <w:sz w:val="24"/>
                <w:lang w:val="en-US"/>
              </w:rPr>
            </w:pPr>
          </w:p>
        </w:tc>
        <w:tc>
          <w:tcPr>
            <w:tcW w:w="2694" w:type="dxa"/>
            <w:vAlign w:val="center"/>
          </w:tcPr>
          <w:p>
            <w:pPr>
              <w:pStyle w:val="20"/>
              <w:spacing w:line="360" w:lineRule="auto"/>
              <w:rPr>
                <w:rFonts w:hAnsi="宋体"/>
                <w:color w:val="000000"/>
                <w:sz w:val="24"/>
                <w:szCs w:val="24"/>
              </w:rPr>
            </w:pPr>
            <w:r>
              <w:rPr>
                <w:rFonts w:hint="eastAsia" w:hAnsi="宋体"/>
                <w:color w:val="000000"/>
                <w:sz w:val="24"/>
                <w:szCs w:val="24"/>
              </w:rPr>
              <w:t>安装</w:t>
            </w:r>
          </w:p>
        </w:tc>
        <w:tc>
          <w:tcPr>
            <w:tcW w:w="1275" w:type="dxa"/>
            <w:vAlign w:val="center"/>
          </w:tcPr>
          <w:p>
            <w:pPr>
              <w:pStyle w:val="20"/>
              <w:spacing w:line="360" w:lineRule="auto"/>
              <w:jc w:val="center"/>
              <w:rPr>
                <w:rFonts w:hAnsi="宋体"/>
                <w:color w:val="000000"/>
                <w:sz w:val="24"/>
                <w:szCs w:val="24"/>
              </w:rPr>
            </w:pPr>
            <w:r>
              <w:rPr>
                <w:rFonts w:hint="eastAsia" w:hAnsi="宋体"/>
                <w:color w:val="000000"/>
                <w:sz w:val="24"/>
                <w:szCs w:val="24"/>
                <w:lang w:val="en-US"/>
              </w:rPr>
              <w:t>1</w:t>
            </w:r>
            <w:r>
              <w:rPr>
                <w:rFonts w:hint="eastAsia" w:hAnsi="宋体"/>
                <w:color w:val="000000"/>
                <w:sz w:val="24"/>
                <w:szCs w:val="24"/>
              </w:rPr>
              <w:t>部</w:t>
            </w:r>
          </w:p>
        </w:tc>
        <w:tc>
          <w:tcPr>
            <w:tcW w:w="2268" w:type="dxa"/>
          </w:tcPr>
          <w:p>
            <w:pPr>
              <w:pStyle w:val="20"/>
              <w:spacing w:line="360" w:lineRule="auto"/>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continue"/>
            <w:vAlign w:val="center"/>
          </w:tcPr>
          <w:p>
            <w:pPr>
              <w:spacing w:line="360" w:lineRule="auto"/>
              <w:jc w:val="center"/>
              <w:rPr>
                <w:rFonts w:hAnsi="宋体"/>
                <w:color w:val="000000"/>
                <w:sz w:val="24"/>
              </w:rPr>
            </w:pPr>
          </w:p>
        </w:tc>
        <w:tc>
          <w:tcPr>
            <w:tcW w:w="1715" w:type="dxa"/>
            <w:vMerge w:val="continue"/>
            <w:vAlign w:val="center"/>
          </w:tcPr>
          <w:p>
            <w:pPr>
              <w:spacing w:line="360" w:lineRule="auto"/>
              <w:jc w:val="center"/>
              <w:rPr>
                <w:rFonts w:hAnsi="宋体"/>
                <w:sz w:val="24"/>
              </w:rPr>
            </w:pPr>
          </w:p>
        </w:tc>
        <w:tc>
          <w:tcPr>
            <w:tcW w:w="2694" w:type="dxa"/>
            <w:vAlign w:val="center"/>
          </w:tcPr>
          <w:p>
            <w:pPr>
              <w:pStyle w:val="20"/>
              <w:spacing w:line="360" w:lineRule="auto"/>
              <w:rPr>
                <w:rFonts w:hAnsi="宋体"/>
                <w:color w:val="000000"/>
                <w:sz w:val="24"/>
                <w:szCs w:val="24"/>
              </w:rPr>
            </w:pPr>
            <w:r>
              <w:rPr>
                <w:rFonts w:hint="eastAsia" w:hAnsi="宋体"/>
                <w:color w:val="000000"/>
                <w:sz w:val="24"/>
                <w:szCs w:val="24"/>
              </w:rPr>
              <w:t>调试、检验</w:t>
            </w:r>
          </w:p>
        </w:tc>
        <w:tc>
          <w:tcPr>
            <w:tcW w:w="1275" w:type="dxa"/>
            <w:vAlign w:val="center"/>
          </w:tcPr>
          <w:p>
            <w:pPr>
              <w:pStyle w:val="20"/>
              <w:spacing w:line="360" w:lineRule="auto"/>
              <w:jc w:val="center"/>
              <w:rPr>
                <w:rFonts w:hAnsi="宋体"/>
                <w:color w:val="000000"/>
                <w:sz w:val="24"/>
                <w:szCs w:val="24"/>
              </w:rPr>
            </w:pPr>
            <w:r>
              <w:rPr>
                <w:rFonts w:hint="eastAsia" w:hAnsi="宋体"/>
                <w:color w:val="000000"/>
                <w:sz w:val="24"/>
                <w:szCs w:val="24"/>
                <w:lang w:val="en-US"/>
              </w:rPr>
              <w:t>1</w:t>
            </w:r>
            <w:r>
              <w:rPr>
                <w:rFonts w:hint="eastAsia" w:hAnsi="宋体"/>
                <w:color w:val="000000"/>
                <w:sz w:val="24"/>
                <w:szCs w:val="24"/>
              </w:rPr>
              <w:t>部</w:t>
            </w:r>
          </w:p>
        </w:tc>
        <w:tc>
          <w:tcPr>
            <w:tcW w:w="2268" w:type="dxa"/>
          </w:tcPr>
          <w:p>
            <w:pPr>
              <w:pStyle w:val="20"/>
              <w:spacing w:line="360" w:lineRule="auto"/>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continue"/>
            <w:vAlign w:val="center"/>
          </w:tcPr>
          <w:p>
            <w:pPr>
              <w:pStyle w:val="20"/>
              <w:jc w:val="center"/>
              <w:rPr>
                <w:rFonts w:hAnsi="宋体"/>
                <w:color w:val="000000"/>
                <w:sz w:val="24"/>
                <w:szCs w:val="24"/>
              </w:rPr>
            </w:pPr>
          </w:p>
        </w:tc>
        <w:tc>
          <w:tcPr>
            <w:tcW w:w="1715" w:type="dxa"/>
            <w:vMerge w:val="continue"/>
            <w:vAlign w:val="center"/>
          </w:tcPr>
          <w:p>
            <w:pPr>
              <w:pStyle w:val="20"/>
              <w:jc w:val="center"/>
              <w:rPr>
                <w:rFonts w:hAnsi="宋体"/>
                <w:color w:val="000000"/>
                <w:sz w:val="24"/>
                <w:lang w:val="en-US"/>
              </w:rPr>
            </w:pPr>
          </w:p>
        </w:tc>
        <w:tc>
          <w:tcPr>
            <w:tcW w:w="2694" w:type="dxa"/>
            <w:vAlign w:val="center"/>
          </w:tcPr>
          <w:p>
            <w:pPr>
              <w:pStyle w:val="20"/>
              <w:spacing w:line="360" w:lineRule="auto"/>
              <w:rPr>
                <w:rFonts w:hAnsi="宋体"/>
                <w:color w:val="000000"/>
                <w:sz w:val="24"/>
                <w:szCs w:val="24"/>
              </w:rPr>
            </w:pPr>
            <w:r>
              <w:rPr>
                <w:rFonts w:hint="eastAsia" w:hAnsi="宋体"/>
                <w:color w:val="000000"/>
                <w:sz w:val="24"/>
                <w:szCs w:val="24"/>
              </w:rPr>
              <w:t>最终目的地运保费</w:t>
            </w:r>
          </w:p>
        </w:tc>
        <w:tc>
          <w:tcPr>
            <w:tcW w:w="1275" w:type="dxa"/>
          </w:tcPr>
          <w:p>
            <w:pPr>
              <w:pStyle w:val="20"/>
              <w:spacing w:line="360" w:lineRule="auto"/>
              <w:jc w:val="center"/>
              <w:rPr>
                <w:rFonts w:hAnsi="宋体"/>
                <w:color w:val="000000"/>
                <w:sz w:val="24"/>
                <w:szCs w:val="24"/>
              </w:rPr>
            </w:pPr>
            <w:r>
              <w:rPr>
                <w:rFonts w:hint="eastAsia" w:hAnsi="宋体"/>
                <w:color w:val="000000"/>
                <w:sz w:val="24"/>
                <w:szCs w:val="24"/>
                <w:lang w:val="en-US"/>
              </w:rPr>
              <w:t>1</w:t>
            </w:r>
            <w:r>
              <w:rPr>
                <w:rFonts w:hint="eastAsia" w:hAnsi="宋体"/>
                <w:color w:val="000000"/>
                <w:sz w:val="24"/>
                <w:szCs w:val="24"/>
              </w:rPr>
              <w:t>部</w:t>
            </w:r>
          </w:p>
        </w:tc>
        <w:tc>
          <w:tcPr>
            <w:tcW w:w="2268" w:type="dxa"/>
          </w:tcPr>
          <w:p>
            <w:pPr>
              <w:pStyle w:val="20"/>
              <w:spacing w:line="360" w:lineRule="auto"/>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continue"/>
            <w:vAlign w:val="center"/>
          </w:tcPr>
          <w:p>
            <w:pPr>
              <w:pStyle w:val="20"/>
              <w:jc w:val="center"/>
              <w:rPr>
                <w:rFonts w:hAnsi="宋体"/>
                <w:color w:val="000000"/>
                <w:sz w:val="24"/>
                <w:szCs w:val="24"/>
                <w:lang w:val="en-US"/>
              </w:rPr>
            </w:pPr>
          </w:p>
        </w:tc>
        <w:tc>
          <w:tcPr>
            <w:tcW w:w="1715" w:type="dxa"/>
            <w:vMerge w:val="continue"/>
            <w:vAlign w:val="center"/>
          </w:tcPr>
          <w:p>
            <w:pPr>
              <w:pStyle w:val="20"/>
              <w:jc w:val="center"/>
              <w:rPr>
                <w:rFonts w:hAnsi="宋体"/>
                <w:color w:val="000000"/>
                <w:sz w:val="24"/>
                <w:lang w:val="en-US"/>
              </w:rPr>
            </w:pPr>
          </w:p>
        </w:tc>
        <w:tc>
          <w:tcPr>
            <w:tcW w:w="2694" w:type="dxa"/>
            <w:vAlign w:val="center"/>
          </w:tcPr>
          <w:p>
            <w:pPr>
              <w:pStyle w:val="20"/>
              <w:spacing w:line="360" w:lineRule="auto"/>
              <w:rPr>
                <w:rFonts w:hAnsi="宋体"/>
                <w:color w:val="000000"/>
                <w:sz w:val="24"/>
                <w:szCs w:val="24"/>
              </w:rPr>
            </w:pPr>
            <w:r>
              <w:rPr>
                <w:rFonts w:hint="eastAsia" w:hAnsi="宋体"/>
                <w:color w:val="000000"/>
                <w:sz w:val="24"/>
                <w:szCs w:val="24"/>
              </w:rPr>
              <w:t>扶梯桁架装饰</w:t>
            </w:r>
          </w:p>
        </w:tc>
        <w:tc>
          <w:tcPr>
            <w:tcW w:w="1275" w:type="dxa"/>
          </w:tcPr>
          <w:p>
            <w:pPr>
              <w:pStyle w:val="20"/>
              <w:spacing w:line="360" w:lineRule="auto"/>
              <w:jc w:val="center"/>
              <w:rPr>
                <w:rFonts w:hAnsi="宋体"/>
                <w:color w:val="000000"/>
                <w:sz w:val="24"/>
                <w:szCs w:val="24"/>
                <w:lang w:val="en-US"/>
              </w:rPr>
            </w:pPr>
            <w:r>
              <w:rPr>
                <w:rFonts w:hint="eastAsia" w:hAnsi="宋体"/>
                <w:color w:val="000000"/>
                <w:sz w:val="24"/>
                <w:szCs w:val="24"/>
                <w:lang w:val="en-US"/>
              </w:rPr>
              <w:t>1项</w:t>
            </w:r>
          </w:p>
        </w:tc>
        <w:tc>
          <w:tcPr>
            <w:tcW w:w="2268" w:type="dxa"/>
          </w:tcPr>
          <w:p>
            <w:pPr>
              <w:pStyle w:val="20"/>
              <w:spacing w:line="360" w:lineRule="auto"/>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continue"/>
            <w:vAlign w:val="center"/>
          </w:tcPr>
          <w:p>
            <w:pPr>
              <w:spacing w:line="360" w:lineRule="auto"/>
              <w:jc w:val="center"/>
              <w:rPr>
                <w:rFonts w:hAnsi="宋体"/>
                <w:color w:val="000000"/>
                <w:sz w:val="24"/>
              </w:rPr>
            </w:pPr>
          </w:p>
        </w:tc>
        <w:tc>
          <w:tcPr>
            <w:tcW w:w="1715" w:type="dxa"/>
            <w:vMerge w:val="continue"/>
            <w:vAlign w:val="center"/>
          </w:tcPr>
          <w:p>
            <w:pPr>
              <w:spacing w:line="360" w:lineRule="auto"/>
              <w:jc w:val="center"/>
              <w:rPr>
                <w:rFonts w:hAnsi="宋体"/>
                <w:sz w:val="24"/>
              </w:rPr>
            </w:pPr>
          </w:p>
        </w:tc>
        <w:tc>
          <w:tcPr>
            <w:tcW w:w="2694" w:type="dxa"/>
            <w:vAlign w:val="center"/>
          </w:tcPr>
          <w:p>
            <w:pPr>
              <w:pStyle w:val="20"/>
              <w:spacing w:line="360" w:lineRule="auto"/>
              <w:rPr>
                <w:rFonts w:hAnsi="宋体"/>
                <w:color w:val="000000"/>
                <w:sz w:val="24"/>
                <w:szCs w:val="24"/>
              </w:rPr>
            </w:pPr>
            <w:r>
              <w:rPr>
                <w:rFonts w:hint="eastAsia" w:hAnsi="宋体"/>
                <w:color w:val="000000"/>
                <w:sz w:val="24"/>
                <w:szCs w:val="24"/>
              </w:rPr>
              <w:t>动力电源</w:t>
            </w:r>
          </w:p>
        </w:tc>
        <w:tc>
          <w:tcPr>
            <w:tcW w:w="1275" w:type="dxa"/>
          </w:tcPr>
          <w:p>
            <w:pPr>
              <w:pStyle w:val="20"/>
              <w:spacing w:line="360" w:lineRule="auto"/>
              <w:jc w:val="center"/>
              <w:rPr>
                <w:rFonts w:hAnsi="宋体"/>
                <w:color w:val="000000"/>
                <w:sz w:val="24"/>
                <w:szCs w:val="24"/>
                <w:lang w:val="en-US"/>
              </w:rPr>
            </w:pPr>
            <w:r>
              <w:rPr>
                <w:rFonts w:hint="eastAsia" w:hAnsi="宋体"/>
                <w:color w:val="000000"/>
                <w:sz w:val="24"/>
                <w:szCs w:val="24"/>
                <w:lang w:val="en-US"/>
              </w:rPr>
              <w:t>1项</w:t>
            </w:r>
          </w:p>
        </w:tc>
        <w:tc>
          <w:tcPr>
            <w:tcW w:w="2268" w:type="dxa"/>
          </w:tcPr>
          <w:p>
            <w:pPr>
              <w:pStyle w:val="20"/>
              <w:spacing w:line="360" w:lineRule="auto"/>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Align w:val="center"/>
          </w:tcPr>
          <w:p>
            <w:pPr>
              <w:pStyle w:val="20"/>
              <w:jc w:val="center"/>
              <w:rPr>
                <w:rFonts w:hAnsi="宋体"/>
                <w:color w:val="000000"/>
                <w:sz w:val="24"/>
                <w:szCs w:val="24"/>
              </w:rPr>
            </w:pPr>
            <w:r>
              <w:rPr>
                <w:rFonts w:hint="eastAsia" w:hAnsi="宋体"/>
                <w:sz w:val="24"/>
                <w:lang w:val="en-US"/>
              </w:rPr>
              <w:t>2</w:t>
            </w:r>
          </w:p>
        </w:tc>
        <w:tc>
          <w:tcPr>
            <w:tcW w:w="1715" w:type="dxa"/>
            <w:vAlign w:val="center"/>
          </w:tcPr>
          <w:p>
            <w:pPr>
              <w:pStyle w:val="20"/>
              <w:jc w:val="center"/>
              <w:rPr>
                <w:rFonts w:hAnsi="宋体"/>
                <w:color w:val="000000"/>
                <w:sz w:val="24"/>
                <w:lang w:val="en-US"/>
              </w:rPr>
            </w:pPr>
            <w:r>
              <w:rPr>
                <w:rFonts w:hint="eastAsia" w:hAnsi="宋体"/>
                <w:color w:val="000000"/>
                <w:sz w:val="24"/>
                <w:lang w:val="en-US"/>
              </w:rPr>
              <w:t>施工土建</w:t>
            </w:r>
          </w:p>
        </w:tc>
        <w:tc>
          <w:tcPr>
            <w:tcW w:w="2694" w:type="dxa"/>
            <w:vAlign w:val="center"/>
          </w:tcPr>
          <w:p>
            <w:pPr>
              <w:pStyle w:val="20"/>
              <w:spacing w:line="360" w:lineRule="auto"/>
              <w:rPr>
                <w:rFonts w:hAnsi="宋体"/>
                <w:color w:val="000000"/>
                <w:sz w:val="24"/>
                <w:szCs w:val="24"/>
              </w:rPr>
            </w:pPr>
            <w:r>
              <w:rPr>
                <w:rFonts w:hint="eastAsia" w:hAnsi="宋体"/>
                <w:color w:val="000000"/>
                <w:sz w:val="24"/>
                <w:szCs w:val="24"/>
              </w:rPr>
              <w:t>井道和土建</w:t>
            </w:r>
          </w:p>
        </w:tc>
        <w:tc>
          <w:tcPr>
            <w:tcW w:w="1275" w:type="dxa"/>
          </w:tcPr>
          <w:p>
            <w:pPr>
              <w:pStyle w:val="20"/>
              <w:spacing w:line="360" w:lineRule="auto"/>
              <w:jc w:val="center"/>
              <w:rPr>
                <w:rFonts w:hAnsi="宋体"/>
                <w:color w:val="000000"/>
                <w:sz w:val="24"/>
                <w:szCs w:val="24"/>
              </w:rPr>
            </w:pPr>
            <w:r>
              <w:rPr>
                <w:rFonts w:hint="eastAsia" w:hAnsi="宋体"/>
                <w:color w:val="000000"/>
                <w:sz w:val="24"/>
                <w:szCs w:val="24"/>
                <w:lang w:val="en-US"/>
              </w:rPr>
              <w:t>1项</w:t>
            </w:r>
          </w:p>
        </w:tc>
        <w:tc>
          <w:tcPr>
            <w:tcW w:w="2268" w:type="dxa"/>
          </w:tcPr>
          <w:p>
            <w:pPr>
              <w:pStyle w:val="20"/>
              <w:spacing w:line="360" w:lineRule="auto"/>
              <w:rPr>
                <w:rFonts w:hAnsi="宋体"/>
                <w:color w:val="000000"/>
                <w:sz w:val="24"/>
                <w:szCs w:val="24"/>
                <w:lang w:val="en-US"/>
              </w:rPr>
            </w:pPr>
            <w:r>
              <w:rPr>
                <w:rFonts w:hint="eastAsia" w:hAnsi="宋体"/>
                <w:color w:val="000000"/>
                <w:sz w:val="24"/>
                <w:szCs w:val="24"/>
                <w:lang w:val="en-US"/>
              </w:rPr>
              <w:t>按照电梯图的要求（图纸详见附件）</w:t>
            </w:r>
          </w:p>
        </w:tc>
      </w:tr>
    </w:tbl>
    <w:p>
      <w:pPr>
        <w:ind w:firstLine="482" w:firstLineChars="200"/>
        <w:rPr>
          <w:b/>
          <w:sz w:val="24"/>
        </w:rPr>
      </w:pPr>
    </w:p>
    <w:p>
      <w:pPr>
        <w:spacing w:line="480" w:lineRule="auto"/>
        <w:ind w:firstLine="482" w:firstLineChars="200"/>
        <w:rPr>
          <w:b/>
          <w:sz w:val="24"/>
        </w:rPr>
      </w:pPr>
      <w:r>
        <w:rPr>
          <w:rFonts w:hint="eastAsia"/>
          <w:b/>
          <w:sz w:val="24"/>
        </w:rPr>
        <w:t>注：本工程为全包交钥匙工程。</w:t>
      </w:r>
    </w:p>
    <w:p>
      <w:pPr>
        <w:spacing w:line="360" w:lineRule="auto"/>
        <w:rPr>
          <w:b/>
          <w:sz w:val="24"/>
        </w:rPr>
      </w:pPr>
    </w:p>
    <w:p>
      <w:r>
        <w:br w:type="page"/>
      </w:r>
    </w:p>
    <w:p>
      <w:pPr>
        <w:pStyle w:val="20"/>
        <w:spacing w:line="252" w:lineRule="auto"/>
        <w:rPr>
          <w:rFonts w:hAnsi="宋体" w:cs="宋体"/>
          <w:sz w:val="24"/>
          <w:szCs w:val="24"/>
        </w:rPr>
      </w:pPr>
      <w:r>
        <w:rPr>
          <w:rFonts w:hint="eastAsia" w:hAnsi="宋体" w:cs="宋体"/>
          <w:sz w:val="24"/>
          <w:szCs w:val="24"/>
        </w:rPr>
        <w:t>附件1</w:t>
      </w:r>
    </w:p>
    <w:p>
      <w:pPr>
        <w:pStyle w:val="20"/>
        <w:spacing w:after="120" w:line="252" w:lineRule="auto"/>
        <w:jc w:val="center"/>
        <w:rPr>
          <w:rFonts w:hAnsi="宋体" w:cs="宋体"/>
          <w:b/>
          <w:sz w:val="24"/>
          <w:szCs w:val="24"/>
        </w:rPr>
      </w:pPr>
      <w:r>
        <w:rPr>
          <w:rFonts w:hint="eastAsia" w:hAnsi="宋体" w:cs="宋体"/>
          <w:b/>
          <w:spacing w:val="80"/>
          <w:sz w:val="24"/>
          <w:szCs w:val="24"/>
        </w:rPr>
        <w:t>技术规</w:t>
      </w:r>
      <w:r>
        <w:rPr>
          <w:rFonts w:hint="eastAsia" w:hAnsi="宋体" w:cs="宋体"/>
          <w:b/>
          <w:sz w:val="24"/>
          <w:szCs w:val="24"/>
        </w:rPr>
        <w:t>格（全室外自动扶梯）</w:t>
      </w:r>
    </w:p>
    <w:p>
      <w:pPr>
        <w:pStyle w:val="20"/>
        <w:tabs>
          <w:tab w:val="left" w:pos="2977"/>
          <w:tab w:val="left" w:pos="4111"/>
        </w:tabs>
        <w:spacing w:line="252" w:lineRule="auto"/>
        <w:rPr>
          <w:rFonts w:hAnsi="宋体" w:cs="宋体"/>
          <w:sz w:val="24"/>
          <w:szCs w:val="24"/>
          <w:u w:val="single"/>
        </w:rPr>
      </w:pPr>
      <w:r>
        <w:rPr>
          <w:rFonts w:hint="eastAsia" w:hAnsi="宋体" w:cs="宋体"/>
          <w:sz w:val="24"/>
          <w:szCs w:val="24"/>
          <w:u w:val="single"/>
        </w:rPr>
        <w:t>一般规格</w:t>
      </w:r>
    </w:p>
    <w:p>
      <w:pPr>
        <w:pStyle w:val="20"/>
        <w:tabs>
          <w:tab w:val="left" w:pos="2977"/>
          <w:tab w:val="left" w:pos="4111"/>
        </w:tabs>
        <w:spacing w:line="252" w:lineRule="auto"/>
        <w:rPr>
          <w:rFonts w:hAnsi="宋体" w:cs="宋体"/>
          <w:sz w:val="24"/>
          <w:szCs w:val="24"/>
        </w:rPr>
      </w:pPr>
    </w:p>
    <w:p>
      <w:pPr>
        <w:pStyle w:val="20"/>
        <w:tabs>
          <w:tab w:val="left" w:pos="2835"/>
          <w:tab w:val="left" w:pos="4253"/>
        </w:tabs>
        <w:spacing w:line="252" w:lineRule="auto"/>
        <w:rPr>
          <w:rFonts w:hAnsi="宋体" w:cs="宋体"/>
          <w:sz w:val="24"/>
          <w:szCs w:val="24"/>
        </w:rPr>
      </w:pPr>
      <w:r>
        <w:rPr>
          <w:rFonts w:hint="eastAsia" w:hAnsi="宋体" w:cs="宋体"/>
          <w:sz w:val="24"/>
          <w:szCs w:val="24"/>
        </w:rPr>
        <w:t>扶梯编号</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E1</w:t>
      </w:r>
    </w:p>
    <w:p>
      <w:pPr>
        <w:pStyle w:val="20"/>
        <w:tabs>
          <w:tab w:val="left" w:pos="2835"/>
          <w:tab w:val="left" w:pos="4253"/>
        </w:tabs>
        <w:spacing w:line="252" w:lineRule="auto"/>
        <w:rPr>
          <w:rFonts w:hAnsi="宋体" w:cs="宋体"/>
          <w:sz w:val="24"/>
          <w:szCs w:val="24"/>
        </w:rPr>
      </w:pPr>
      <w:r>
        <w:rPr>
          <w:rFonts w:hint="eastAsia" w:hAnsi="宋体" w:cs="宋体"/>
          <w:sz w:val="24"/>
          <w:szCs w:val="24"/>
        </w:rPr>
        <w:t>产品名称</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自动扶梯</w:t>
      </w:r>
    </w:p>
    <w:p>
      <w:pPr>
        <w:pStyle w:val="20"/>
        <w:tabs>
          <w:tab w:val="left" w:pos="2835"/>
          <w:tab w:val="left" w:pos="4253"/>
        </w:tabs>
        <w:spacing w:line="252" w:lineRule="auto"/>
        <w:rPr>
          <w:rFonts w:hAnsi="宋体" w:cs="宋体"/>
          <w:sz w:val="24"/>
          <w:szCs w:val="24"/>
        </w:rPr>
      </w:pPr>
      <w:r>
        <w:rPr>
          <w:rFonts w:hint="eastAsia" w:hAnsi="宋体" w:cs="宋体"/>
          <w:sz w:val="24"/>
          <w:szCs w:val="24"/>
        </w:rPr>
        <w:t>型号/规格/数量</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lang w:val="en-US"/>
        </w:rPr>
        <w:t>1</w:t>
      </w:r>
      <w:r>
        <w:rPr>
          <w:rFonts w:hint="eastAsia" w:hAnsi="宋体" w:cs="宋体"/>
          <w:sz w:val="24"/>
          <w:szCs w:val="24"/>
        </w:rPr>
        <w:t>台</w:t>
      </w:r>
    </w:p>
    <w:p>
      <w:pPr>
        <w:pStyle w:val="20"/>
        <w:tabs>
          <w:tab w:val="left" w:pos="2835"/>
          <w:tab w:val="left" w:pos="4253"/>
        </w:tabs>
        <w:spacing w:line="252" w:lineRule="auto"/>
        <w:rPr>
          <w:rFonts w:hAnsi="宋体" w:cs="宋体"/>
          <w:sz w:val="24"/>
          <w:szCs w:val="24"/>
        </w:rPr>
      </w:pPr>
      <w:r>
        <w:rPr>
          <w:rFonts w:hint="eastAsia" w:hAnsi="宋体" w:cs="宋体"/>
          <w:sz w:val="24"/>
          <w:szCs w:val="24"/>
        </w:rPr>
        <w:t>提升高度</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E1=5</w:t>
      </w:r>
      <w:r>
        <w:rPr>
          <w:rFonts w:hint="eastAsia" w:hAnsi="宋体" w:cs="宋体"/>
          <w:sz w:val="24"/>
          <w:szCs w:val="24"/>
          <w:lang w:val="en-US"/>
        </w:rPr>
        <w:t>3</w:t>
      </w:r>
      <w:r>
        <w:rPr>
          <w:rFonts w:hint="eastAsia" w:hAnsi="宋体" w:cs="宋体"/>
          <w:sz w:val="24"/>
          <w:szCs w:val="24"/>
        </w:rPr>
        <w:t>00毫米</w:t>
      </w:r>
    </w:p>
    <w:p>
      <w:pPr>
        <w:pStyle w:val="20"/>
        <w:tabs>
          <w:tab w:val="left" w:pos="2835"/>
          <w:tab w:val="left" w:pos="4253"/>
        </w:tabs>
        <w:spacing w:line="252" w:lineRule="auto"/>
        <w:rPr>
          <w:rFonts w:hAnsi="宋体" w:cs="宋体"/>
          <w:sz w:val="24"/>
          <w:szCs w:val="24"/>
        </w:rPr>
      </w:pPr>
      <w:r>
        <w:rPr>
          <w:rFonts w:hint="eastAsia" w:hAnsi="宋体" w:cs="宋体"/>
          <w:sz w:val="24"/>
          <w:szCs w:val="24"/>
        </w:rPr>
        <w:t>安装支撑水平距离</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E1=12</w:t>
      </w:r>
      <w:r>
        <w:rPr>
          <w:rFonts w:hint="eastAsia" w:hAnsi="宋体" w:cs="宋体"/>
          <w:sz w:val="24"/>
          <w:szCs w:val="24"/>
          <w:lang w:val="en-US"/>
        </w:rPr>
        <w:t>302</w:t>
      </w:r>
      <w:r>
        <w:rPr>
          <w:rFonts w:hint="eastAsia" w:hAnsi="宋体" w:cs="宋体"/>
          <w:sz w:val="24"/>
          <w:szCs w:val="24"/>
        </w:rPr>
        <w:t>毫米</w:t>
      </w:r>
    </w:p>
    <w:p>
      <w:pPr>
        <w:pStyle w:val="20"/>
        <w:tabs>
          <w:tab w:val="left" w:pos="2835"/>
          <w:tab w:val="left" w:pos="4253"/>
        </w:tabs>
        <w:spacing w:line="252" w:lineRule="auto"/>
        <w:rPr>
          <w:rFonts w:hAnsi="宋体" w:cs="宋体"/>
          <w:sz w:val="24"/>
          <w:szCs w:val="24"/>
        </w:rPr>
      </w:pPr>
      <w:r>
        <w:rPr>
          <w:rFonts w:hint="eastAsia" w:hAnsi="宋体" w:cs="宋体"/>
          <w:sz w:val="24"/>
          <w:szCs w:val="24"/>
        </w:rPr>
        <w:t>倾斜角度</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35度</w:t>
      </w:r>
    </w:p>
    <w:p>
      <w:pPr>
        <w:pStyle w:val="20"/>
        <w:tabs>
          <w:tab w:val="left" w:pos="2835"/>
          <w:tab w:val="left" w:pos="4253"/>
        </w:tabs>
        <w:spacing w:line="252" w:lineRule="auto"/>
        <w:rPr>
          <w:rFonts w:hAnsi="宋体" w:cs="宋体"/>
          <w:sz w:val="24"/>
          <w:szCs w:val="24"/>
        </w:rPr>
      </w:pPr>
      <w:r>
        <w:rPr>
          <w:rFonts w:hint="eastAsia" w:hAnsi="宋体" w:cs="宋体"/>
          <w:sz w:val="24"/>
          <w:szCs w:val="24"/>
        </w:rPr>
        <w:t>梯级宽度</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1000毫米</w:t>
      </w:r>
    </w:p>
    <w:p>
      <w:pPr>
        <w:pStyle w:val="20"/>
        <w:tabs>
          <w:tab w:val="left" w:pos="2835"/>
          <w:tab w:val="left" w:pos="4253"/>
        </w:tabs>
        <w:spacing w:line="252" w:lineRule="auto"/>
        <w:rPr>
          <w:rFonts w:hAnsi="宋体" w:cs="宋体"/>
          <w:sz w:val="24"/>
          <w:szCs w:val="24"/>
        </w:rPr>
      </w:pPr>
      <w:r>
        <w:rPr>
          <w:rFonts w:hint="eastAsia" w:hAnsi="宋体" w:cs="宋体"/>
          <w:sz w:val="24"/>
          <w:szCs w:val="24"/>
        </w:rPr>
        <w:t>额定速度</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0.5米/秒</w:t>
      </w:r>
    </w:p>
    <w:p>
      <w:pPr>
        <w:pStyle w:val="20"/>
        <w:tabs>
          <w:tab w:val="left" w:pos="2835"/>
          <w:tab w:val="left" w:pos="4253"/>
        </w:tabs>
        <w:spacing w:line="252" w:lineRule="auto"/>
        <w:rPr>
          <w:rFonts w:hAnsi="宋体" w:cs="宋体"/>
          <w:sz w:val="24"/>
          <w:szCs w:val="24"/>
        </w:rPr>
      </w:pPr>
      <w:r>
        <w:rPr>
          <w:rFonts w:hint="eastAsia" w:hAnsi="宋体" w:cs="宋体"/>
          <w:sz w:val="24"/>
          <w:szCs w:val="24"/>
        </w:rPr>
        <w:t>水平梯级</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2 / 2</w:t>
      </w:r>
    </w:p>
    <w:p>
      <w:pPr>
        <w:pStyle w:val="20"/>
        <w:tabs>
          <w:tab w:val="left" w:pos="2835"/>
          <w:tab w:val="left" w:pos="4253"/>
        </w:tabs>
        <w:spacing w:line="252" w:lineRule="auto"/>
        <w:rPr>
          <w:rFonts w:hAnsi="宋体" w:cs="宋体"/>
          <w:sz w:val="24"/>
          <w:szCs w:val="24"/>
        </w:rPr>
      </w:pPr>
      <w:r>
        <w:rPr>
          <w:rFonts w:hint="eastAsia" w:hAnsi="宋体" w:cs="宋体"/>
          <w:sz w:val="24"/>
          <w:szCs w:val="24"/>
        </w:rPr>
        <w:t>部件材料</w:t>
      </w:r>
    </w:p>
    <w:p>
      <w:pPr>
        <w:pStyle w:val="20"/>
        <w:keepLines/>
        <w:tabs>
          <w:tab w:val="left" w:pos="2835"/>
          <w:tab w:val="left" w:pos="4253"/>
        </w:tabs>
        <w:spacing w:line="252" w:lineRule="auto"/>
        <w:rPr>
          <w:rFonts w:hAnsi="宋体" w:cs="宋体"/>
          <w:sz w:val="24"/>
          <w:szCs w:val="24"/>
        </w:rPr>
      </w:pPr>
      <w:r>
        <w:rPr>
          <w:rFonts w:hint="eastAsia" w:hAnsi="宋体" w:cs="宋体"/>
          <w:sz w:val="24"/>
          <w:szCs w:val="24"/>
        </w:rPr>
        <w:t>扶手带</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黑色合成橡胶</w:t>
      </w:r>
    </w:p>
    <w:p>
      <w:pPr>
        <w:pStyle w:val="20"/>
        <w:keepLines/>
        <w:tabs>
          <w:tab w:val="left" w:pos="2835"/>
          <w:tab w:val="left" w:pos="4253"/>
        </w:tabs>
        <w:spacing w:line="252" w:lineRule="auto"/>
        <w:rPr>
          <w:rFonts w:hAnsi="宋体" w:cs="宋体"/>
          <w:sz w:val="24"/>
          <w:szCs w:val="24"/>
        </w:rPr>
      </w:pPr>
      <w:r>
        <w:rPr>
          <w:rFonts w:hint="eastAsia" w:hAnsi="宋体" w:cs="宋体"/>
          <w:sz w:val="24"/>
          <w:szCs w:val="24"/>
        </w:rPr>
        <w:t>栏杆板</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透明安全玻璃</w:t>
      </w:r>
    </w:p>
    <w:p>
      <w:pPr>
        <w:pStyle w:val="20"/>
        <w:keepLines/>
        <w:tabs>
          <w:tab w:val="left" w:pos="2835"/>
          <w:tab w:val="left" w:pos="4253"/>
        </w:tabs>
        <w:spacing w:line="252" w:lineRule="auto"/>
        <w:rPr>
          <w:rFonts w:hAnsi="宋体" w:cs="宋体"/>
          <w:sz w:val="24"/>
          <w:szCs w:val="24"/>
        </w:rPr>
      </w:pPr>
      <w:r>
        <w:rPr>
          <w:rFonts w:hint="eastAsia" w:hAnsi="宋体" w:cs="宋体"/>
          <w:sz w:val="24"/>
          <w:szCs w:val="24"/>
        </w:rPr>
        <w:t>梯级</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铝梯级(银色喷粉)</w:t>
      </w:r>
    </w:p>
    <w:p>
      <w:pPr>
        <w:pStyle w:val="20"/>
        <w:keepLines/>
        <w:tabs>
          <w:tab w:val="left" w:pos="2835"/>
          <w:tab w:val="left" w:pos="4253"/>
        </w:tabs>
        <w:spacing w:line="252" w:lineRule="auto"/>
        <w:rPr>
          <w:rFonts w:hAnsi="宋体" w:cs="宋体"/>
          <w:sz w:val="24"/>
          <w:szCs w:val="24"/>
        </w:rPr>
      </w:pPr>
      <w:r>
        <w:rPr>
          <w:rFonts w:hint="eastAsia" w:hAnsi="宋体" w:cs="宋体"/>
          <w:sz w:val="24"/>
          <w:szCs w:val="24"/>
        </w:rPr>
        <w:t>裙板</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不锈钢不带涂层</w:t>
      </w:r>
    </w:p>
    <w:p>
      <w:pPr>
        <w:pStyle w:val="20"/>
        <w:keepLines/>
        <w:tabs>
          <w:tab w:val="left" w:pos="2835"/>
          <w:tab w:val="left" w:pos="4253"/>
        </w:tabs>
        <w:spacing w:line="252" w:lineRule="auto"/>
        <w:rPr>
          <w:rFonts w:hAnsi="宋体" w:cs="宋体"/>
          <w:sz w:val="24"/>
          <w:szCs w:val="24"/>
        </w:rPr>
      </w:pPr>
      <w:r>
        <w:rPr>
          <w:rFonts w:hint="eastAsia" w:hAnsi="宋体" w:cs="宋体"/>
          <w:sz w:val="24"/>
          <w:szCs w:val="24"/>
        </w:rPr>
        <w:t>扶手带入口前面板</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塑料</w:t>
      </w:r>
    </w:p>
    <w:p>
      <w:pPr>
        <w:pStyle w:val="20"/>
        <w:keepLines/>
        <w:tabs>
          <w:tab w:val="left" w:pos="2835"/>
          <w:tab w:val="left" w:pos="4253"/>
        </w:tabs>
        <w:spacing w:line="252" w:lineRule="auto"/>
        <w:rPr>
          <w:rFonts w:hAnsi="宋体" w:cs="宋体"/>
          <w:sz w:val="24"/>
          <w:szCs w:val="24"/>
        </w:rPr>
      </w:pPr>
      <w:r>
        <w:rPr>
          <w:rFonts w:hint="eastAsia" w:hAnsi="宋体" w:cs="宋体"/>
          <w:sz w:val="24"/>
          <w:szCs w:val="24"/>
        </w:rPr>
        <w:t>内外盖板</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不锈钢</w:t>
      </w:r>
    </w:p>
    <w:p>
      <w:pPr>
        <w:pStyle w:val="20"/>
        <w:keepLines/>
        <w:tabs>
          <w:tab w:val="left" w:pos="2835"/>
          <w:tab w:val="left" w:pos="4253"/>
        </w:tabs>
        <w:spacing w:line="252" w:lineRule="auto"/>
        <w:rPr>
          <w:rFonts w:hAnsi="宋体" w:cs="宋体"/>
          <w:sz w:val="24"/>
          <w:szCs w:val="24"/>
        </w:rPr>
      </w:pPr>
      <w:r>
        <w:rPr>
          <w:rFonts w:hint="eastAsia" w:hAnsi="宋体" w:cs="宋体"/>
          <w:sz w:val="24"/>
          <w:szCs w:val="24"/>
        </w:rPr>
        <w:t>梳齿</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铝合金</w:t>
      </w:r>
    </w:p>
    <w:p>
      <w:pPr>
        <w:pStyle w:val="20"/>
        <w:keepLines/>
        <w:tabs>
          <w:tab w:val="left" w:pos="2835"/>
          <w:tab w:val="left" w:pos="4253"/>
        </w:tabs>
        <w:spacing w:line="252" w:lineRule="auto"/>
        <w:rPr>
          <w:rFonts w:hAnsi="宋体" w:cs="宋体"/>
          <w:sz w:val="24"/>
          <w:szCs w:val="24"/>
        </w:rPr>
      </w:pPr>
      <w:r>
        <w:rPr>
          <w:rFonts w:hint="eastAsia" w:hAnsi="宋体" w:cs="宋体"/>
          <w:sz w:val="24"/>
          <w:szCs w:val="24"/>
        </w:rPr>
        <w:t>楼层盖板/梳齿板</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本色铝</w:t>
      </w:r>
    </w:p>
    <w:p>
      <w:pPr>
        <w:pStyle w:val="20"/>
        <w:keepLines/>
        <w:tabs>
          <w:tab w:val="left" w:pos="2835"/>
          <w:tab w:val="left" w:pos="4253"/>
        </w:tabs>
        <w:spacing w:line="252" w:lineRule="auto"/>
        <w:rPr>
          <w:rFonts w:hAnsi="宋体" w:cs="宋体"/>
          <w:sz w:val="24"/>
          <w:szCs w:val="24"/>
        </w:rPr>
      </w:pPr>
      <w:r>
        <w:rPr>
          <w:rFonts w:hint="eastAsia" w:hAnsi="宋体" w:cs="宋体"/>
          <w:sz w:val="24"/>
          <w:szCs w:val="24"/>
          <w:u w:val="single"/>
        </w:rPr>
        <w:t>运行模式</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全路变频自动启动+交通指示灯</w:t>
      </w:r>
    </w:p>
    <w:p>
      <w:pPr>
        <w:pStyle w:val="20"/>
        <w:keepLines/>
        <w:tabs>
          <w:tab w:val="left" w:pos="2835"/>
          <w:tab w:val="left" w:pos="4253"/>
        </w:tabs>
        <w:spacing w:line="252" w:lineRule="auto"/>
        <w:rPr>
          <w:rFonts w:hAnsi="宋体" w:cs="宋体"/>
          <w:sz w:val="24"/>
          <w:szCs w:val="24"/>
        </w:rPr>
      </w:pPr>
      <w:r>
        <w:rPr>
          <w:rFonts w:hint="eastAsia" w:hAnsi="宋体" w:cs="宋体"/>
          <w:sz w:val="24"/>
          <w:szCs w:val="24"/>
          <w:u w:val="single"/>
        </w:rPr>
        <w:t>安全装置</w:t>
      </w:r>
      <w:r>
        <w:rPr>
          <w:rFonts w:hint="eastAsia" w:hAnsi="宋体" w:cs="宋体"/>
          <w:sz w:val="24"/>
          <w:szCs w:val="24"/>
        </w:rPr>
        <w:tab/>
      </w:r>
      <w:r>
        <w:rPr>
          <w:rFonts w:hint="eastAsia" w:hAnsi="宋体" w:cs="宋体"/>
          <w:sz w:val="24"/>
          <w:szCs w:val="24"/>
        </w:rPr>
        <w:t>:</w:t>
      </w:r>
      <w:r>
        <w:rPr>
          <w:rFonts w:hint="eastAsia" w:hAnsi="宋体" w:cs="宋体"/>
          <w:sz w:val="24"/>
          <w:szCs w:val="24"/>
        </w:rPr>
        <w:tab/>
      </w:r>
      <w:r>
        <w:rPr>
          <w:rFonts w:hint="eastAsia" w:hAnsi="宋体" w:cs="宋体"/>
          <w:sz w:val="24"/>
          <w:szCs w:val="24"/>
        </w:rPr>
        <w:t>标准</w:t>
      </w:r>
    </w:p>
    <w:p>
      <w:pPr>
        <w:pStyle w:val="20"/>
        <w:keepLines/>
        <w:tabs>
          <w:tab w:val="left" w:pos="2595"/>
          <w:tab w:val="left" w:pos="7665"/>
        </w:tabs>
        <w:spacing w:line="252" w:lineRule="auto"/>
        <w:rPr>
          <w:rFonts w:hAnsi="宋体" w:cs="宋体"/>
          <w:b/>
          <w:sz w:val="24"/>
          <w:szCs w:val="24"/>
        </w:rPr>
      </w:pPr>
      <w:r>
        <w:rPr>
          <w:rFonts w:hint="eastAsia" w:hAnsi="宋体" w:cs="宋体"/>
          <w:b/>
          <w:sz w:val="24"/>
          <w:szCs w:val="24"/>
        </w:rPr>
        <w:t xml:space="preserve">室外扶梯专有配置：                 </w:t>
      </w:r>
      <w:r>
        <w:rPr>
          <w:rFonts w:hint="eastAsia" w:hAnsi="宋体" w:cs="宋体"/>
          <w:sz w:val="24"/>
          <w:szCs w:val="24"/>
        </w:rPr>
        <w:t>热镀锌处理的桁架</w:t>
      </w:r>
    </w:p>
    <w:p>
      <w:pPr>
        <w:pStyle w:val="20"/>
        <w:keepLines/>
        <w:tabs>
          <w:tab w:val="left" w:pos="2595"/>
          <w:tab w:val="left" w:pos="7665"/>
        </w:tabs>
        <w:spacing w:line="252" w:lineRule="auto"/>
        <w:ind w:firstLine="4233" w:firstLineChars="1764"/>
        <w:rPr>
          <w:rFonts w:hAnsi="宋体" w:cs="宋体"/>
          <w:b/>
          <w:sz w:val="24"/>
          <w:szCs w:val="24"/>
        </w:rPr>
      </w:pPr>
      <w:r>
        <w:rPr>
          <w:rFonts w:hint="eastAsia" w:hAnsi="宋体" w:cs="宋体"/>
          <w:sz w:val="24"/>
          <w:szCs w:val="24"/>
        </w:rPr>
        <w:t>电机IP55防护等级</w:t>
      </w:r>
    </w:p>
    <w:p>
      <w:pPr>
        <w:pStyle w:val="20"/>
        <w:keepLines/>
        <w:tabs>
          <w:tab w:val="left" w:pos="2835"/>
          <w:tab w:val="left" w:pos="4300"/>
        </w:tabs>
        <w:spacing w:line="252" w:lineRule="auto"/>
        <w:ind w:firstLine="4200" w:firstLineChars="1750"/>
        <w:rPr>
          <w:rFonts w:hAnsi="宋体" w:cs="宋体"/>
          <w:sz w:val="24"/>
          <w:szCs w:val="24"/>
        </w:rPr>
      </w:pPr>
      <w:r>
        <w:rPr>
          <w:rFonts w:hint="eastAsia" w:hAnsi="宋体" w:cs="宋体"/>
          <w:sz w:val="24"/>
          <w:szCs w:val="24"/>
        </w:rPr>
        <w:t>防水钥匙开关与急停开关</w:t>
      </w:r>
    </w:p>
    <w:p>
      <w:pPr>
        <w:pStyle w:val="20"/>
        <w:keepLines/>
        <w:tabs>
          <w:tab w:val="left" w:pos="2835"/>
          <w:tab w:val="left" w:pos="4300"/>
        </w:tabs>
        <w:spacing w:line="252" w:lineRule="auto"/>
        <w:ind w:firstLine="4200" w:firstLineChars="1750"/>
        <w:rPr>
          <w:rFonts w:hAnsi="宋体" w:cs="宋体"/>
          <w:sz w:val="24"/>
          <w:szCs w:val="24"/>
        </w:rPr>
      </w:pPr>
      <w:r>
        <w:rPr>
          <w:rFonts w:hint="eastAsia" w:hAnsi="宋体" w:cs="宋体"/>
          <w:sz w:val="24"/>
          <w:szCs w:val="24"/>
        </w:rPr>
        <w:t>控制柜IP54防护等级</w:t>
      </w:r>
    </w:p>
    <w:p>
      <w:pPr>
        <w:pStyle w:val="20"/>
        <w:keepLines/>
        <w:tabs>
          <w:tab w:val="left" w:pos="2835"/>
          <w:tab w:val="left" w:pos="4300"/>
        </w:tabs>
        <w:spacing w:line="252" w:lineRule="auto"/>
        <w:ind w:firstLine="4200" w:firstLineChars="1750"/>
        <w:rPr>
          <w:rFonts w:hAnsi="宋体" w:cs="宋体"/>
          <w:sz w:val="24"/>
          <w:szCs w:val="24"/>
        </w:rPr>
      </w:pPr>
      <w:r>
        <w:rPr>
          <w:rFonts w:hint="eastAsia" w:hAnsi="宋体" w:cs="宋体"/>
          <w:sz w:val="24"/>
          <w:szCs w:val="24"/>
        </w:rPr>
        <w:t>线束保护IP54防护等级</w:t>
      </w:r>
    </w:p>
    <w:p>
      <w:pPr>
        <w:pStyle w:val="20"/>
        <w:keepLines/>
        <w:tabs>
          <w:tab w:val="left" w:pos="2835"/>
          <w:tab w:val="left" w:pos="4300"/>
        </w:tabs>
        <w:spacing w:line="252" w:lineRule="auto"/>
        <w:ind w:firstLine="4200" w:firstLineChars="1750"/>
        <w:rPr>
          <w:rFonts w:hAnsi="宋体" w:cs="宋体"/>
          <w:sz w:val="24"/>
          <w:szCs w:val="24"/>
        </w:rPr>
      </w:pPr>
      <w:r>
        <w:rPr>
          <w:rFonts w:hint="eastAsia" w:hAnsi="宋体" w:cs="宋体"/>
          <w:sz w:val="24"/>
          <w:szCs w:val="24"/>
        </w:rPr>
        <w:t>自动润滑</w:t>
      </w:r>
    </w:p>
    <w:p>
      <w:pPr>
        <w:pStyle w:val="20"/>
        <w:keepLines/>
        <w:tabs>
          <w:tab w:val="left" w:pos="2835"/>
          <w:tab w:val="left" w:pos="4300"/>
        </w:tabs>
        <w:spacing w:line="252" w:lineRule="auto"/>
        <w:ind w:firstLine="4200" w:firstLineChars="1750"/>
        <w:rPr>
          <w:rFonts w:hAnsi="宋体" w:cs="宋体"/>
          <w:sz w:val="24"/>
          <w:szCs w:val="24"/>
        </w:rPr>
      </w:pPr>
      <w:r>
        <w:rPr>
          <w:rFonts w:hint="eastAsia" w:hAnsi="宋体" w:cs="宋体"/>
          <w:sz w:val="24"/>
          <w:szCs w:val="24"/>
        </w:rPr>
        <w:t>桁架下端排水孔及油水分离器</w:t>
      </w:r>
    </w:p>
    <w:p>
      <w:pPr>
        <w:pStyle w:val="20"/>
        <w:keepLines/>
        <w:tabs>
          <w:tab w:val="left" w:pos="2835"/>
          <w:tab w:val="left" w:pos="4300"/>
        </w:tabs>
        <w:spacing w:line="252" w:lineRule="auto"/>
        <w:ind w:firstLine="4200" w:firstLineChars="1750"/>
        <w:rPr>
          <w:rFonts w:hAnsi="宋体" w:cs="宋体"/>
          <w:color w:val="auto"/>
          <w:sz w:val="24"/>
          <w:szCs w:val="24"/>
        </w:rPr>
      </w:pPr>
      <w:r>
        <w:rPr>
          <w:rFonts w:hint="eastAsia" w:hAnsi="宋体" w:cs="宋体"/>
          <w:sz w:val="24"/>
          <w:szCs w:val="24"/>
        </w:rPr>
        <w:t>驱动链及</w:t>
      </w:r>
      <w:r>
        <w:rPr>
          <w:rFonts w:hint="eastAsia" w:hAnsi="宋体" w:cs="宋体"/>
          <w:color w:val="auto"/>
          <w:sz w:val="24"/>
          <w:szCs w:val="24"/>
        </w:rPr>
        <w:t>梯级链罩</w:t>
      </w:r>
    </w:p>
    <w:p>
      <w:pPr>
        <w:pStyle w:val="20"/>
        <w:keepLines/>
        <w:tabs>
          <w:tab w:val="left" w:pos="2835"/>
          <w:tab w:val="left" w:pos="4300"/>
        </w:tabs>
        <w:spacing w:line="252" w:lineRule="auto"/>
        <w:ind w:firstLine="4200" w:firstLineChars="1750"/>
        <w:rPr>
          <w:rFonts w:hAnsi="宋体" w:cs="宋体"/>
          <w:color w:val="auto"/>
          <w:sz w:val="24"/>
          <w:szCs w:val="24"/>
        </w:rPr>
      </w:pPr>
      <w:r>
        <w:rPr>
          <w:rFonts w:hint="eastAsia" w:hAnsi="宋体" w:cs="宋体"/>
          <w:color w:val="auto"/>
          <w:sz w:val="24"/>
          <w:szCs w:val="24"/>
        </w:rPr>
        <w:t>不锈钢扶手支架(304)</w:t>
      </w:r>
    </w:p>
    <w:p>
      <w:pPr>
        <w:pStyle w:val="20"/>
        <w:keepLines/>
        <w:tabs>
          <w:tab w:val="left" w:pos="2835"/>
          <w:tab w:val="left" w:pos="4300"/>
        </w:tabs>
        <w:spacing w:line="252" w:lineRule="auto"/>
        <w:ind w:firstLine="4200" w:firstLineChars="1750"/>
        <w:rPr>
          <w:rFonts w:hAnsi="宋体" w:cs="宋体"/>
          <w:color w:val="auto"/>
          <w:sz w:val="24"/>
          <w:szCs w:val="24"/>
        </w:rPr>
      </w:pPr>
      <w:r>
        <w:rPr>
          <w:rFonts w:hint="eastAsia" w:hAnsi="宋体" w:cs="宋体"/>
          <w:color w:val="auto"/>
          <w:sz w:val="24"/>
          <w:szCs w:val="24"/>
        </w:rPr>
        <w:t>上下端模块室外喷漆处理</w:t>
      </w:r>
    </w:p>
    <w:p>
      <w:pPr>
        <w:pStyle w:val="20"/>
        <w:keepLines/>
        <w:tabs>
          <w:tab w:val="left" w:pos="2835"/>
          <w:tab w:val="left" w:pos="4300"/>
        </w:tabs>
        <w:spacing w:line="252" w:lineRule="auto"/>
        <w:ind w:firstLine="4200" w:firstLineChars="1750"/>
        <w:rPr>
          <w:rFonts w:hAnsi="宋体" w:cs="宋体"/>
          <w:sz w:val="24"/>
          <w:szCs w:val="24"/>
        </w:rPr>
      </w:pPr>
      <w:r>
        <w:rPr>
          <w:rFonts w:hint="eastAsia" w:hAnsi="宋体" w:cs="宋体"/>
          <w:sz w:val="24"/>
          <w:szCs w:val="24"/>
        </w:rPr>
        <w:t>水位开关</w:t>
      </w:r>
    </w:p>
    <w:p>
      <w:pPr>
        <w:pStyle w:val="20"/>
        <w:keepLines/>
        <w:tabs>
          <w:tab w:val="left" w:pos="2835"/>
          <w:tab w:val="left" w:pos="4300"/>
        </w:tabs>
        <w:spacing w:line="252" w:lineRule="auto"/>
        <w:ind w:firstLine="4200" w:firstLineChars="1750"/>
        <w:rPr>
          <w:rFonts w:hAnsi="宋体" w:cs="宋体"/>
          <w:sz w:val="24"/>
          <w:szCs w:val="24"/>
        </w:rPr>
      </w:pPr>
      <w:r>
        <w:rPr>
          <w:rFonts w:hint="eastAsia" w:hAnsi="宋体" w:cs="宋体"/>
          <w:sz w:val="24"/>
          <w:szCs w:val="24"/>
        </w:rPr>
        <w:t>桁架加热</w:t>
      </w:r>
    </w:p>
    <w:p>
      <w:pPr>
        <w:pStyle w:val="20"/>
        <w:keepLines/>
        <w:tabs>
          <w:tab w:val="left" w:pos="2835"/>
          <w:tab w:val="left" w:pos="4300"/>
        </w:tabs>
        <w:spacing w:line="252" w:lineRule="auto"/>
        <w:ind w:firstLine="4200" w:firstLineChars="1750"/>
        <w:rPr>
          <w:rFonts w:hAnsi="宋体" w:cs="宋体"/>
          <w:sz w:val="24"/>
          <w:szCs w:val="24"/>
        </w:rPr>
      </w:pPr>
      <w:r>
        <w:rPr>
          <w:rFonts w:hint="eastAsia" w:hAnsi="宋体" w:cs="宋体"/>
          <w:sz w:val="24"/>
          <w:szCs w:val="24"/>
        </w:rPr>
        <w:t>梳齿板加热</w:t>
      </w:r>
    </w:p>
    <w:p>
      <w:pPr>
        <w:pStyle w:val="20"/>
        <w:keepLines/>
        <w:tabs>
          <w:tab w:val="left" w:pos="2835"/>
          <w:tab w:val="left" w:pos="4300"/>
        </w:tabs>
        <w:spacing w:line="252" w:lineRule="auto"/>
        <w:ind w:firstLine="4200" w:firstLineChars="1750"/>
        <w:rPr>
          <w:rFonts w:hAnsi="宋体" w:cs="宋体"/>
          <w:sz w:val="24"/>
          <w:szCs w:val="24"/>
        </w:rPr>
      </w:pPr>
      <w:r>
        <w:rPr>
          <w:rFonts w:hint="eastAsia" w:hAnsi="宋体" w:cs="宋体"/>
          <w:sz w:val="24"/>
          <w:szCs w:val="24"/>
        </w:rPr>
        <w:t>控制柜加热</w:t>
      </w:r>
    </w:p>
    <w:p>
      <w:pPr>
        <w:pStyle w:val="20"/>
        <w:keepLines/>
        <w:tabs>
          <w:tab w:val="left" w:pos="2835"/>
          <w:tab w:val="left" w:pos="4300"/>
        </w:tabs>
        <w:spacing w:line="252" w:lineRule="auto"/>
        <w:ind w:firstLine="4200" w:firstLineChars="1750"/>
        <w:rPr>
          <w:rFonts w:hAnsi="宋体" w:cs="宋体"/>
          <w:sz w:val="24"/>
          <w:szCs w:val="24"/>
        </w:rPr>
      </w:pPr>
      <w:r>
        <w:rPr>
          <w:rFonts w:hint="eastAsia" w:hAnsi="宋体" w:cs="宋体"/>
          <w:sz w:val="24"/>
          <w:szCs w:val="24"/>
        </w:rPr>
        <w:t xml:space="preserve">控制柜通风 </w:t>
      </w:r>
    </w:p>
    <w:p>
      <w:pPr>
        <w:pStyle w:val="20"/>
        <w:spacing w:line="252" w:lineRule="auto"/>
        <w:ind w:firstLine="240" w:firstLineChars="100"/>
        <w:rPr>
          <w:sz w:val="24"/>
          <w:szCs w:val="24"/>
        </w:rPr>
      </w:pPr>
    </w:p>
    <w:p>
      <w:pPr>
        <w:pStyle w:val="20"/>
        <w:spacing w:line="252" w:lineRule="auto"/>
        <w:ind w:firstLine="240" w:firstLineChars="100"/>
        <w:rPr>
          <w:sz w:val="24"/>
          <w:szCs w:val="24"/>
        </w:rPr>
      </w:pPr>
    </w:p>
    <w:p>
      <w:pPr>
        <w:pStyle w:val="20"/>
        <w:spacing w:line="252" w:lineRule="auto"/>
        <w:ind w:firstLine="240" w:firstLineChars="100"/>
        <w:rPr>
          <w:sz w:val="24"/>
          <w:szCs w:val="24"/>
        </w:rPr>
      </w:pPr>
    </w:p>
    <w:p>
      <w:pPr>
        <w:pStyle w:val="20"/>
        <w:spacing w:line="252" w:lineRule="auto"/>
        <w:ind w:firstLine="240" w:firstLineChars="100"/>
        <w:rPr>
          <w:sz w:val="24"/>
          <w:szCs w:val="24"/>
        </w:rPr>
      </w:pPr>
      <w:r>
        <w:rPr>
          <w:sz w:val="24"/>
          <w:szCs w:val="24"/>
        </w:rPr>
        <w:t>附件1</w:t>
      </w:r>
    </w:p>
    <w:p>
      <w:pPr>
        <w:jc w:val="center"/>
        <w:rPr>
          <w:b/>
          <w:sz w:val="24"/>
        </w:rPr>
      </w:pPr>
      <w:r>
        <w:rPr>
          <w:rFonts w:hint="eastAsia"/>
          <w:bCs/>
          <w:sz w:val="30"/>
          <w:szCs w:val="30"/>
        </w:rPr>
        <w:t>自动扶梯</w:t>
      </w:r>
      <w:r>
        <w:rPr>
          <w:bCs/>
          <w:sz w:val="30"/>
          <w:szCs w:val="30"/>
        </w:rPr>
        <w:t>标准安全功能</w:t>
      </w:r>
    </w:p>
    <w:p>
      <w:pPr>
        <w:spacing w:line="252" w:lineRule="auto"/>
        <w:rPr>
          <w:sz w:val="24"/>
        </w:rPr>
      </w:pPr>
    </w:p>
    <w:p>
      <w:pPr>
        <w:pStyle w:val="20"/>
        <w:numPr>
          <w:ilvl w:val="0"/>
          <w:numId w:val="3"/>
        </w:numPr>
        <w:tabs>
          <w:tab w:val="left" w:pos="476"/>
        </w:tabs>
        <w:spacing w:line="252" w:lineRule="auto"/>
        <w:ind w:left="300" w:firstLine="549" w:firstLineChars="229"/>
        <w:rPr>
          <w:rFonts w:cs="Arial"/>
          <w:sz w:val="24"/>
          <w:szCs w:val="24"/>
        </w:rPr>
      </w:pPr>
      <w:r>
        <w:rPr>
          <w:rFonts w:hint="eastAsia" w:cs="Arial"/>
          <w:sz w:val="24"/>
          <w:szCs w:val="24"/>
        </w:rPr>
        <w:t>梳齿板保护开关</w:t>
      </w:r>
      <w:r>
        <w:rPr>
          <w:rFonts w:cs="Arial"/>
          <w:sz w:val="24"/>
          <w:szCs w:val="24"/>
        </w:rPr>
        <w:t>；</w:t>
      </w:r>
    </w:p>
    <w:p>
      <w:pPr>
        <w:pStyle w:val="20"/>
        <w:numPr>
          <w:ilvl w:val="0"/>
          <w:numId w:val="3"/>
        </w:numPr>
        <w:tabs>
          <w:tab w:val="left" w:pos="476"/>
        </w:tabs>
        <w:spacing w:line="252" w:lineRule="auto"/>
        <w:ind w:left="300" w:right="-250" w:firstLine="549" w:firstLineChars="229"/>
        <w:rPr>
          <w:rFonts w:cs="Arial"/>
          <w:sz w:val="24"/>
          <w:szCs w:val="24"/>
        </w:rPr>
      </w:pPr>
      <w:r>
        <w:rPr>
          <w:rFonts w:hint="eastAsia" w:cs="Arial"/>
          <w:sz w:val="24"/>
          <w:szCs w:val="24"/>
        </w:rPr>
        <w:t>扶手带入口保护装置</w:t>
      </w:r>
      <w:r>
        <w:rPr>
          <w:rFonts w:cs="Arial"/>
          <w:sz w:val="24"/>
          <w:szCs w:val="24"/>
        </w:rPr>
        <w:t>；</w:t>
      </w:r>
      <w:r>
        <w:rPr>
          <w:rFonts w:cs="Arial"/>
          <w:sz w:val="24"/>
          <w:szCs w:val="24"/>
        </w:rPr>
        <w:tab/>
      </w:r>
    </w:p>
    <w:p>
      <w:pPr>
        <w:pStyle w:val="20"/>
        <w:numPr>
          <w:ilvl w:val="0"/>
          <w:numId w:val="3"/>
        </w:numPr>
        <w:tabs>
          <w:tab w:val="left" w:pos="476"/>
        </w:tabs>
        <w:spacing w:line="252" w:lineRule="auto"/>
        <w:ind w:left="300" w:right="-250" w:firstLine="549" w:firstLineChars="229"/>
        <w:rPr>
          <w:rFonts w:cs="Arial"/>
          <w:sz w:val="24"/>
          <w:szCs w:val="24"/>
        </w:rPr>
      </w:pPr>
      <w:r>
        <w:rPr>
          <w:rFonts w:hint="eastAsia" w:cs="Arial"/>
          <w:sz w:val="24"/>
          <w:szCs w:val="24"/>
        </w:rPr>
        <w:t>梯级塌陷保护；</w:t>
      </w:r>
      <w:r>
        <w:rPr>
          <w:rFonts w:cs="Arial"/>
          <w:sz w:val="24"/>
          <w:szCs w:val="24"/>
        </w:rPr>
        <w:t xml:space="preserve">  </w:t>
      </w:r>
    </w:p>
    <w:p>
      <w:pPr>
        <w:pStyle w:val="20"/>
        <w:numPr>
          <w:ilvl w:val="0"/>
          <w:numId w:val="3"/>
        </w:numPr>
        <w:tabs>
          <w:tab w:val="left" w:pos="476"/>
        </w:tabs>
        <w:spacing w:line="252" w:lineRule="auto"/>
        <w:ind w:left="300" w:firstLine="549" w:firstLineChars="229"/>
        <w:rPr>
          <w:rFonts w:cs="Arial"/>
          <w:sz w:val="24"/>
          <w:szCs w:val="24"/>
        </w:rPr>
      </w:pPr>
      <w:r>
        <w:rPr>
          <w:rFonts w:hint="eastAsia" w:cs="Arial"/>
          <w:sz w:val="24"/>
          <w:szCs w:val="24"/>
        </w:rPr>
        <w:t>梯级链断裂保护</w:t>
      </w:r>
      <w:r>
        <w:rPr>
          <w:rFonts w:cs="Arial"/>
          <w:sz w:val="24"/>
          <w:szCs w:val="24"/>
        </w:rPr>
        <w:t>；</w:t>
      </w:r>
    </w:p>
    <w:p>
      <w:pPr>
        <w:pStyle w:val="20"/>
        <w:numPr>
          <w:ilvl w:val="0"/>
          <w:numId w:val="3"/>
        </w:numPr>
        <w:tabs>
          <w:tab w:val="left" w:pos="476"/>
        </w:tabs>
        <w:spacing w:line="252" w:lineRule="auto"/>
        <w:ind w:left="300" w:firstLine="549" w:firstLineChars="229"/>
        <w:rPr>
          <w:rFonts w:cs="Arial"/>
          <w:sz w:val="24"/>
          <w:szCs w:val="24"/>
        </w:rPr>
      </w:pPr>
      <w:r>
        <w:rPr>
          <w:rFonts w:hint="eastAsia" w:hAnsi="宋体"/>
          <w:sz w:val="24"/>
          <w:szCs w:val="24"/>
        </w:rPr>
        <w:t>高速侧马达速度监测；</w:t>
      </w:r>
    </w:p>
    <w:p>
      <w:pPr>
        <w:pStyle w:val="20"/>
        <w:numPr>
          <w:ilvl w:val="0"/>
          <w:numId w:val="3"/>
        </w:numPr>
        <w:tabs>
          <w:tab w:val="left" w:pos="476"/>
        </w:tabs>
        <w:spacing w:line="252" w:lineRule="auto"/>
        <w:ind w:left="300" w:firstLine="549" w:firstLineChars="229"/>
        <w:rPr>
          <w:rFonts w:cs="Arial"/>
          <w:sz w:val="24"/>
          <w:szCs w:val="24"/>
        </w:rPr>
      </w:pPr>
      <w:r>
        <w:rPr>
          <w:rFonts w:hint="eastAsia" w:hAnsi="宋体"/>
          <w:sz w:val="24"/>
          <w:szCs w:val="24"/>
        </w:rPr>
        <w:t>低速侧梯路速度监测</w:t>
      </w:r>
      <w:r>
        <w:rPr>
          <w:rFonts w:cs="Arial"/>
          <w:sz w:val="24"/>
          <w:szCs w:val="24"/>
        </w:rPr>
        <w:t xml:space="preserve">； </w:t>
      </w:r>
    </w:p>
    <w:p>
      <w:pPr>
        <w:pStyle w:val="20"/>
        <w:numPr>
          <w:ilvl w:val="0"/>
          <w:numId w:val="3"/>
        </w:numPr>
        <w:tabs>
          <w:tab w:val="left" w:pos="476"/>
        </w:tabs>
        <w:spacing w:line="252" w:lineRule="auto"/>
        <w:ind w:left="300" w:firstLine="549" w:firstLineChars="229"/>
        <w:rPr>
          <w:rFonts w:cs="Arial"/>
          <w:sz w:val="24"/>
          <w:szCs w:val="24"/>
        </w:rPr>
      </w:pPr>
      <w:r>
        <w:rPr>
          <w:rFonts w:hint="eastAsia" w:cs="Arial"/>
          <w:sz w:val="24"/>
          <w:szCs w:val="24"/>
        </w:rPr>
        <w:t>电机</w:t>
      </w:r>
      <w:r>
        <w:rPr>
          <w:rFonts w:cs="Arial"/>
          <w:sz w:val="24"/>
          <w:szCs w:val="24"/>
        </w:rPr>
        <w:t>过载、过热保护装置；</w:t>
      </w:r>
    </w:p>
    <w:p>
      <w:pPr>
        <w:pStyle w:val="20"/>
        <w:numPr>
          <w:ilvl w:val="0"/>
          <w:numId w:val="3"/>
        </w:numPr>
        <w:tabs>
          <w:tab w:val="left" w:pos="476"/>
        </w:tabs>
        <w:spacing w:line="252" w:lineRule="auto"/>
        <w:ind w:left="300" w:firstLine="549" w:firstLineChars="229"/>
        <w:rPr>
          <w:rFonts w:cs="Arial"/>
          <w:sz w:val="24"/>
          <w:szCs w:val="24"/>
        </w:rPr>
      </w:pPr>
      <w:r>
        <w:rPr>
          <w:rFonts w:cs="Arial"/>
          <w:sz w:val="24"/>
          <w:szCs w:val="24"/>
        </w:rPr>
        <w:t>主电源隔离器；</w:t>
      </w:r>
      <w:r>
        <w:rPr>
          <w:rFonts w:cs="Arial"/>
          <w:sz w:val="24"/>
          <w:szCs w:val="24"/>
        </w:rPr>
        <w:tab/>
      </w:r>
    </w:p>
    <w:p>
      <w:pPr>
        <w:pStyle w:val="20"/>
        <w:numPr>
          <w:ilvl w:val="0"/>
          <w:numId w:val="3"/>
        </w:numPr>
        <w:tabs>
          <w:tab w:val="left" w:pos="476"/>
        </w:tabs>
        <w:spacing w:line="252" w:lineRule="auto"/>
        <w:ind w:left="300" w:firstLine="549" w:firstLineChars="229"/>
        <w:rPr>
          <w:rFonts w:cs="Arial"/>
          <w:sz w:val="24"/>
          <w:szCs w:val="24"/>
        </w:rPr>
      </w:pPr>
      <w:r>
        <w:rPr>
          <w:rFonts w:cs="Arial"/>
          <w:sz w:val="24"/>
          <w:szCs w:val="24"/>
        </w:rPr>
        <w:t xml:space="preserve">急停开关，位于自动扶梯两端；   </w:t>
      </w:r>
    </w:p>
    <w:p>
      <w:pPr>
        <w:pStyle w:val="20"/>
        <w:numPr>
          <w:ilvl w:val="0"/>
          <w:numId w:val="3"/>
        </w:numPr>
        <w:tabs>
          <w:tab w:val="left" w:pos="476"/>
        </w:tabs>
        <w:spacing w:line="252" w:lineRule="auto"/>
        <w:ind w:left="300" w:firstLine="549" w:firstLineChars="229"/>
        <w:rPr>
          <w:rFonts w:cs="Arial"/>
          <w:sz w:val="24"/>
          <w:szCs w:val="24"/>
        </w:rPr>
      </w:pPr>
      <w:r>
        <w:rPr>
          <w:rFonts w:cs="Arial"/>
          <w:sz w:val="24"/>
          <w:szCs w:val="24"/>
        </w:rPr>
        <w:t>停机开关，位于上端和下端底坑内；</w:t>
      </w:r>
    </w:p>
    <w:p>
      <w:pPr>
        <w:pStyle w:val="20"/>
        <w:numPr>
          <w:ilvl w:val="0"/>
          <w:numId w:val="3"/>
        </w:numPr>
        <w:tabs>
          <w:tab w:val="left" w:pos="476"/>
        </w:tabs>
        <w:spacing w:line="252" w:lineRule="auto"/>
        <w:ind w:left="301" w:firstLine="549" w:firstLineChars="229"/>
        <w:rPr>
          <w:rFonts w:cs="Arial"/>
          <w:sz w:val="24"/>
          <w:szCs w:val="24"/>
          <w:lang w:val="en-GB"/>
        </w:rPr>
      </w:pPr>
      <w:r>
        <w:rPr>
          <w:rFonts w:hint="eastAsia" w:cs="Arial"/>
          <w:sz w:val="24"/>
          <w:szCs w:val="24"/>
          <w:lang w:val="en-GB"/>
        </w:rPr>
        <w:t>扶手带速度及断带监测；</w:t>
      </w:r>
    </w:p>
    <w:p>
      <w:pPr>
        <w:pStyle w:val="20"/>
        <w:numPr>
          <w:ilvl w:val="0"/>
          <w:numId w:val="3"/>
        </w:numPr>
        <w:tabs>
          <w:tab w:val="left" w:pos="476"/>
        </w:tabs>
        <w:spacing w:line="252" w:lineRule="auto"/>
        <w:ind w:left="301" w:firstLine="549" w:firstLineChars="229"/>
        <w:rPr>
          <w:rFonts w:cs="Arial"/>
          <w:sz w:val="24"/>
          <w:szCs w:val="24"/>
          <w:lang w:val="en-GB"/>
        </w:rPr>
      </w:pPr>
      <w:r>
        <w:rPr>
          <w:rFonts w:hint="eastAsia" w:cs="Arial"/>
          <w:sz w:val="24"/>
          <w:szCs w:val="24"/>
          <w:lang w:val="en-GB"/>
        </w:rPr>
        <w:t>楼层盖板安全开关；</w:t>
      </w:r>
    </w:p>
    <w:p>
      <w:pPr>
        <w:pStyle w:val="20"/>
        <w:numPr>
          <w:ilvl w:val="0"/>
          <w:numId w:val="3"/>
        </w:numPr>
        <w:tabs>
          <w:tab w:val="left" w:pos="476"/>
        </w:tabs>
        <w:spacing w:line="252" w:lineRule="auto"/>
        <w:ind w:left="300" w:firstLine="549" w:firstLineChars="229"/>
        <w:rPr>
          <w:rFonts w:cs="Arial"/>
          <w:sz w:val="24"/>
          <w:szCs w:val="24"/>
        </w:rPr>
      </w:pPr>
      <w:r>
        <w:rPr>
          <w:rFonts w:hint="eastAsia" w:cs="Arial"/>
          <w:sz w:val="24"/>
          <w:szCs w:val="24"/>
        </w:rPr>
        <w:t>梯级反转保护</w:t>
      </w:r>
      <w:r>
        <w:rPr>
          <w:rFonts w:cs="Arial"/>
          <w:sz w:val="24"/>
          <w:szCs w:val="24"/>
        </w:rPr>
        <w:t>；</w:t>
      </w:r>
    </w:p>
    <w:p>
      <w:pPr>
        <w:pStyle w:val="20"/>
        <w:numPr>
          <w:ilvl w:val="0"/>
          <w:numId w:val="3"/>
        </w:numPr>
        <w:tabs>
          <w:tab w:val="left" w:pos="476"/>
        </w:tabs>
        <w:spacing w:line="252" w:lineRule="auto"/>
        <w:ind w:left="300" w:firstLine="549" w:firstLineChars="229"/>
        <w:rPr>
          <w:rFonts w:cs="Arial"/>
          <w:sz w:val="24"/>
          <w:szCs w:val="24"/>
        </w:rPr>
      </w:pPr>
      <w:r>
        <w:rPr>
          <w:rFonts w:hint="eastAsia" w:cs="Arial"/>
          <w:sz w:val="24"/>
          <w:szCs w:val="24"/>
        </w:rPr>
        <w:t>梯路锁</w:t>
      </w:r>
      <w:r>
        <w:rPr>
          <w:rFonts w:cs="Arial"/>
          <w:sz w:val="24"/>
          <w:szCs w:val="24"/>
        </w:rPr>
        <w:t>；</w:t>
      </w:r>
    </w:p>
    <w:p>
      <w:pPr>
        <w:pStyle w:val="20"/>
        <w:numPr>
          <w:ilvl w:val="0"/>
          <w:numId w:val="3"/>
        </w:numPr>
        <w:tabs>
          <w:tab w:val="left" w:pos="476"/>
        </w:tabs>
        <w:spacing w:line="252" w:lineRule="auto"/>
        <w:ind w:left="301" w:firstLine="549" w:firstLineChars="229"/>
        <w:rPr>
          <w:rFonts w:cs="Arial"/>
          <w:sz w:val="24"/>
          <w:szCs w:val="24"/>
          <w:lang w:val="en-GB"/>
        </w:rPr>
      </w:pPr>
      <w:r>
        <w:rPr>
          <w:rFonts w:hint="eastAsia" w:cs="Arial"/>
          <w:sz w:val="24"/>
          <w:szCs w:val="24"/>
          <w:lang w:val="en-GB"/>
        </w:rPr>
        <w:t>梯级缺失检测；</w:t>
      </w:r>
    </w:p>
    <w:p>
      <w:pPr>
        <w:pStyle w:val="20"/>
        <w:numPr>
          <w:ilvl w:val="0"/>
          <w:numId w:val="3"/>
        </w:numPr>
        <w:tabs>
          <w:tab w:val="left" w:pos="476"/>
        </w:tabs>
        <w:spacing w:line="252" w:lineRule="auto"/>
        <w:ind w:left="300" w:firstLine="549" w:firstLineChars="229"/>
        <w:rPr>
          <w:rFonts w:cs="Arial"/>
          <w:sz w:val="24"/>
          <w:szCs w:val="24"/>
        </w:rPr>
      </w:pPr>
      <w:r>
        <w:rPr>
          <w:rFonts w:hint="eastAsia" w:cs="Arial"/>
          <w:sz w:val="24"/>
          <w:szCs w:val="24"/>
          <w:lang w:val="en-GB"/>
        </w:rPr>
        <w:t>制动器抬起监测开关</w:t>
      </w:r>
      <w:r>
        <w:rPr>
          <w:rFonts w:hint="eastAsia" w:cs="Arial"/>
          <w:sz w:val="24"/>
          <w:szCs w:val="24"/>
        </w:rPr>
        <w:t>；</w:t>
      </w:r>
      <w:r>
        <w:rPr>
          <w:rFonts w:cs="Arial"/>
          <w:sz w:val="24"/>
          <w:szCs w:val="24"/>
        </w:rPr>
        <w:t xml:space="preserve">  </w:t>
      </w:r>
    </w:p>
    <w:p>
      <w:pPr>
        <w:pStyle w:val="20"/>
        <w:numPr>
          <w:ilvl w:val="0"/>
          <w:numId w:val="3"/>
        </w:numPr>
        <w:tabs>
          <w:tab w:val="left" w:pos="476"/>
        </w:tabs>
        <w:spacing w:line="252" w:lineRule="auto"/>
        <w:ind w:left="300" w:firstLine="549" w:firstLineChars="229"/>
        <w:rPr>
          <w:rFonts w:cs="Arial"/>
          <w:sz w:val="24"/>
          <w:szCs w:val="24"/>
        </w:rPr>
      </w:pPr>
      <w:r>
        <w:rPr>
          <w:rFonts w:hint="eastAsia" w:cs="Arial"/>
          <w:sz w:val="24"/>
          <w:szCs w:val="24"/>
        </w:rPr>
        <w:t>驱动链断链保护装置；</w:t>
      </w:r>
      <w:r>
        <w:rPr>
          <w:rFonts w:cs="Arial"/>
          <w:sz w:val="24"/>
          <w:szCs w:val="24"/>
        </w:rPr>
        <w:t xml:space="preserve"> </w:t>
      </w:r>
    </w:p>
    <w:p>
      <w:pPr>
        <w:pStyle w:val="20"/>
        <w:numPr>
          <w:ilvl w:val="0"/>
          <w:numId w:val="3"/>
        </w:numPr>
        <w:tabs>
          <w:tab w:val="left" w:pos="476"/>
        </w:tabs>
        <w:spacing w:line="252" w:lineRule="auto"/>
        <w:ind w:left="300" w:firstLine="549" w:firstLineChars="229"/>
        <w:rPr>
          <w:rFonts w:cs="Arial"/>
          <w:sz w:val="24"/>
          <w:szCs w:val="24"/>
        </w:rPr>
      </w:pPr>
      <w:r>
        <w:rPr>
          <w:rFonts w:hint="eastAsia" w:cs="Arial"/>
          <w:sz w:val="24"/>
          <w:szCs w:val="24"/>
        </w:rPr>
        <w:t>错断相保护装置；</w:t>
      </w:r>
    </w:p>
    <w:p>
      <w:pPr>
        <w:pStyle w:val="20"/>
        <w:numPr>
          <w:ilvl w:val="0"/>
          <w:numId w:val="3"/>
        </w:numPr>
        <w:tabs>
          <w:tab w:val="left" w:pos="476"/>
        </w:tabs>
        <w:spacing w:line="252" w:lineRule="auto"/>
        <w:ind w:left="301" w:firstLine="549" w:firstLineChars="229"/>
        <w:rPr>
          <w:rFonts w:cs="Arial"/>
          <w:sz w:val="24"/>
          <w:szCs w:val="24"/>
          <w:lang w:val="en-GB"/>
        </w:rPr>
      </w:pPr>
      <w:r>
        <w:rPr>
          <w:rFonts w:hint="eastAsia" w:cs="Arial"/>
          <w:sz w:val="24"/>
          <w:szCs w:val="24"/>
          <w:lang w:val="en-GB"/>
        </w:rPr>
        <w:t>控制回路断路器；</w:t>
      </w:r>
    </w:p>
    <w:p>
      <w:pPr>
        <w:pStyle w:val="20"/>
        <w:numPr>
          <w:ilvl w:val="0"/>
          <w:numId w:val="3"/>
        </w:numPr>
        <w:tabs>
          <w:tab w:val="left" w:pos="476"/>
        </w:tabs>
        <w:spacing w:line="252" w:lineRule="auto"/>
        <w:ind w:left="301" w:firstLine="549" w:firstLineChars="229"/>
        <w:rPr>
          <w:rFonts w:cs="Arial"/>
          <w:sz w:val="24"/>
          <w:szCs w:val="24"/>
          <w:lang w:val="en-GB"/>
        </w:rPr>
      </w:pPr>
      <w:r>
        <w:rPr>
          <w:rFonts w:hint="eastAsia" w:cs="Arial"/>
          <w:sz w:val="24"/>
          <w:szCs w:val="24"/>
          <w:lang w:val="en-GB"/>
        </w:rPr>
        <w:t>主制动器；</w:t>
      </w:r>
    </w:p>
    <w:p>
      <w:pPr>
        <w:pStyle w:val="20"/>
        <w:numPr>
          <w:ilvl w:val="0"/>
          <w:numId w:val="3"/>
        </w:numPr>
        <w:tabs>
          <w:tab w:val="left" w:pos="476"/>
        </w:tabs>
        <w:spacing w:line="252" w:lineRule="auto"/>
        <w:ind w:left="300" w:firstLine="549" w:firstLineChars="229"/>
        <w:rPr>
          <w:rFonts w:cs="Arial"/>
          <w:sz w:val="24"/>
          <w:szCs w:val="24"/>
        </w:rPr>
      </w:pPr>
      <w:r>
        <w:rPr>
          <w:rFonts w:hint="eastAsia" w:cs="Arial"/>
          <w:sz w:val="24"/>
          <w:szCs w:val="24"/>
        </w:rPr>
        <w:t>防静电装置；</w:t>
      </w:r>
    </w:p>
    <w:p>
      <w:pPr>
        <w:pStyle w:val="20"/>
        <w:numPr>
          <w:ilvl w:val="0"/>
          <w:numId w:val="3"/>
        </w:numPr>
        <w:tabs>
          <w:tab w:val="left" w:pos="476"/>
        </w:tabs>
        <w:spacing w:line="252" w:lineRule="auto"/>
        <w:ind w:left="301" w:firstLine="549" w:firstLineChars="229"/>
        <w:rPr>
          <w:rFonts w:cs="Arial"/>
          <w:sz w:val="24"/>
          <w:szCs w:val="24"/>
          <w:lang w:val="en-GB"/>
        </w:rPr>
      </w:pPr>
      <w:r>
        <w:rPr>
          <w:rFonts w:hint="eastAsia" w:cs="Arial"/>
          <w:sz w:val="24"/>
          <w:szCs w:val="24"/>
          <w:lang w:val="en-GB"/>
        </w:rPr>
        <w:t>围裙板刷；</w:t>
      </w:r>
    </w:p>
    <w:p>
      <w:pPr>
        <w:pStyle w:val="20"/>
        <w:numPr>
          <w:ilvl w:val="0"/>
          <w:numId w:val="3"/>
        </w:numPr>
        <w:tabs>
          <w:tab w:val="left" w:pos="476"/>
        </w:tabs>
        <w:spacing w:line="252" w:lineRule="auto"/>
        <w:ind w:left="301" w:firstLine="549" w:firstLineChars="229"/>
        <w:rPr>
          <w:rFonts w:cs="Arial"/>
          <w:sz w:val="24"/>
          <w:szCs w:val="24"/>
          <w:lang w:val="en-GB"/>
        </w:rPr>
      </w:pPr>
      <w:r>
        <w:rPr>
          <w:rFonts w:hint="eastAsia" w:cs="Arial"/>
          <w:sz w:val="24"/>
          <w:szCs w:val="24"/>
          <w:lang w:val="en-GB"/>
        </w:rPr>
        <w:t>防攀爬板在外盖板上；</w:t>
      </w:r>
    </w:p>
    <w:p>
      <w:pPr>
        <w:pStyle w:val="20"/>
        <w:numPr>
          <w:ilvl w:val="0"/>
          <w:numId w:val="3"/>
        </w:numPr>
        <w:tabs>
          <w:tab w:val="left" w:pos="476"/>
        </w:tabs>
        <w:spacing w:line="252" w:lineRule="auto"/>
        <w:ind w:left="301" w:firstLine="549" w:firstLineChars="229"/>
        <w:rPr>
          <w:rFonts w:cs="Arial"/>
          <w:sz w:val="24"/>
          <w:szCs w:val="24"/>
          <w:lang w:val="en-GB"/>
        </w:rPr>
      </w:pPr>
      <w:r>
        <w:rPr>
          <w:rFonts w:hint="eastAsia" w:cs="Arial"/>
          <w:sz w:val="24"/>
          <w:szCs w:val="24"/>
          <w:lang w:val="en-GB"/>
        </w:rPr>
        <w:t>手持检修灯。</w:t>
      </w:r>
    </w:p>
    <w:p>
      <w:pPr>
        <w:spacing w:line="252" w:lineRule="auto"/>
        <w:rPr>
          <w:sz w:val="24"/>
        </w:rPr>
      </w:pPr>
    </w:p>
    <w:p>
      <w:pPr>
        <w:spacing w:line="252" w:lineRule="auto"/>
        <w:ind w:firstLine="723" w:firstLineChars="300"/>
        <w:rPr>
          <w:rFonts w:ascii="Arial" w:hAnsi="Arial" w:cs="Arial"/>
          <w:sz w:val="24"/>
        </w:rPr>
      </w:pPr>
      <w:r>
        <w:rPr>
          <w:rFonts w:hint="eastAsia" w:ascii="宋体" w:hAnsi="宋体" w:cs="宋体"/>
          <w:b/>
          <w:sz w:val="24"/>
        </w:rPr>
        <w:t>客户要求功能：</w:t>
      </w:r>
    </w:p>
    <w:p>
      <w:pPr>
        <w:spacing w:line="252" w:lineRule="auto"/>
        <w:rPr>
          <w:rFonts w:ascii="Arial" w:hAnsi="Arial" w:cs="Arial"/>
          <w:sz w:val="24"/>
        </w:rPr>
      </w:pPr>
    </w:p>
    <w:p>
      <w:pPr>
        <w:numPr>
          <w:ilvl w:val="0"/>
          <w:numId w:val="4"/>
        </w:numPr>
        <w:spacing w:line="252" w:lineRule="auto"/>
        <w:ind w:firstLine="131"/>
        <w:rPr>
          <w:rFonts w:ascii="宋体" w:hAnsi="宋体" w:cs="宋体"/>
          <w:sz w:val="24"/>
        </w:rPr>
      </w:pPr>
      <w:r>
        <w:rPr>
          <w:rFonts w:hint="eastAsia" w:ascii="宋体" w:hAnsi="宋体" w:cs="宋体"/>
          <w:sz w:val="24"/>
        </w:rPr>
        <w:t>全路变频自动启动+交通指示灯</w:t>
      </w:r>
    </w:p>
    <w:p>
      <w:pPr>
        <w:numPr>
          <w:ilvl w:val="0"/>
          <w:numId w:val="4"/>
        </w:numPr>
        <w:spacing w:line="252" w:lineRule="auto"/>
        <w:ind w:firstLine="131"/>
        <w:rPr>
          <w:rFonts w:ascii="宋体" w:hAnsi="宋体" w:cs="宋体"/>
          <w:sz w:val="24"/>
        </w:rPr>
      </w:pPr>
      <w:r>
        <w:rPr>
          <w:rFonts w:hint="eastAsia" w:ascii="宋体" w:hAnsi="宋体" w:cs="宋体"/>
          <w:sz w:val="24"/>
        </w:rPr>
        <w:t>远程停梯</w:t>
      </w:r>
    </w:p>
    <w:p>
      <w:pPr>
        <w:numPr>
          <w:ilvl w:val="0"/>
          <w:numId w:val="4"/>
        </w:numPr>
        <w:spacing w:line="252" w:lineRule="auto"/>
        <w:ind w:firstLine="131"/>
        <w:rPr>
          <w:rFonts w:ascii="宋体" w:hAnsi="宋体" w:cs="宋体"/>
          <w:sz w:val="24"/>
        </w:rPr>
      </w:pPr>
      <w:r>
        <w:rPr>
          <w:rFonts w:hint="eastAsia" w:ascii="宋体" w:hAnsi="宋体" w:cs="宋体"/>
          <w:sz w:val="24"/>
        </w:rPr>
        <w:t>裙板安全开关</w:t>
      </w:r>
    </w:p>
    <w:p>
      <w:pPr>
        <w:numPr>
          <w:ilvl w:val="0"/>
          <w:numId w:val="4"/>
        </w:numPr>
        <w:spacing w:line="252" w:lineRule="auto"/>
        <w:ind w:firstLine="131"/>
        <w:rPr>
          <w:rFonts w:ascii="宋体" w:hAnsi="宋体" w:cs="宋体"/>
          <w:sz w:val="24"/>
        </w:rPr>
      </w:pPr>
      <w:r>
        <w:rPr>
          <w:rFonts w:hint="eastAsia" w:ascii="宋体" w:hAnsi="宋体" w:cs="宋体"/>
          <w:sz w:val="24"/>
        </w:rPr>
        <w:t>梯级防跳装置</w:t>
      </w:r>
    </w:p>
    <w:p>
      <w:pPr>
        <w:numPr>
          <w:ilvl w:val="0"/>
          <w:numId w:val="4"/>
        </w:numPr>
        <w:spacing w:line="252" w:lineRule="auto"/>
        <w:ind w:firstLine="131"/>
        <w:rPr>
          <w:rFonts w:ascii="宋体" w:hAnsi="宋体" w:cs="宋体"/>
          <w:sz w:val="24"/>
        </w:rPr>
      </w:pPr>
      <w:r>
        <w:rPr>
          <w:rFonts w:hint="eastAsia" w:ascii="宋体" w:hAnsi="宋体" w:cs="宋体"/>
          <w:sz w:val="24"/>
        </w:rPr>
        <w:t>监控接口预留</w:t>
      </w:r>
    </w:p>
    <w:p>
      <w:pPr>
        <w:numPr>
          <w:ilvl w:val="0"/>
          <w:numId w:val="4"/>
        </w:numPr>
        <w:spacing w:line="252" w:lineRule="auto"/>
        <w:ind w:firstLine="131"/>
        <w:rPr>
          <w:rFonts w:ascii="宋体" w:hAnsi="宋体" w:cs="宋体"/>
          <w:sz w:val="24"/>
        </w:rPr>
      </w:pPr>
      <w:r>
        <w:rPr>
          <w:rFonts w:hint="eastAsia" w:ascii="宋体" w:hAnsi="宋体" w:cs="宋体"/>
          <w:sz w:val="24"/>
        </w:rPr>
        <w:t>故障诊断显示</w:t>
      </w:r>
    </w:p>
    <w:p>
      <w:pPr>
        <w:numPr>
          <w:ilvl w:val="0"/>
          <w:numId w:val="4"/>
        </w:numPr>
        <w:spacing w:line="252" w:lineRule="auto"/>
        <w:ind w:firstLine="131"/>
        <w:rPr>
          <w:rFonts w:ascii="宋体"/>
          <w:sz w:val="24"/>
        </w:rPr>
      </w:pPr>
      <w:r>
        <w:rPr>
          <w:rFonts w:hint="eastAsia" w:ascii="宋体" w:hAnsi="宋体" w:cs="宋体"/>
          <w:sz w:val="24"/>
        </w:rPr>
        <w:t>火</w:t>
      </w:r>
      <w:r>
        <w:rPr>
          <w:rFonts w:hint="eastAsia" w:ascii="宋体"/>
          <w:sz w:val="24"/>
        </w:rPr>
        <w:t>警报警</w:t>
      </w:r>
    </w:p>
    <w:p>
      <w:pPr>
        <w:spacing w:line="360" w:lineRule="auto"/>
        <w:ind w:left="360"/>
        <w:rPr>
          <w:rFonts w:ascii="宋体"/>
          <w:sz w:val="24"/>
        </w:rPr>
      </w:pPr>
    </w:p>
    <w:p>
      <w:pPr>
        <w:spacing w:line="360" w:lineRule="auto"/>
        <w:ind w:left="360"/>
        <w:rPr>
          <w:rFonts w:ascii="宋体"/>
          <w:sz w:val="24"/>
        </w:rPr>
      </w:pPr>
    </w:p>
    <w:p>
      <w:pPr>
        <w:spacing w:line="360" w:lineRule="auto"/>
        <w:ind w:left="360"/>
        <w:rPr>
          <w:rFonts w:ascii="宋体"/>
          <w:sz w:val="24"/>
        </w:rPr>
      </w:pPr>
    </w:p>
    <w:p>
      <w:pPr>
        <w:spacing w:line="360" w:lineRule="auto"/>
        <w:rPr>
          <w:sz w:val="24"/>
        </w:rPr>
      </w:pPr>
    </w:p>
    <w:p>
      <w:pPr>
        <w:spacing w:line="360" w:lineRule="auto"/>
        <w:jc w:val="center"/>
        <w:rPr>
          <w:sz w:val="32"/>
          <w:szCs w:val="32"/>
        </w:rPr>
      </w:pPr>
      <w:r>
        <w:rPr>
          <w:rFonts w:hint="eastAsia"/>
          <w:sz w:val="32"/>
          <w:szCs w:val="32"/>
        </w:rPr>
        <w:t>线缆说明</w:t>
      </w:r>
    </w:p>
    <w:p>
      <w:pPr>
        <w:numPr>
          <w:ilvl w:val="0"/>
          <w:numId w:val="5"/>
        </w:numPr>
        <w:spacing w:line="360" w:lineRule="auto"/>
        <w:rPr>
          <w:rFonts w:ascii="宋体" w:hAnsi="宋体" w:cs="宋体"/>
          <w:sz w:val="24"/>
        </w:rPr>
      </w:pPr>
      <w:r>
        <w:rPr>
          <w:rFonts w:hint="eastAsia" w:ascii="宋体" w:hAnsi="宋体" w:cs="宋体"/>
          <w:sz w:val="24"/>
        </w:rPr>
        <w:t>五方通话或多方通话线缆说明</w:t>
      </w:r>
    </w:p>
    <w:p>
      <w:pPr>
        <w:spacing w:line="360" w:lineRule="auto"/>
        <w:ind w:firstLine="480" w:firstLineChars="200"/>
        <w:rPr>
          <w:rFonts w:ascii="宋体" w:hAnsi="宋体" w:cs="宋体"/>
          <w:sz w:val="24"/>
        </w:rPr>
      </w:pPr>
      <w:r>
        <w:rPr>
          <w:rFonts w:hint="eastAsia" w:ascii="宋体" w:hAnsi="宋体" w:cs="宋体"/>
          <w:sz w:val="24"/>
        </w:rPr>
        <w:t>五方包括：轿内、轿顶、底坑、控制柜、中控室。每台梯需要从电梯控制柜到中控室敷设一对0.75平方屏蔽双绞线。定购多方通话功能可代替五方通话，原中控室里对应每台电梯的话机将更换为一台小交换机，但敷设线缆数量不变。</w:t>
      </w:r>
    </w:p>
    <w:p>
      <w:pPr>
        <w:spacing w:line="360" w:lineRule="auto"/>
        <w:ind w:firstLine="480" w:firstLineChars="200"/>
        <w:rPr>
          <w:rFonts w:ascii="宋体" w:hAnsi="宋体" w:cs="宋体"/>
          <w:sz w:val="24"/>
        </w:rPr>
      </w:pPr>
      <w:r>
        <w:rPr>
          <w:rFonts w:hint="eastAsia" w:ascii="宋体" w:hAnsi="宋体" w:cs="宋体"/>
          <w:sz w:val="24"/>
        </w:rPr>
        <w:t>（选用总线制对讲机的，从中控室到各台电梯控制柜的线缆需采用RVVSP2*2的双绞线，每米32绞。总线不得与高压电线布置在同一线槽内，从总线到各台电梯控制柜的电缆，需走弱电竖井，如与总线并行的其他总线太多，应在总线上套一层PVC软管以防止干扰。）</w:t>
      </w:r>
    </w:p>
    <w:p>
      <w:pPr>
        <w:spacing w:line="360" w:lineRule="auto"/>
        <w:ind w:firstLine="480" w:firstLineChars="200"/>
        <w:rPr>
          <w:rFonts w:ascii="宋体" w:hAnsi="宋体" w:cs="宋体"/>
          <w:sz w:val="24"/>
        </w:rPr>
      </w:pPr>
      <w:r>
        <w:rPr>
          <w:rFonts w:hint="eastAsia" w:ascii="宋体" w:hAnsi="宋体" w:cs="宋体"/>
          <w:sz w:val="24"/>
        </w:rPr>
        <w:t>因路由及长度不确定，本供货合同不含从控制柜至大厦中控室的通话线缆，因涉及到电梯井道和机房之外的施工，电梯安装合同也不含上述线缆的敷设施工内容。线缆的供货及施工需由其他专业负责。</w:t>
      </w:r>
    </w:p>
    <w:p>
      <w:pPr>
        <w:spacing w:line="360" w:lineRule="auto"/>
        <w:ind w:right="123"/>
        <w:rPr>
          <w:rFonts w:ascii="宋体" w:hAnsi="宋体" w:cs="宋体"/>
          <w:sz w:val="24"/>
        </w:rPr>
      </w:pPr>
      <w:r>
        <w:rPr>
          <w:rFonts w:hint="eastAsia" w:ascii="宋体" w:hAnsi="宋体" w:cs="宋体"/>
          <w:sz w:val="24"/>
        </w:rPr>
        <w:t>二、消防探测功能线缆说明</w:t>
      </w:r>
    </w:p>
    <w:p>
      <w:pPr>
        <w:spacing w:line="360" w:lineRule="auto"/>
        <w:ind w:firstLine="480" w:firstLineChars="200"/>
        <w:rPr>
          <w:rFonts w:ascii="宋体" w:hAnsi="宋体" w:cs="宋体"/>
          <w:sz w:val="24"/>
        </w:rPr>
      </w:pPr>
      <w:r>
        <w:rPr>
          <w:rFonts w:hint="eastAsia" w:ascii="宋体" w:hAnsi="宋体" w:cs="宋体"/>
          <w:sz w:val="24"/>
        </w:rPr>
        <w:t>定购消防探测功能，当电梯所处防火分区进入火警状态，大厦消防控制室应向电梯发出迫降指令；电梯完成迫降动作后应向消防控制室发出反馈信号。电梯控制柜接受迫降指令只能是无源干接点输入，电梯完成迫降动作后发出的反馈信号也是无源干接点输出。</w:t>
      </w:r>
    </w:p>
    <w:p>
      <w:pPr>
        <w:spacing w:line="360" w:lineRule="auto"/>
        <w:ind w:firstLine="480" w:firstLineChars="200"/>
        <w:rPr>
          <w:rFonts w:ascii="宋体" w:hAnsi="宋体" w:cs="宋体"/>
          <w:sz w:val="24"/>
        </w:rPr>
      </w:pPr>
      <w:r>
        <w:rPr>
          <w:rFonts w:hint="eastAsia" w:ascii="宋体" w:hAnsi="宋体" w:cs="宋体"/>
          <w:sz w:val="24"/>
        </w:rPr>
        <w:t>每台电梯的输入、输出信号各需要一对0.75平方信号线，即每台梯共需两对。火警信号线缆的供货及施工需由火灾自动报警系统专业负责。</w:t>
      </w:r>
    </w:p>
    <w:p>
      <w:pPr>
        <w:spacing w:line="360" w:lineRule="auto"/>
        <w:ind w:right="123"/>
        <w:rPr>
          <w:rFonts w:ascii="宋体" w:hAnsi="宋体" w:cs="宋体"/>
          <w:sz w:val="24"/>
        </w:rPr>
      </w:pPr>
      <w:r>
        <w:rPr>
          <w:rFonts w:hint="eastAsia" w:ascii="宋体" w:hAnsi="宋体" w:cs="宋体"/>
          <w:sz w:val="24"/>
        </w:rPr>
        <w:t>三、摄像监控电缆</w:t>
      </w:r>
    </w:p>
    <w:p>
      <w:pPr>
        <w:spacing w:line="360" w:lineRule="auto"/>
        <w:ind w:right="123" w:firstLine="480" w:firstLineChars="200"/>
        <w:rPr>
          <w:rFonts w:ascii="宋体" w:hAnsi="宋体" w:cs="宋体"/>
          <w:sz w:val="24"/>
        </w:rPr>
      </w:pPr>
      <w:r>
        <w:rPr>
          <w:rFonts w:hint="eastAsia" w:ascii="宋体" w:hAnsi="宋体" w:cs="宋体"/>
          <w:sz w:val="24"/>
        </w:rPr>
        <w:t>电梯订货如包括摄像监控电缆，是指从电梯控制柜到轿厢顶的随行电缆中的视频线。摄像监控专业负责电梯随行电缆以外视频线的规格确定、数量及供货和安装、摄像头等。在安装轿厢摄像头时，投标人负责协助施工。</w:t>
      </w:r>
    </w:p>
    <w:p>
      <w:pPr>
        <w:rPr>
          <w:rFonts w:ascii="宋体" w:hAnsi="宋体" w:cs="宋体"/>
          <w:sz w:val="24"/>
        </w:rPr>
      </w:pPr>
      <w:r>
        <w:rPr>
          <w:rFonts w:hint="eastAsia" w:ascii="宋体" w:hAnsi="宋体" w:cs="宋体"/>
          <w:sz w:val="24"/>
        </w:rPr>
        <w:br w:type="page"/>
      </w:r>
    </w:p>
    <w:p>
      <w:pPr>
        <w:rPr>
          <w:rFonts w:ascii="Arial" w:hAnsi="Arial" w:cs="Arial"/>
          <w:sz w:val="24"/>
        </w:rPr>
      </w:pPr>
    </w:p>
    <w:p>
      <w:pPr>
        <w:spacing w:line="312" w:lineRule="auto"/>
        <w:rPr>
          <w:rFonts w:ascii="宋体" w:hAnsi="宋体" w:cs="宋体"/>
          <w:b/>
          <w:bCs/>
          <w:sz w:val="24"/>
        </w:rPr>
      </w:pPr>
      <w:r>
        <w:rPr>
          <w:rFonts w:hint="eastAsia" w:ascii="Arial" w:hAnsi="Arial" w:cs="Arial"/>
          <w:sz w:val="24"/>
        </w:rPr>
        <w:t xml:space="preserve">  </w:t>
      </w:r>
      <w:r>
        <w:rPr>
          <w:rFonts w:hint="eastAsia" w:ascii="宋体" w:hAnsi="宋体" w:cs="宋体"/>
          <w:sz w:val="24"/>
        </w:rPr>
        <w:t>附件2</w:t>
      </w:r>
    </w:p>
    <w:p>
      <w:pPr>
        <w:spacing w:line="312" w:lineRule="auto"/>
        <w:ind w:left="426"/>
        <w:jc w:val="center"/>
        <w:rPr>
          <w:rFonts w:ascii="宋体" w:hAnsi="宋体" w:cs="宋体"/>
          <w:b/>
          <w:color w:val="000000"/>
          <w:sz w:val="24"/>
          <w:lang w:val="en-AU"/>
        </w:rPr>
      </w:pPr>
      <w:r>
        <w:rPr>
          <w:rFonts w:hint="eastAsia" w:ascii="宋体" w:hAnsi="宋体" w:cs="宋体"/>
          <w:b/>
          <w:color w:val="000000"/>
          <w:sz w:val="24"/>
          <w:lang w:val="en-AU"/>
        </w:rPr>
        <w:t>甲、乙方承担的工作</w:t>
      </w:r>
    </w:p>
    <w:p>
      <w:pPr>
        <w:spacing w:line="312" w:lineRule="auto"/>
        <w:ind w:firstLine="426"/>
        <w:rPr>
          <w:rFonts w:ascii="宋体" w:hAnsi="宋体" w:cs="宋体"/>
          <w:color w:val="000000"/>
          <w:sz w:val="24"/>
          <w:lang w:val="en-AU"/>
        </w:rPr>
      </w:pPr>
    </w:p>
    <w:p>
      <w:pPr>
        <w:spacing w:line="360" w:lineRule="auto"/>
        <w:ind w:firstLine="426"/>
        <w:rPr>
          <w:rFonts w:ascii="宋体" w:hAnsi="宋体" w:cs="宋体"/>
          <w:color w:val="000000"/>
          <w:sz w:val="24"/>
          <w:lang w:val="en-AU"/>
        </w:rPr>
      </w:pPr>
      <w:r>
        <w:rPr>
          <w:rFonts w:hint="eastAsia" w:ascii="宋体" w:hAnsi="宋体" w:cs="宋体"/>
          <w:color w:val="000000"/>
          <w:sz w:val="24"/>
          <w:lang w:val="en-AU"/>
        </w:rPr>
        <w:t>以下各项与设备安装工程有关的准备工作是甲乙双方应尽的义务,应由甲乙双方根据</w:t>
      </w:r>
      <w:r>
        <w:rPr>
          <w:rFonts w:hint="eastAsia" w:ascii="宋体" w:hAnsi="宋体" w:cs="宋体"/>
          <w:color w:val="000000"/>
          <w:sz w:val="24"/>
          <w:lang w:val="en-US" w:eastAsia="zh-CN"/>
        </w:rPr>
        <w:t>供应商</w:t>
      </w:r>
      <w:r>
        <w:rPr>
          <w:rFonts w:hint="eastAsia" w:ascii="宋体" w:hAnsi="宋体" w:cs="宋体"/>
          <w:color w:val="000000"/>
          <w:sz w:val="24"/>
          <w:lang w:val="en-AU"/>
        </w:rPr>
        <w:t>提供的并经双方确认的规格配置所要求的设备布置图执行，并应符合国家和地方性的行业法规和条例。当以下工作确认为乙方负责时，相应产生的费用将在本合同的安装费中被考虑。具体要求如下：</w:t>
      </w:r>
    </w:p>
    <w:p>
      <w:pPr>
        <w:spacing w:line="312" w:lineRule="auto"/>
        <w:ind w:firstLine="426"/>
        <w:rPr>
          <w:rFonts w:ascii="宋体" w:hAnsi="宋体" w:cs="宋体"/>
          <w:color w:val="000000"/>
          <w:sz w:val="24"/>
          <w:lang w:val="en-AU"/>
        </w:rPr>
      </w:pPr>
    </w:p>
    <w:tbl>
      <w:tblPr>
        <w:tblStyle w:val="47"/>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953"/>
        <w:gridCol w:w="914"/>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704" w:type="dxa"/>
            <w:vAlign w:val="center"/>
          </w:tcPr>
          <w:p>
            <w:pPr>
              <w:spacing w:line="312" w:lineRule="auto"/>
              <w:jc w:val="center"/>
              <w:rPr>
                <w:rFonts w:ascii="宋体" w:hAnsi="宋体" w:cs="宋体"/>
                <w:b/>
                <w:bCs/>
                <w:color w:val="000000"/>
                <w:sz w:val="24"/>
              </w:rPr>
            </w:pPr>
            <w:r>
              <w:rPr>
                <w:rFonts w:hint="eastAsia" w:ascii="宋体" w:hAnsi="宋体" w:cs="宋体"/>
                <w:b/>
                <w:bCs/>
                <w:color w:val="000000"/>
                <w:sz w:val="24"/>
              </w:rPr>
              <w:t>序号</w:t>
            </w:r>
          </w:p>
        </w:tc>
        <w:tc>
          <w:tcPr>
            <w:tcW w:w="6953"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安装施工中的责任</w:t>
            </w:r>
          </w:p>
        </w:tc>
        <w:tc>
          <w:tcPr>
            <w:tcW w:w="914"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甲方</w:t>
            </w:r>
          </w:p>
        </w:tc>
        <w:tc>
          <w:tcPr>
            <w:tcW w:w="859"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1</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依据经双方确认的设备布置图，向设备安装方提供设备安装的土建井道结构，并在井道移交前完成相应满足设备布置图中《注意事项》内的各项要求。按合同图纸提供机房及井道内的吊钩，其承载力应符合布置图的要求，并有清楚的承载标示。</w:t>
            </w:r>
          </w:p>
        </w:tc>
        <w:tc>
          <w:tcPr>
            <w:tcW w:w="914"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c>
          <w:tcPr>
            <w:tcW w:w="859" w:type="dxa"/>
            <w:vAlign w:val="center"/>
          </w:tcPr>
          <w:p>
            <w:pPr>
              <w:spacing w:line="312" w:lineRule="auto"/>
              <w:jc w:val="center"/>
              <w:rPr>
                <w:rFonts w:ascii="宋体" w:hAnsi="宋体" w:cs="宋体"/>
                <w:b/>
                <w:bCs/>
                <w:color w:val="000000"/>
                <w:sz w:val="24"/>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2</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井道移交前需提供各楼层装修完成面基准线。</w:t>
            </w:r>
          </w:p>
        </w:tc>
        <w:tc>
          <w:tcPr>
            <w:tcW w:w="914"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c>
          <w:tcPr>
            <w:tcW w:w="859" w:type="dxa"/>
            <w:vAlign w:val="center"/>
          </w:tcPr>
          <w:p>
            <w:pPr>
              <w:spacing w:line="312" w:lineRule="auto"/>
              <w:jc w:val="center"/>
              <w:rPr>
                <w:rFonts w:ascii="宋体" w:hAnsi="宋体" w:cs="宋体"/>
                <w:b/>
                <w:bCs/>
                <w:color w:val="000000"/>
                <w:sz w:val="24"/>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3</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在设备井道移交前，所有井道厅门及孔洞均应设置符合国家标准的安全护栏和护网，有效封闭，并在厅门口及孔洞设置高度不小于50mm的防水围堰。</w:t>
            </w:r>
            <w:r>
              <w:rPr>
                <w:rFonts w:hint="eastAsia" w:ascii="宋体" w:hAnsi="宋体" w:cs="宋体"/>
                <w:bCs/>
                <w:sz w:val="24"/>
                <w:lang w:val="en-AU"/>
              </w:rPr>
              <w:t>扶梯施工井道移交前，所有井道临边应设置符合国家标准的安全护栏。</w:t>
            </w:r>
          </w:p>
        </w:tc>
        <w:tc>
          <w:tcPr>
            <w:tcW w:w="914"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c>
          <w:tcPr>
            <w:tcW w:w="859" w:type="dxa"/>
            <w:vAlign w:val="center"/>
          </w:tcPr>
          <w:p>
            <w:pPr>
              <w:spacing w:line="312" w:lineRule="auto"/>
              <w:jc w:val="center"/>
              <w:rPr>
                <w:rFonts w:ascii="宋体" w:hAnsi="宋体" w:cs="宋体"/>
                <w:b/>
                <w:bCs/>
                <w:color w:val="000000"/>
                <w:sz w:val="24"/>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4</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在设备机房工作面移交前，所有正式门窗及锁具已安装完毕。</w:t>
            </w:r>
          </w:p>
        </w:tc>
        <w:tc>
          <w:tcPr>
            <w:tcW w:w="914"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c>
          <w:tcPr>
            <w:tcW w:w="859" w:type="dxa"/>
            <w:vAlign w:val="center"/>
          </w:tcPr>
          <w:p>
            <w:pPr>
              <w:spacing w:line="312" w:lineRule="auto"/>
              <w:jc w:val="center"/>
              <w:rPr>
                <w:rFonts w:ascii="宋体" w:hAnsi="宋体" w:cs="宋体"/>
                <w:b/>
                <w:bCs/>
                <w:color w:val="000000"/>
                <w:sz w:val="24"/>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5</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设备调试前需提供承受曳引机承重梁的建筑结构、承重钢梁两端封堵及绳口台阶制作工作（小机房设备）。</w:t>
            </w:r>
          </w:p>
        </w:tc>
        <w:tc>
          <w:tcPr>
            <w:tcW w:w="914"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c>
          <w:tcPr>
            <w:tcW w:w="859" w:type="dxa"/>
            <w:vAlign w:val="center"/>
          </w:tcPr>
          <w:p>
            <w:pPr>
              <w:spacing w:line="312" w:lineRule="auto"/>
              <w:jc w:val="center"/>
              <w:rPr>
                <w:rFonts w:ascii="宋体" w:hAnsi="宋体" w:cs="宋体"/>
                <w:b/>
                <w:bCs/>
                <w:color w:val="000000"/>
                <w:sz w:val="24"/>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6</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井道移交前应清除井道内的杂物及底坑积水，底坑完成防水处理。</w:t>
            </w:r>
          </w:p>
        </w:tc>
        <w:tc>
          <w:tcPr>
            <w:tcW w:w="914"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c>
          <w:tcPr>
            <w:tcW w:w="859" w:type="dxa"/>
            <w:vAlign w:val="center"/>
          </w:tcPr>
          <w:p>
            <w:pPr>
              <w:spacing w:line="312" w:lineRule="auto"/>
              <w:jc w:val="center"/>
              <w:rPr>
                <w:rFonts w:ascii="宋体" w:hAnsi="宋体" w:cs="宋体"/>
                <w:b/>
                <w:bCs/>
                <w:color w:val="000000"/>
                <w:sz w:val="24"/>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12" w:lineRule="auto"/>
              <w:jc w:val="center"/>
              <w:rPr>
                <w:rFonts w:ascii="宋体" w:hAnsi="宋体" w:cs="宋体"/>
                <w:bCs/>
                <w:sz w:val="24"/>
                <w:lang w:val="en-AU"/>
              </w:rPr>
            </w:pPr>
            <w:r>
              <w:rPr>
                <w:rFonts w:hint="eastAsia" w:ascii="宋体" w:hAnsi="宋体" w:cs="宋体"/>
                <w:bCs/>
                <w:sz w:val="24"/>
                <w:lang w:val="en-AU"/>
              </w:rPr>
              <w:t>7</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sz w:val="24"/>
                <w:lang w:val="en-AU"/>
              </w:rPr>
              <w:t>有产生积水可能的自动扶梯基坑需要</w:t>
            </w:r>
            <w:r>
              <w:rPr>
                <w:rFonts w:hint="eastAsia" w:ascii="宋体" w:hAnsi="宋体" w:cs="宋体"/>
                <w:bCs/>
                <w:color w:val="000000"/>
                <w:sz w:val="24"/>
                <w:lang w:val="en-AU"/>
              </w:rPr>
              <w:t>在井道移交前完成</w:t>
            </w:r>
            <w:r>
              <w:rPr>
                <w:rFonts w:hint="eastAsia" w:ascii="宋体" w:hAnsi="宋体" w:cs="宋体"/>
                <w:bCs/>
                <w:sz w:val="24"/>
                <w:lang w:val="en-AU"/>
              </w:rPr>
              <w:t>排水设施的设置。</w:t>
            </w:r>
          </w:p>
        </w:tc>
        <w:tc>
          <w:tcPr>
            <w:tcW w:w="914"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c>
          <w:tcPr>
            <w:tcW w:w="859" w:type="dxa"/>
            <w:vAlign w:val="center"/>
          </w:tcPr>
          <w:p>
            <w:pPr>
              <w:spacing w:line="312" w:lineRule="auto"/>
              <w:jc w:val="center"/>
              <w:rPr>
                <w:rFonts w:ascii="宋体" w:hAnsi="宋体" w:cs="宋体"/>
                <w:b/>
                <w:bCs/>
                <w:color w:val="000000"/>
                <w:sz w:val="24"/>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8</w:t>
            </w:r>
          </w:p>
        </w:tc>
        <w:tc>
          <w:tcPr>
            <w:tcW w:w="6953" w:type="dxa"/>
            <w:vAlign w:val="center"/>
          </w:tcPr>
          <w:p>
            <w:pPr>
              <w:spacing w:line="312" w:lineRule="auto"/>
              <w:ind w:left="36" w:hanging="36" w:hangingChars="15"/>
              <w:rPr>
                <w:rFonts w:ascii="宋体" w:hAnsi="宋体" w:cs="宋体"/>
                <w:bCs/>
                <w:color w:val="000000"/>
                <w:sz w:val="24"/>
                <w:lang w:val="en-AU"/>
              </w:rPr>
            </w:pPr>
            <w:r>
              <w:rPr>
                <w:rFonts w:hint="eastAsia" w:ascii="宋体" w:hAnsi="宋体" w:cs="宋体"/>
                <w:bCs/>
                <w:color w:val="000000"/>
                <w:sz w:val="24"/>
                <w:lang w:val="en-AU"/>
              </w:rPr>
              <w:t>合同签订后，设备排产前提供施工方案并协商具体施工日。派员工前往工地检查土建施工进度，确认土建结</w:t>
            </w:r>
            <w:r>
              <w:rPr>
                <w:rFonts w:hint="eastAsia" w:ascii="宋体" w:hAnsi="宋体" w:cs="宋体"/>
                <w:bCs/>
                <w:sz w:val="24"/>
                <w:lang w:val="en-AU"/>
              </w:rPr>
              <w:t>构符合电梯</w:t>
            </w:r>
            <w:r>
              <w:rPr>
                <w:rFonts w:hint="eastAsia" w:ascii="宋体" w:hAnsi="宋体" w:cs="宋体"/>
                <w:bCs/>
                <w:color w:val="000000"/>
                <w:sz w:val="24"/>
                <w:lang w:val="en-AU"/>
              </w:rPr>
              <w:t>施工要求并提出合理整改建议。</w:t>
            </w:r>
          </w:p>
        </w:tc>
        <w:tc>
          <w:tcPr>
            <w:tcW w:w="914" w:type="dxa"/>
            <w:vAlign w:val="center"/>
          </w:tcPr>
          <w:p>
            <w:pPr>
              <w:spacing w:line="312" w:lineRule="auto"/>
              <w:jc w:val="center"/>
              <w:rPr>
                <w:rFonts w:ascii="宋体" w:hAnsi="宋体" w:cs="宋体"/>
                <w:b/>
                <w:bCs/>
                <w:color w:val="000000"/>
                <w:sz w:val="24"/>
                <w:lang w:val="en-AU"/>
              </w:rPr>
            </w:pPr>
          </w:p>
        </w:tc>
        <w:tc>
          <w:tcPr>
            <w:tcW w:w="859"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9</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安装施工过程中，负责土建方面误差的整改和根据设备施工进度完成设备与土建间收口工作。</w:t>
            </w:r>
          </w:p>
        </w:tc>
        <w:tc>
          <w:tcPr>
            <w:tcW w:w="914"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c>
          <w:tcPr>
            <w:tcW w:w="859" w:type="dxa"/>
            <w:vAlign w:val="center"/>
          </w:tcPr>
          <w:p>
            <w:pPr>
              <w:spacing w:line="312" w:lineRule="auto"/>
              <w:jc w:val="center"/>
              <w:rPr>
                <w:rFonts w:ascii="宋体" w:hAnsi="宋体" w:cs="宋体"/>
                <w:b/>
                <w:bCs/>
                <w:color w:val="000000"/>
                <w:sz w:val="24"/>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10</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在设备发货前，需提供</w:t>
            </w:r>
            <w:r>
              <w:rPr>
                <w:rFonts w:hint="eastAsia" w:ascii="宋体" w:hAnsi="宋体" w:cs="宋体"/>
                <w:bCs/>
                <w:sz w:val="24"/>
                <w:lang w:val="en-AU"/>
              </w:rPr>
              <w:t>合适的卸货场地、畅</w:t>
            </w:r>
            <w:r>
              <w:rPr>
                <w:rFonts w:hint="eastAsia" w:ascii="宋体" w:hAnsi="宋体" w:cs="宋体"/>
                <w:bCs/>
                <w:color w:val="000000"/>
                <w:sz w:val="24"/>
                <w:lang w:val="en-AU"/>
              </w:rPr>
              <w:t>通的搬运通道以及足够面积的，有防盗措施和风雨保护措施的设备部件存储库房和临时施工办公室。</w:t>
            </w:r>
          </w:p>
        </w:tc>
        <w:tc>
          <w:tcPr>
            <w:tcW w:w="914"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c>
          <w:tcPr>
            <w:tcW w:w="859" w:type="dxa"/>
            <w:vAlign w:val="center"/>
          </w:tcPr>
          <w:p>
            <w:pPr>
              <w:spacing w:line="312" w:lineRule="auto"/>
              <w:jc w:val="center"/>
              <w:rPr>
                <w:rFonts w:ascii="宋体" w:hAnsi="宋体" w:cs="宋体"/>
                <w:b/>
                <w:bCs/>
                <w:color w:val="000000"/>
                <w:sz w:val="24"/>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11</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设备到货后，协同甲方共同接收验货，进行开箱清点。</w:t>
            </w:r>
          </w:p>
        </w:tc>
        <w:tc>
          <w:tcPr>
            <w:tcW w:w="914" w:type="dxa"/>
            <w:vAlign w:val="center"/>
          </w:tcPr>
          <w:p>
            <w:pPr>
              <w:spacing w:line="312" w:lineRule="auto"/>
              <w:jc w:val="center"/>
              <w:rPr>
                <w:rFonts w:ascii="宋体" w:hAnsi="宋体" w:cs="宋体"/>
                <w:b/>
                <w:bCs/>
                <w:color w:val="000000"/>
                <w:sz w:val="24"/>
                <w:lang w:val="en-AU"/>
              </w:rPr>
            </w:pPr>
          </w:p>
        </w:tc>
        <w:tc>
          <w:tcPr>
            <w:tcW w:w="859"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12</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提供安装、调试、照明用电直至验收完成（主电源采用三相五线制L1+L2+L3+N+PE(TN-S)，且380V交流主开关和断路器不能含有漏电保护功能。安装用电源点应敷设至施工井道顶层厅门口附近,调试用电源敷设至经双方确认的机房电源箱（由甲方提供）主电源开关进线端。</w:t>
            </w:r>
            <w:r>
              <w:rPr>
                <w:rFonts w:hint="eastAsia" w:ascii="宋体" w:hAnsi="宋体" w:cs="宋体"/>
                <w:bCs/>
                <w:sz w:val="24"/>
                <w:lang w:val="en-AU"/>
              </w:rPr>
              <w:t>提供甲方电源箱至乙方电源箱之间所需电缆并负责敷设</w:t>
            </w:r>
            <w:r>
              <w:rPr>
                <w:rFonts w:hint="eastAsia" w:ascii="宋体" w:hAnsi="宋体" w:cs="宋体"/>
                <w:bCs/>
                <w:color w:val="000000"/>
                <w:sz w:val="24"/>
                <w:lang w:val="en-AU"/>
              </w:rPr>
              <w:t>）</w:t>
            </w:r>
          </w:p>
        </w:tc>
        <w:tc>
          <w:tcPr>
            <w:tcW w:w="914"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c>
          <w:tcPr>
            <w:tcW w:w="859" w:type="dxa"/>
            <w:vAlign w:val="center"/>
          </w:tcPr>
          <w:p>
            <w:pPr>
              <w:spacing w:line="312" w:lineRule="auto"/>
              <w:jc w:val="center"/>
              <w:rPr>
                <w:rFonts w:ascii="宋体" w:hAnsi="宋体" w:cs="宋体"/>
                <w:b/>
                <w:bCs/>
                <w:color w:val="000000"/>
                <w:sz w:val="24"/>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13</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调试前按合同图纸要求提供正式电源</w:t>
            </w:r>
          </w:p>
        </w:tc>
        <w:tc>
          <w:tcPr>
            <w:tcW w:w="914"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c>
          <w:tcPr>
            <w:tcW w:w="859" w:type="dxa"/>
            <w:vAlign w:val="center"/>
          </w:tcPr>
          <w:p>
            <w:pPr>
              <w:spacing w:line="312" w:lineRule="auto"/>
              <w:jc w:val="center"/>
              <w:rPr>
                <w:rFonts w:ascii="宋体" w:hAnsi="宋体" w:cs="宋体"/>
                <w:b/>
                <w:bCs/>
                <w:color w:val="000000"/>
                <w:sz w:val="24"/>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14</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在井道移交前需提供井道照明和底坑检查用电源插座（消防设备应为防水型）。</w:t>
            </w:r>
          </w:p>
        </w:tc>
        <w:tc>
          <w:tcPr>
            <w:tcW w:w="914" w:type="dxa"/>
            <w:vAlign w:val="center"/>
          </w:tcPr>
          <w:p>
            <w:pPr>
              <w:spacing w:line="312" w:lineRule="auto"/>
              <w:jc w:val="center"/>
              <w:rPr>
                <w:rFonts w:ascii="宋体" w:hAnsi="宋体" w:cs="宋体"/>
                <w:b/>
                <w:bCs/>
                <w:color w:val="000000"/>
                <w:sz w:val="24"/>
                <w:lang w:val="en-AU"/>
              </w:rPr>
            </w:pPr>
          </w:p>
        </w:tc>
        <w:tc>
          <w:tcPr>
            <w:tcW w:w="859"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15</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在井道移交前提供接地线并接至经双方确认的机房电源箱接地端。</w:t>
            </w:r>
          </w:p>
        </w:tc>
        <w:tc>
          <w:tcPr>
            <w:tcW w:w="914"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c>
          <w:tcPr>
            <w:tcW w:w="859" w:type="dxa"/>
            <w:vAlign w:val="center"/>
          </w:tcPr>
          <w:p>
            <w:pPr>
              <w:spacing w:line="312" w:lineRule="auto"/>
              <w:jc w:val="center"/>
              <w:rPr>
                <w:rFonts w:ascii="宋体" w:hAnsi="宋体" w:cs="宋体"/>
                <w:b/>
                <w:bCs/>
                <w:color w:val="000000"/>
                <w:sz w:val="24"/>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16</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安装施工过程中，负责乙方安装施工期间与其它工程单位交叉作业时的协调工作。共同维护施工现场的设备保护。</w:t>
            </w:r>
          </w:p>
        </w:tc>
        <w:tc>
          <w:tcPr>
            <w:tcW w:w="914"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c>
          <w:tcPr>
            <w:tcW w:w="859" w:type="dxa"/>
            <w:vAlign w:val="center"/>
          </w:tcPr>
          <w:p>
            <w:pPr>
              <w:spacing w:line="312" w:lineRule="auto"/>
              <w:jc w:val="center"/>
              <w:rPr>
                <w:rFonts w:ascii="宋体" w:hAnsi="宋体" w:cs="宋体"/>
                <w:b/>
                <w:bCs/>
                <w:color w:val="000000"/>
                <w:sz w:val="24"/>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17</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设备安装开始之前，负责将大型（重载）设备吊至适当的位置。</w:t>
            </w:r>
          </w:p>
        </w:tc>
        <w:tc>
          <w:tcPr>
            <w:tcW w:w="914" w:type="dxa"/>
            <w:vAlign w:val="center"/>
          </w:tcPr>
          <w:p>
            <w:pPr>
              <w:spacing w:line="312" w:lineRule="auto"/>
              <w:jc w:val="center"/>
              <w:rPr>
                <w:rFonts w:ascii="宋体" w:hAnsi="宋体" w:cs="宋体"/>
                <w:b/>
                <w:bCs/>
                <w:color w:val="000000"/>
                <w:sz w:val="24"/>
                <w:lang w:val="en-AU"/>
              </w:rPr>
            </w:pPr>
          </w:p>
        </w:tc>
        <w:tc>
          <w:tcPr>
            <w:tcW w:w="859"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18</w:t>
            </w:r>
          </w:p>
        </w:tc>
        <w:tc>
          <w:tcPr>
            <w:tcW w:w="6953" w:type="dxa"/>
            <w:vAlign w:val="center"/>
          </w:tcPr>
          <w:p>
            <w:pPr>
              <w:spacing w:line="312" w:lineRule="auto"/>
              <w:rPr>
                <w:rFonts w:ascii="宋体" w:hAnsi="宋体" w:cs="宋体"/>
                <w:bCs/>
                <w:color w:val="000000"/>
                <w:sz w:val="24"/>
                <w:u w:val="single"/>
                <w:lang w:val="en-AU"/>
              </w:rPr>
            </w:pPr>
            <w:r>
              <w:rPr>
                <w:rFonts w:hint="eastAsia" w:ascii="宋体" w:hAnsi="宋体" w:cs="宋体"/>
                <w:bCs/>
                <w:color w:val="000000"/>
                <w:sz w:val="24"/>
                <w:lang w:val="en-AU"/>
              </w:rPr>
              <w:t>在安装施工前，提供符合电梯现场安装规范及安全标准要求的脚手架和辅助材料或安装移动平台及附件。</w:t>
            </w:r>
          </w:p>
        </w:tc>
        <w:tc>
          <w:tcPr>
            <w:tcW w:w="914" w:type="dxa"/>
            <w:vAlign w:val="center"/>
          </w:tcPr>
          <w:p>
            <w:pPr>
              <w:spacing w:line="312" w:lineRule="auto"/>
              <w:jc w:val="center"/>
              <w:rPr>
                <w:rFonts w:ascii="宋体" w:hAnsi="宋体" w:cs="宋体"/>
                <w:b/>
                <w:bCs/>
                <w:color w:val="000000"/>
                <w:sz w:val="24"/>
                <w:lang w:val="en-AU"/>
              </w:rPr>
            </w:pPr>
          </w:p>
        </w:tc>
        <w:tc>
          <w:tcPr>
            <w:tcW w:w="859"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19</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井道移交前需提供并安装机房高台爬梯及永久性护栏。</w:t>
            </w:r>
          </w:p>
        </w:tc>
        <w:tc>
          <w:tcPr>
            <w:tcW w:w="914"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c>
          <w:tcPr>
            <w:tcW w:w="859" w:type="dxa"/>
            <w:vAlign w:val="center"/>
          </w:tcPr>
          <w:p>
            <w:pPr>
              <w:spacing w:line="312" w:lineRule="auto"/>
              <w:jc w:val="center"/>
              <w:rPr>
                <w:rFonts w:ascii="宋体" w:hAnsi="宋体" w:cs="宋体"/>
                <w:b/>
                <w:bCs/>
                <w:color w:val="000000"/>
                <w:sz w:val="24"/>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312" w:lineRule="auto"/>
              <w:jc w:val="center"/>
              <w:rPr>
                <w:rFonts w:ascii="宋体" w:hAnsi="宋体" w:cs="宋体"/>
                <w:bCs/>
                <w:sz w:val="24"/>
                <w:lang w:val="en-AU"/>
              </w:rPr>
            </w:pPr>
            <w:r>
              <w:rPr>
                <w:rFonts w:hint="eastAsia" w:ascii="宋体" w:hAnsi="宋体" w:cs="宋体"/>
                <w:bCs/>
                <w:sz w:val="24"/>
                <w:lang w:val="en-AU"/>
              </w:rPr>
              <w:t>20</w:t>
            </w:r>
          </w:p>
        </w:tc>
        <w:tc>
          <w:tcPr>
            <w:tcW w:w="6953" w:type="dxa"/>
            <w:vAlign w:val="center"/>
          </w:tcPr>
          <w:p>
            <w:pPr>
              <w:spacing w:line="312" w:lineRule="auto"/>
              <w:rPr>
                <w:rFonts w:ascii="宋体" w:hAnsi="宋体" w:cs="宋体"/>
                <w:bCs/>
                <w:sz w:val="24"/>
                <w:lang w:val="en-AU"/>
              </w:rPr>
            </w:pPr>
            <w:r>
              <w:rPr>
                <w:rFonts w:hint="eastAsia" w:ascii="宋体" w:hAnsi="宋体" w:cs="宋体"/>
                <w:bCs/>
                <w:sz w:val="24"/>
                <w:lang w:val="en-AU"/>
              </w:rPr>
              <w:t>政府部门验收前需提供</w:t>
            </w:r>
            <w:r>
              <w:rPr>
                <w:rFonts w:hint="eastAsia" w:ascii="宋体" w:hAnsi="宋体" w:cs="宋体"/>
                <w:sz w:val="24"/>
              </w:rPr>
              <w:t>并敷设与</w:t>
            </w:r>
            <w:r>
              <w:rPr>
                <w:rFonts w:hint="eastAsia" w:ascii="宋体" w:hAnsi="宋体" w:cs="宋体"/>
                <w:bCs/>
                <w:sz w:val="24"/>
                <w:lang w:val="en-AU"/>
              </w:rPr>
              <w:t>通讯系统相匹配的从机房/控制柜到监控室的联线。</w:t>
            </w:r>
          </w:p>
        </w:tc>
        <w:tc>
          <w:tcPr>
            <w:tcW w:w="914"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c>
          <w:tcPr>
            <w:tcW w:w="859" w:type="dxa"/>
            <w:vAlign w:val="center"/>
          </w:tcPr>
          <w:p>
            <w:pPr>
              <w:spacing w:line="312" w:lineRule="auto"/>
              <w:jc w:val="center"/>
              <w:rPr>
                <w:rFonts w:ascii="宋体" w:hAnsi="宋体" w:cs="宋体"/>
                <w:b/>
                <w:bCs/>
                <w:color w:val="000000"/>
                <w:sz w:val="24"/>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21</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配备安装和调试工具、仪器仪表。</w:t>
            </w:r>
          </w:p>
        </w:tc>
        <w:tc>
          <w:tcPr>
            <w:tcW w:w="914" w:type="dxa"/>
            <w:vAlign w:val="center"/>
          </w:tcPr>
          <w:p>
            <w:pPr>
              <w:spacing w:line="312" w:lineRule="auto"/>
              <w:jc w:val="center"/>
              <w:rPr>
                <w:rFonts w:ascii="宋体" w:hAnsi="宋体" w:cs="宋体"/>
                <w:b/>
                <w:bCs/>
                <w:color w:val="000000"/>
                <w:sz w:val="24"/>
                <w:lang w:val="en-AU"/>
              </w:rPr>
            </w:pPr>
          </w:p>
        </w:tc>
        <w:tc>
          <w:tcPr>
            <w:tcW w:w="859"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312" w:lineRule="auto"/>
              <w:jc w:val="center"/>
              <w:rPr>
                <w:rFonts w:ascii="宋体" w:hAnsi="宋体" w:cs="宋体"/>
                <w:bCs/>
                <w:sz w:val="24"/>
                <w:lang w:val="en-AU"/>
              </w:rPr>
            </w:pPr>
            <w:r>
              <w:rPr>
                <w:rFonts w:hint="eastAsia" w:ascii="宋体" w:hAnsi="宋体" w:cs="宋体"/>
                <w:bCs/>
                <w:sz w:val="24"/>
                <w:lang w:val="en-AU"/>
              </w:rPr>
              <w:t>23</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配合甲方完成政府部门开工、监督检验申报工作。</w:t>
            </w:r>
          </w:p>
        </w:tc>
        <w:tc>
          <w:tcPr>
            <w:tcW w:w="914" w:type="dxa"/>
            <w:vAlign w:val="center"/>
          </w:tcPr>
          <w:p>
            <w:pPr>
              <w:spacing w:line="312" w:lineRule="auto"/>
              <w:jc w:val="center"/>
              <w:rPr>
                <w:rFonts w:ascii="宋体" w:hAnsi="宋体" w:cs="宋体"/>
                <w:b/>
                <w:bCs/>
                <w:color w:val="000000"/>
                <w:sz w:val="24"/>
                <w:lang w:val="en-AU"/>
              </w:rPr>
            </w:pPr>
          </w:p>
        </w:tc>
        <w:tc>
          <w:tcPr>
            <w:tcW w:w="859"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24</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设备调试结束，自检完成后协</w:t>
            </w:r>
            <w:bookmarkStart w:id="335" w:name="_GoBack"/>
            <w:bookmarkEnd w:id="335"/>
            <w:r>
              <w:rPr>
                <w:rFonts w:hint="eastAsia" w:ascii="宋体" w:hAnsi="宋体" w:cs="宋体"/>
                <w:bCs/>
                <w:color w:val="000000"/>
                <w:sz w:val="24"/>
                <w:lang w:val="en-AU"/>
              </w:rPr>
              <w:t>助甲方向当地政府部门办理特种设备使用许可及注册所需手续。</w:t>
            </w:r>
          </w:p>
        </w:tc>
        <w:tc>
          <w:tcPr>
            <w:tcW w:w="914" w:type="dxa"/>
            <w:vAlign w:val="center"/>
          </w:tcPr>
          <w:p>
            <w:pPr>
              <w:spacing w:line="312" w:lineRule="auto"/>
              <w:jc w:val="center"/>
              <w:rPr>
                <w:rFonts w:ascii="宋体" w:hAnsi="宋体" w:cs="宋体"/>
                <w:b/>
                <w:bCs/>
                <w:color w:val="000000"/>
                <w:sz w:val="24"/>
                <w:lang w:val="en-AU"/>
              </w:rPr>
            </w:pPr>
          </w:p>
        </w:tc>
        <w:tc>
          <w:tcPr>
            <w:tcW w:w="859"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312" w:lineRule="auto"/>
              <w:jc w:val="center"/>
              <w:rPr>
                <w:rFonts w:ascii="宋体" w:hAnsi="宋体" w:cs="宋体"/>
                <w:bCs/>
                <w:color w:val="000000"/>
                <w:sz w:val="24"/>
                <w:lang w:val="en-AU"/>
              </w:rPr>
            </w:pPr>
            <w:r>
              <w:rPr>
                <w:rFonts w:hint="eastAsia" w:ascii="宋体" w:hAnsi="宋体" w:cs="宋体"/>
                <w:bCs/>
                <w:color w:val="000000"/>
                <w:sz w:val="24"/>
                <w:lang w:val="en-AU"/>
              </w:rPr>
              <w:t>25</w:t>
            </w:r>
          </w:p>
        </w:tc>
        <w:tc>
          <w:tcPr>
            <w:tcW w:w="6953" w:type="dxa"/>
            <w:vAlign w:val="center"/>
          </w:tcPr>
          <w:p>
            <w:pPr>
              <w:spacing w:line="312" w:lineRule="auto"/>
              <w:rPr>
                <w:rFonts w:ascii="宋体" w:hAnsi="宋体" w:cs="宋体"/>
                <w:bCs/>
                <w:color w:val="000000"/>
                <w:sz w:val="24"/>
                <w:lang w:val="en-AU"/>
              </w:rPr>
            </w:pPr>
            <w:r>
              <w:rPr>
                <w:rFonts w:hint="eastAsia" w:ascii="宋体" w:hAnsi="宋体" w:cs="宋体"/>
                <w:bCs/>
                <w:color w:val="000000"/>
                <w:sz w:val="24"/>
                <w:lang w:val="en-AU"/>
              </w:rPr>
              <w:t>满足移条件后，向甲方移交乙方自检报告和由政府监督检验部门检验的合格证书等相关资料。</w:t>
            </w:r>
          </w:p>
        </w:tc>
        <w:tc>
          <w:tcPr>
            <w:tcW w:w="914" w:type="dxa"/>
            <w:vAlign w:val="center"/>
          </w:tcPr>
          <w:p>
            <w:pPr>
              <w:spacing w:line="312" w:lineRule="auto"/>
              <w:jc w:val="center"/>
              <w:rPr>
                <w:rFonts w:ascii="宋体" w:hAnsi="宋体" w:cs="宋体"/>
                <w:b/>
                <w:bCs/>
                <w:color w:val="000000"/>
                <w:sz w:val="24"/>
                <w:lang w:val="en-AU"/>
              </w:rPr>
            </w:pPr>
          </w:p>
        </w:tc>
        <w:tc>
          <w:tcPr>
            <w:tcW w:w="859" w:type="dxa"/>
            <w:vAlign w:val="center"/>
          </w:tcPr>
          <w:p>
            <w:pPr>
              <w:spacing w:line="312" w:lineRule="auto"/>
              <w:jc w:val="center"/>
              <w:rPr>
                <w:rFonts w:ascii="宋体" w:hAnsi="宋体" w:cs="宋体"/>
                <w:b/>
                <w:bCs/>
                <w:color w:val="000000"/>
                <w:sz w:val="24"/>
                <w:lang w:val="en-AU"/>
              </w:rPr>
            </w:pPr>
            <w:r>
              <w:rPr>
                <w:rFonts w:hint="eastAsia" w:ascii="宋体" w:hAnsi="宋体" w:cs="宋体"/>
                <w:b/>
                <w:bCs/>
                <w:color w:val="000000"/>
                <w:sz w:val="24"/>
                <w:lang w:val="en-AU"/>
              </w:rPr>
              <w:t>√</w:t>
            </w:r>
          </w:p>
        </w:tc>
      </w:tr>
    </w:tbl>
    <w:p>
      <w:pPr>
        <w:adjustRightInd w:val="0"/>
        <w:snapToGrid w:val="0"/>
        <w:spacing w:line="360" w:lineRule="auto"/>
        <w:rPr>
          <w:rFonts w:ascii="宋体" w:hAnsi="宋体"/>
          <w:sz w:val="24"/>
        </w:rPr>
      </w:pPr>
    </w:p>
    <w:p>
      <w:pPr>
        <w:spacing w:line="360" w:lineRule="auto"/>
        <w:rPr>
          <w:rFonts w:asciiTheme="minorEastAsia" w:hAnsiTheme="minorEastAsia" w:eastAsiaTheme="minorEastAsia" w:cstheme="minorEastAsia"/>
          <w:b/>
          <w:kern w:val="0"/>
          <w:sz w:val="24"/>
        </w:rPr>
      </w:pPr>
      <w:r>
        <w:rPr>
          <w:rFonts w:hint="eastAsia"/>
          <w:b/>
          <w:sz w:val="24"/>
        </w:rPr>
        <w:t>备注：1、</w:t>
      </w:r>
      <w:r>
        <w:rPr>
          <w:rFonts w:hint="eastAsia" w:asciiTheme="minorEastAsia" w:hAnsiTheme="minorEastAsia" w:eastAsiaTheme="minorEastAsia" w:cstheme="minorEastAsia"/>
          <w:b/>
          <w:kern w:val="0"/>
          <w:sz w:val="24"/>
        </w:rPr>
        <w:t xml:space="preserve"> “▲”号的品目表示核心产品</w:t>
      </w:r>
    </w:p>
    <w:p>
      <w:pPr>
        <w:spacing w:line="360" w:lineRule="auto"/>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      2、交货时间：合同签订后 30天内完成供货、安装、调试。</w:t>
      </w:r>
    </w:p>
    <w:p>
      <w:pPr>
        <w:spacing w:line="360" w:lineRule="auto"/>
        <w:rPr>
          <w:b/>
          <w:sz w:val="24"/>
        </w:rPr>
      </w:pPr>
      <w:r>
        <w:rPr>
          <w:rFonts w:hint="eastAsia" w:asciiTheme="minorEastAsia" w:hAnsiTheme="minorEastAsia" w:eastAsiaTheme="minorEastAsia" w:cstheme="minorEastAsia"/>
          <w:b/>
          <w:kern w:val="0"/>
          <w:sz w:val="24"/>
        </w:rPr>
        <w:t xml:space="preserve">      3、质保期：2年</w:t>
      </w:r>
    </w:p>
    <w:p>
      <w:pPr>
        <w:adjustRightInd w:val="0"/>
        <w:snapToGrid w:val="0"/>
        <w:spacing w:line="360" w:lineRule="auto"/>
        <w:rPr>
          <w:rFonts w:ascii="宋体" w:hAnsi="宋体"/>
          <w:sz w:val="24"/>
        </w:rPr>
      </w:pPr>
    </w:p>
    <w:p>
      <w:pPr>
        <w:adjustRightInd w:val="0"/>
        <w:snapToGrid w:val="0"/>
        <w:spacing w:line="360" w:lineRule="auto"/>
        <w:rPr>
          <w:rFonts w:ascii="宋体" w:hAnsi="宋体"/>
          <w:szCs w:val="21"/>
          <w:u w:val="single"/>
        </w:rPr>
        <w:sectPr>
          <w:pgSz w:w="11907" w:h="16840"/>
          <w:pgMar w:top="1560" w:right="1417" w:bottom="1089" w:left="1276" w:header="851" w:footer="1117" w:gutter="0"/>
          <w:cols w:space="720" w:num="1"/>
          <w:titlePg/>
          <w:docGrid w:linePitch="312" w:charSpace="0"/>
        </w:sectPr>
      </w:pPr>
    </w:p>
    <w:p>
      <w:pPr>
        <w:pStyle w:val="2"/>
        <w:spacing w:line="360" w:lineRule="auto"/>
      </w:pPr>
      <w:bookmarkStart w:id="154" w:name="_Toc6665549"/>
      <w:r>
        <w:rPr>
          <w:rFonts w:hint="eastAsia"/>
        </w:rPr>
        <w:t xml:space="preserve">第五章 </w:t>
      </w:r>
      <w:bookmarkEnd w:id="151"/>
      <w:r>
        <w:rPr>
          <w:rFonts w:hint="eastAsia"/>
        </w:rPr>
        <w:t>评标方法和评标标准</w:t>
      </w:r>
      <w:bookmarkEnd w:id="154"/>
    </w:p>
    <w:p>
      <w:pPr>
        <w:spacing w:line="360" w:lineRule="auto"/>
        <w:rPr>
          <w:rFonts w:ascii="宋体" w:hAnsi="宋体"/>
          <w:b/>
          <w:sz w:val="24"/>
        </w:rPr>
      </w:pPr>
      <w:r>
        <w:rPr>
          <w:rFonts w:hint="eastAsia" w:ascii="宋体" w:hAnsi="宋体"/>
          <w:b/>
          <w:sz w:val="24"/>
        </w:rPr>
        <w:t>一、投标文件资格册审查</w:t>
      </w:r>
    </w:p>
    <w:p>
      <w:pPr>
        <w:spacing w:line="360" w:lineRule="auto"/>
        <w:rPr>
          <w:rFonts w:ascii="宋体" w:hAnsi="宋体"/>
          <w:sz w:val="24"/>
        </w:rPr>
      </w:pPr>
      <w:r>
        <w:rPr>
          <w:rFonts w:hint="eastAsia" w:ascii="宋体" w:hAnsi="宋体"/>
          <w:sz w:val="24"/>
        </w:rPr>
        <w:t xml:space="preserve">项目名称： </w:t>
      </w:r>
      <w:r>
        <w:rPr>
          <w:rFonts w:ascii="宋体" w:hAnsi="宋体"/>
          <w:sz w:val="24"/>
        </w:rPr>
        <w:t xml:space="preserve">                 </w:t>
      </w:r>
      <w:r>
        <w:rPr>
          <w:rFonts w:hint="eastAsia" w:ascii="宋体" w:hAnsi="宋体"/>
          <w:sz w:val="24"/>
        </w:rPr>
        <w:t xml:space="preserve">项目代理编号：                           </w:t>
      </w:r>
    </w:p>
    <w:p>
      <w:pPr>
        <w:spacing w:line="360" w:lineRule="auto"/>
        <w:rPr>
          <w:rFonts w:ascii="宋体" w:hAnsi="宋体"/>
          <w:sz w:val="24"/>
        </w:rPr>
      </w:pPr>
      <w:r>
        <w:rPr>
          <w:rFonts w:hint="eastAsia" w:ascii="宋体" w:hAnsi="宋体"/>
          <w:sz w:val="24"/>
        </w:rPr>
        <w:t xml:space="preserve">评标地点： </w:t>
      </w:r>
      <w:r>
        <w:rPr>
          <w:rFonts w:ascii="宋体" w:hAnsi="宋体"/>
          <w:sz w:val="24"/>
        </w:rPr>
        <w:t xml:space="preserve">                 </w:t>
      </w:r>
      <w:r>
        <w:rPr>
          <w:rFonts w:hint="eastAsia" w:ascii="宋体" w:hAnsi="宋体"/>
          <w:sz w:val="24"/>
        </w:rPr>
        <w:t xml:space="preserve">评标日期：   </w:t>
      </w:r>
    </w:p>
    <w:tbl>
      <w:tblPr>
        <w:tblStyle w:val="48"/>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825"/>
        <w:gridCol w:w="952"/>
        <w:gridCol w:w="906"/>
        <w:gridCol w:w="964"/>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tcPr>
          <w:p>
            <w:pPr>
              <w:spacing w:line="360" w:lineRule="auto"/>
              <w:rPr>
                <w:rFonts w:asciiTheme="minorEastAsia" w:hAnsiTheme="minorEastAsia" w:eastAsiaTheme="minorEastAsia"/>
                <w:sz w:val="24"/>
              </w:rPr>
            </w:pPr>
          </w:p>
        </w:tc>
        <w:tc>
          <w:tcPr>
            <w:tcW w:w="4825"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评议内容</w:t>
            </w:r>
          </w:p>
        </w:tc>
        <w:tc>
          <w:tcPr>
            <w:tcW w:w="952"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X</w:t>
            </w:r>
            <w:r>
              <w:rPr>
                <w:rFonts w:asciiTheme="minorEastAsia" w:hAnsiTheme="minorEastAsia" w:eastAsiaTheme="minorEastAsia"/>
                <w:sz w:val="24"/>
              </w:rPr>
              <w:t>X</w:t>
            </w:r>
            <w:r>
              <w:rPr>
                <w:rFonts w:hint="eastAsia" w:asciiTheme="minorEastAsia" w:hAnsiTheme="minorEastAsia" w:eastAsiaTheme="minorEastAsia"/>
                <w:sz w:val="24"/>
              </w:rPr>
              <w:t>公司</w:t>
            </w:r>
          </w:p>
        </w:tc>
        <w:tc>
          <w:tcPr>
            <w:tcW w:w="906"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X</w:t>
            </w:r>
            <w:r>
              <w:rPr>
                <w:rFonts w:asciiTheme="minorEastAsia" w:hAnsiTheme="minorEastAsia" w:eastAsiaTheme="minorEastAsia"/>
                <w:sz w:val="24"/>
              </w:rPr>
              <w:t>X</w:t>
            </w:r>
            <w:r>
              <w:rPr>
                <w:rFonts w:hint="eastAsia" w:asciiTheme="minorEastAsia" w:hAnsiTheme="minorEastAsia" w:eastAsiaTheme="minorEastAsia"/>
                <w:sz w:val="24"/>
              </w:rPr>
              <w:t>公司</w:t>
            </w:r>
          </w:p>
        </w:tc>
        <w:tc>
          <w:tcPr>
            <w:tcW w:w="964"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X</w:t>
            </w:r>
            <w:r>
              <w:rPr>
                <w:rFonts w:asciiTheme="minorEastAsia" w:hAnsiTheme="minorEastAsia" w:eastAsiaTheme="minorEastAsia"/>
                <w:sz w:val="24"/>
              </w:rPr>
              <w:t>X</w:t>
            </w:r>
            <w:r>
              <w:rPr>
                <w:rFonts w:hint="eastAsia" w:asciiTheme="minorEastAsia" w:hAnsiTheme="minorEastAsia" w:eastAsiaTheme="minorEastAsia"/>
                <w:sz w:val="24"/>
              </w:rPr>
              <w:t>公司</w:t>
            </w:r>
          </w:p>
        </w:tc>
        <w:tc>
          <w:tcPr>
            <w:tcW w:w="894"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X</w:t>
            </w:r>
            <w:r>
              <w:rPr>
                <w:rFonts w:asciiTheme="minorEastAsia" w:hAnsiTheme="minorEastAsia" w:eastAsiaTheme="minorEastAsia"/>
                <w:sz w:val="24"/>
              </w:rPr>
              <w:t>X</w:t>
            </w:r>
            <w:r>
              <w:rPr>
                <w:rFonts w:hint="eastAsia" w:asciiTheme="minorEastAsia" w:hAnsiTheme="minorEastAsia" w:eastAsiaTheme="minorEastAsia"/>
                <w:sz w:val="24"/>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restart"/>
          </w:tcPr>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格</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性</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审</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查</w:t>
            </w:r>
          </w:p>
        </w:tc>
        <w:tc>
          <w:tcPr>
            <w:tcW w:w="4825"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三证合一的营业执照或事业单位法人证书复印件；投标人是自然人的，应提供其有效的自然身份证明复印件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注：①事业人单位提供《事业单位法人证书》、民办非企业单位提供《民办非企业单位登记证书》复印件。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②提供的复印件须加盖本单位公章。</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tcPr>
          <w:p>
            <w:pPr>
              <w:spacing w:line="360" w:lineRule="auto"/>
              <w:rPr>
                <w:rFonts w:asciiTheme="minorEastAsia" w:hAnsiTheme="minorEastAsia" w:eastAsiaTheme="minorEastAsia"/>
                <w:sz w:val="24"/>
              </w:rPr>
            </w:pPr>
          </w:p>
        </w:tc>
        <w:tc>
          <w:tcPr>
            <w:tcW w:w="4825"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本人参与投标的，需提供法定代表人身份证明及其身份证复印件（须加盖本单位公章）；非法定代表人参与投标的，需提供法定代表人授权委托书及其授权代表的身份证复印件（须加盖本单位公章）（格式见第七章）</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tcPr>
          <w:p>
            <w:pPr>
              <w:spacing w:line="360" w:lineRule="auto"/>
              <w:rPr>
                <w:rFonts w:asciiTheme="minorEastAsia" w:hAnsiTheme="minorEastAsia" w:eastAsiaTheme="minorEastAsia"/>
                <w:sz w:val="24"/>
              </w:rPr>
            </w:pPr>
          </w:p>
        </w:tc>
        <w:tc>
          <w:tcPr>
            <w:tcW w:w="4825"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提供经会计师事务所出具的2017年或2018年度财务审计报告（须包含资产负债表、利润表、现金流量表及财务报表附注）复印件（须加盖本单位公章）。如投标人无法提供2017年或2018年度的财务审计报告，则须提供银行出具的有效资信证明。</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说明：1、银行资信证明是指投标人参加本次投标截止日前一年内银行出具的资信证明（成立一年内的公司可提交验资证明复印件并加盖投标人公章）,且无收受人和项目的限制，但开具银行有限制规定的除外；</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2、银行资信证明可以是复印件(须加盖投标人公章)，评标委员会保留审核原件的权利；银行资信证明的开具银行明确规定复印无效的，须提交原件；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3、银行资信证明的开具银行明确规定背面有声明的，须提供资信证明背面复印件；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4、银行资信证明应能说明该投标人与银行之间业务往来正常，企业信誉良好等；</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5、银行出具的存款证明不能替代银行资信证明，存款证明无效。</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tcPr>
          <w:p>
            <w:pPr>
              <w:spacing w:line="360" w:lineRule="auto"/>
              <w:rPr>
                <w:rFonts w:asciiTheme="minorEastAsia" w:hAnsiTheme="minorEastAsia" w:eastAsiaTheme="minorEastAsia"/>
                <w:sz w:val="24"/>
              </w:rPr>
            </w:pPr>
          </w:p>
        </w:tc>
        <w:tc>
          <w:tcPr>
            <w:tcW w:w="4825"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有依法缴纳社会保障资金的良好记录（投标人逐月交纳社会保障资金的，须提供参加本次政府采购活动近三个月由银行出具的社会保障资金缴费凭证复印件（须加盖本单位公章）；投标人逐年缴纳社会保障资金的，须提供参加本次政府采购活动上年度由银行出具的社会保障资金缴费凭证复印件（须加盖本单位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注：依法不需要缴纳社会保障资金的投标人，须提供相应文件证明。</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tcPr>
          <w:p>
            <w:pPr>
              <w:spacing w:line="360" w:lineRule="auto"/>
              <w:rPr>
                <w:rFonts w:asciiTheme="minorEastAsia" w:hAnsiTheme="minorEastAsia" w:eastAsiaTheme="minorEastAsia"/>
                <w:sz w:val="24"/>
              </w:rPr>
            </w:pPr>
          </w:p>
        </w:tc>
        <w:tc>
          <w:tcPr>
            <w:tcW w:w="4825"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有依法缴纳税收的良好记录（投标人提供参加本次政府采购活动近三个月由银行出具的缴纳凭证复印件（须加盖本单位公章）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注：依法免税或零报税的投标人，须提供相应文件证明。</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tcPr>
          <w:p>
            <w:pPr>
              <w:spacing w:line="360" w:lineRule="auto"/>
              <w:rPr>
                <w:rFonts w:asciiTheme="minorEastAsia" w:hAnsiTheme="minorEastAsia" w:eastAsiaTheme="minorEastAsia"/>
                <w:sz w:val="24"/>
              </w:rPr>
            </w:pPr>
          </w:p>
        </w:tc>
        <w:tc>
          <w:tcPr>
            <w:tcW w:w="4825"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参加本次政府采购活动前三年内，在经营活动中没有重大违法记录的声明（投标人须提供此声明，法定代表人或其授权代表签字，并加盖本单位公章）</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tcPr>
          <w:p>
            <w:pPr>
              <w:spacing w:line="360" w:lineRule="auto"/>
              <w:rPr>
                <w:rFonts w:asciiTheme="minorEastAsia" w:hAnsiTheme="minorEastAsia" w:eastAsiaTheme="minorEastAsia"/>
                <w:sz w:val="24"/>
              </w:rPr>
            </w:pPr>
          </w:p>
        </w:tc>
        <w:tc>
          <w:tcPr>
            <w:tcW w:w="4825"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制造商须具备国家质量监督检验检疫总局颁发的《中华人民共和国特种设备制造许可证》自动扶梯C级（含）以上资质复印件（须加盖本单位公章）；代理商需具备国家质量监督检验检疫总局颁发的《中华人民共和国特种设备安装改造维修许可证》（安装、维修）电梯C级(含)以上资质复印件（须加盖本单位公章）。</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tcPr>
          <w:p>
            <w:pPr>
              <w:spacing w:line="360" w:lineRule="auto"/>
              <w:rPr>
                <w:rFonts w:asciiTheme="minorEastAsia" w:hAnsiTheme="minorEastAsia" w:eastAsiaTheme="minorEastAsia"/>
                <w:sz w:val="24"/>
              </w:rPr>
            </w:pPr>
          </w:p>
        </w:tc>
        <w:tc>
          <w:tcPr>
            <w:tcW w:w="4825" w:type="dxa"/>
            <w:vAlign w:val="center"/>
          </w:tcPr>
          <w:p>
            <w:pPr>
              <w:spacing w:line="360" w:lineRule="auto"/>
              <w:rPr>
                <w:rFonts w:ascii="宋体" w:hAnsi="宋体"/>
                <w:sz w:val="24"/>
              </w:rPr>
            </w:pPr>
            <w:r>
              <w:rPr>
                <w:rFonts w:hint="eastAsia" w:ascii="宋体" w:hAnsi="宋体" w:cs="宋体"/>
                <w:kern w:val="0"/>
                <w:sz w:val="24"/>
              </w:rPr>
              <w:t>投标人须提供前三年内（2016年4月1日至投标文件递交截止之日前）未被列入“信用中国”网站（网站（www.creditchina.gov.cn）、中国）、中国政府采购网（购网（www.ccgp.gov.cn）信用记）信用记录失信被执行人、重大税收违法案件当事人名单、政府采购严重违法失信行为记录名单，打印查询结果页面并加盖本单位公章。</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tcPr>
          <w:p>
            <w:pPr>
              <w:spacing w:line="360" w:lineRule="auto"/>
              <w:rPr>
                <w:rFonts w:asciiTheme="minorEastAsia" w:hAnsiTheme="minorEastAsia" w:eastAsiaTheme="minorEastAsia"/>
                <w:sz w:val="24"/>
              </w:rPr>
            </w:pPr>
          </w:p>
        </w:tc>
        <w:tc>
          <w:tcPr>
            <w:tcW w:w="4825" w:type="dxa"/>
            <w:vAlign w:val="center"/>
          </w:tcPr>
          <w:p>
            <w:pPr>
              <w:spacing w:line="360" w:lineRule="auto"/>
              <w:rPr>
                <w:rFonts w:ascii="宋体" w:hAnsi="宋体" w:cs="宋体"/>
                <w:kern w:val="0"/>
                <w:sz w:val="24"/>
              </w:rPr>
            </w:pPr>
            <w:r>
              <w:rPr>
                <w:rFonts w:hint="eastAsia" w:ascii="宋体" w:hAnsi="宋体" w:cs="宋体"/>
                <w:kern w:val="0"/>
                <w:sz w:val="24"/>
              </w:rPr>
              <w:t>投标人须承诺不同投标人的法人、单位负责人不是同一人也不存在直接控股、管理关系，须加盖本单位公章（格式自拟）</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tcPr>
          <w:p>
            <w:pPr>
              <w:spacing w:line="360" w:lineRule="auto"/>
              <w:rPr>
                <w:rFonts w:asciiTheme="minorEastAsia" w:hAnsiTheme="minorEastAsia" w:eastAsiaTheme="minorEastAsia"/>
                <w:sz w:val="24"/>
              </w:rPr>
            </w:pPr>
          </w:p>
        </w:tc>
        <w:tc>
          <w:tcPr>
            <w:tcW w:w="4825" w:type="dxa"/>
            <w:vAlign w:val="center"/>
          </w:tcPr>
          <w:p>
            <w:pPr>
              <w:spacing w:line="360" w:lineRule="auto"/>
              <w:rPr>
                <w:rFonts w:ascii="宋体" w:hAnsi="宋体"/>
                <w:sz w:val="24"/>
              </w:rPr>
            </w:pPr>
            <w:r>
              <w:rPr>
                <w:rFonts w:hint="eastAsia" w:ascii="宋体" w:hAnsi="宋体" w:cs="宋体"/>
                <w:kern w:val="0"/>
                <w:sz w:val="24"/>
              </w:rPr>
              <w:t>投标人须承诺已向采购代理机构购买招标文件并登记备案，须加盖本单位公章（格式自拟）</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1" w:type="dxa"/>
            <w:gridSpan w:val="2"/>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 xml:space="preserve">结 </w:t>
            </w:r>
            <w:r>
              <w:rPr>
                <w:rFonts w:asciiTheme="minorEastAsia" w:hAnsiTheme="minorEastAsia" w:eastAsiaTheme="minorEastAsia"/>
                <w:sz w:val="24"/>
              </w:rPr>
              <w:t xml:space="preserve">    </w:t>
            </w:r>
            <w:r>
              <w:rPr>
                <w:rFonts w:hint="eastAsia" w:asciiTheme="minorEastAsia" w:hAnsiTheme="minorEastAsia" w:eastAsiaTheme="minorEastAsia"/>
                <w:sz w:val="24"/>
              </w:rPr>
              <w:t>论（合格/不合格）</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bl>
    <w:p>
      <w:pPr>
        <w:spacing w:line="360" w:lineRule="auto"/>
        <w:rPr>
          <w:rFonts w:ascii="宋体" w:hAnsi="宋体"/>
          <w:sz w:val="24"/>
        </w:rPr>
      </w:pPr>
      <w:r>
        <w:rPr>
          <w:rFonts w:hint="eastAsia" w:ascii="宋体" w:hAnsi="宋体"/>
          <w:sz w:val="24"/>
        </w:rPr>
        <w:t>采购代理机构签字：</w:t>
      </w:r>
    </w:p>
    <w:p>
      <w:pPr>
        <w:autoSpaceDE w:val="0"/>
        <w:autoSpaceDN w:val="0"/>
        <w:adjustRightInd w:val="0"/>
        <w:spacing w:line="360" w:lineRule="auto"/>
        <w:jc w:val="left"/>
        <w:rPr>
          <w:rFonts w:ascii="宋体" w:hAnsi="宋体" w:cs="仿宋_GB2312"/>
          <w:b/>
          <w:color w:val="000000"/>
          <w:kern w:val="0"/>
          <w:sz w:val="24"/>
        </w:rPr>
      </w:pPr>
      <w:r>
        <w:rPr>
          <w:rFonts w:hint="eastAsia" w:ascii="宋体" w:hAnsi="宋体" w:cs="仿宋_GB2312"/>
          <w:b/>
          <w:color w:val="000000"/>
          <w:kern w:val="0"/>
          <w:sz w:val="24"/>
        </w:rPr>
        <w:t>注：</w:t>
      </w:r>
      <w:r>
        <w:rPr>
          <w:rFonts w:ascii="宋体" w:hAnsi="宋体"/>
          <w:b/>
          <w:bCs/>
          <w:color w:val="000000"/>
          <w:kern w:val="0"/>
          <w:sz w:val="24"/>
        </w:rPr>
        <w:t>1</w:t>
      </w:r>
      <w:r>
        <w:rPr>
          <w:rFonts w:hint="eastAsia" w:ascii="宋体" w:hAnsi="宋体" w:cs="仿宋_GB2312"/>
          <w:b/>
          <w:color w:val="000000"/>
          <w:kern w:val="0"/>
          <w:sz w:val="24"/>
        </w:rPr>
        <w:t>、投标人资格审查均以投标人在资格册所提供的证明材料为准。若投标人未按要求提交证明材料，所造成的后果由投标人自行承担；</w:t>
      </w:r>
      <w:r>
        <w:rPr>
          <w:rFonts w:ascii="宋体" w:hAnsi="宋体" w:cs="仿宋_GB2312"/>
          <w:b/>
          <w:color w:val="000000"/>
          <w:kern w:val="0"/>
          <w:sz w:val="24"/>
        </w:rPr>
        <w:t xml:space="preserve"> </w:t>
      </w:r>
    </w:p>
    <w:p>
      <w:pPr>
        <w:ind w:firstLine="482" w:firstLineChars="200"/>
      </w:pPr>
      <w:r>
        <w:rPr>
          <w:rFonts w:ascii="宋体" w:hAnsi="宋体"/>
          <w:b/>
          <w:bCs/>
          <w:color w:val="000000"/>
          <w:kern w:val="0"/>
          <w:sz w:val="24"/>
        </w:rPr>
        <w:t>2</w:t>
      </w:r>
      <w:r>
        <w:rPr>
          <w:rFonts w:hint="eastAsia" w:ascii="宋体" w:hAnsi="宋体" w:cs="仿宋_GB2312"/>
          <w:b/>
          <w:color w:val="000000"/>
          <w:kern w:val="0"/>
          <w:sz w:val="24"/>
        </w:rPr>
        <w:t>、审查内容具体要求及格式详见第七章附件。</w:t>
      </w:r>
      <w:r>
        <w:rPr>
          <w:rFonts w:ascii="宋体" w:hAnsi="宋体"/>
          <w:b/>
          <w:sz w:val="24"/>
        </w:rPr>
        <w:br w:type="page"/>
      </w:r>
    </w:p>
    <w:p>
      <w:pPr>
        <w:spacing w:line="360" w:lineRule="auto"/>
        <w:rPr>
          <w:rFonts w:ascii="宋体" w:hAnsi="宋体"/>
          <w:b/>
          <w:sz w:val="24"/>
        </w:rPr>
      </w:pPr>
      <w:r>
        <w:rPr>
          <w:rFonts w:hint="eastAsia" w:ascii="宋体" w:hAnsi="宋体"/>
          <w:b/>
          <w:sz w:val="24"/>
        </w:rPr>
        <w:t>二、投标文件</w:t>
      </w:r>
      <w:r>
        <w:rPr>
          <w:rFonts w:hint="eastAsia" w:asciiTheme="minorEastAsia" w:hAnsiTheme="minorEastAsia" w:eastAsiaTheme="minorEastAsia"/>
          <w:b/>
          <w:bCs/>
          <w:sz w:val="24"/>
        </w:rPr>
        <w:t>商务技术册</w:t>
      </w:r>
      <w:r>
        <w:rPr>
          <w:rFonts w:hint="eastAsia" w:ascii="宋体" w:hAnsi="宋体"/>
          <w:b/>
          <w:bCs/>
          <w:sz w:val="24"/>
        </w:rPr>
        <w:t>审查</w:t>
      </w:r>
    </w:p>
    <w:p>
      <w:pPr>
        <w:spacing w:line="360" w:lineRule="auto"/>
        <w:rPr>
          <w:rFonts w:ascii="宋体" w:hAnsi="宋体"/>
          <w:sz w:val="24"/>
        </w:rPr>
      </w:pPr>
      <w:r>
        <w:rPr>
          <w:rFonts w:hint="eastAsia" w:ascii="宋体" w:hAnsi="宋体"/>
          <w:sz w:val="24"/>
        </w:rPr>
        <w:t xml:space="preserve">项目名称： </w:t>
      </w:r>
      <w:r>
        <w:rPr>
          <w:rFonts w:ascii="宋体" w:hAnsi="宋体"/>
          <w:sz w:val="24"/>
        </w:rPr>
        <w:t xml:space="preserve">                 </w:t>
      </w:r>
      <w:r>
        <w:rPr>
          <w:rFonts w:hint="eastAsia" w:ascii="宋体" w:hAnsi="宋体"/>
          <w:sz w:val="24"/>
        </w:rPr>
        <w:t xml:space="preserve">项目代理编号：                         </w:t>
      </w:r>
    </w:p>
    <w:p>
      <w:pPr>
        <w:spacing w:line="360" w:lineRule="auto"/>
        <w:rPr>
          <w:rFonts w:ascii="宋体" w:hAnsi="宋体"/>
          <w:sz w:val="24"/>
        </w:rPr>
      </w:pPr>
      <w:r>
        <w:rPr>
          <w:rFonts w:hint="eastAsia" w:ascii="宋体" w:hAnsi="宋体"/>
          <w:sz w:val="24"/>
        </w:rPr>
        <w:t xml:space="preserve">评标地点： </w:t>
      </w:r>
      <w:r>
        <w:rPr>
          <w:rFonts w:ascii="宋体" w:hAnsi="宋体"/>
          <w:sz w:val="24"/>
        </w:rPr>
        <w:t xml:space="preserve">                 </w:t>
      </w:r>
      <w:r>
        <w:rPr>
          <w:rFonts w:hint="eastAsia" w:ascii="宋体" w:hAnsi="宋体"/>
          <w:sz w:val="24"/>
        </w:rPr>
        <w:t>评标日期：</w:t>
      </w:r>
    </w:p>
    <w:tbl>
      <w:tblPr>
        <w:tblStyle w:val="48"/>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045"/>
        <w:gridCol w:w="952"/>
        <w:gridCol w:w="906"/>
        <w:gridCol w:w="964"/>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Pr>
          <w:p>
            <w:pPr>
              <w:spacing w:line="360" w:lineRule="auto"/>
              <w:rPr>
                <w:rFonts w:asciiTheme="minorEastAsia" w:hAnsiTheme="minorEastAsia" w:eastAsiaTheme="minorEastAsia"/>
                <w:sz w:val="24"/>
              </w:rPr>
            </w:pPr>
          </w:p>
        </w:tc>
        <w:tc>
          <w:tcPr>
            <w:tcW w:w="4045"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评议内容</w:t>
            </w:r>
          </w:p>
        </w:tc>
        <w:tc>
          <w:tcPr>
            <w:tcW w:w="952"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X</w:t>
            </w:r>
            <w:r>
              <w:rPr>
                <w:rFonts w:asciiTheme="minorEastAsia" w:hAnsiTheme="minorEastAsia" w:eastAsiaTheme="minorEastAsia"/>
                <w:sz w:val="24"/>
              </w:rPr>
              <w:t>X</w:t>
            </w:r>
            <w:r>
              <w:rPr>
                <w:rFonts w:hint="eastAsia" w:asciiTheme="minorEastAsia" w:hAnsiTheme="minorEastAsia" w:eastAsiaTheme="minorEastAsia"/>
                <w:sz w:val="24"/>
              </w:rPr>
              <w:t>公司</w:t>
            </w:r>
          </w:p>
        </w:tc>
        <w:tc>
          <w:tcPr>
            <w:tcW w:w="906"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X</w:t>
            </w:r>
            <w:r>
              <w:rPr>
                <w:rFonts w:asciiTheme="minorEastAsia" w:hAnsiTheme="minorEastAsia" w:eastAsiaTheme="minorEastAsia"/>
                <w:sz w:val="24"/>
              </w:rPr>
              <w:t>X</w:t>
            </w:r>
            <w:r>
              <w:rPr>
                <w:rFonts w:hint="eastAsia" w:asciiTheme="minorEastAsia" w:hAnsiTheme="minorEastAsia" w:eastAsiaTheme="minorEastAsia"/>
                <w:sz w:val="24"/>
              </w:rPr>
              <w:t>公司</w:t>
            </w:r>
          </w:p>
        </w:tc>
        <w:tc>
          <w:tcPr>
            <w:tcW w:w="964"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X</w:t>
            </w:r>
            <w:r>
              <w:rPr>
                <w:rFonts w:asciiTheme="minorEastAsia" w:hAnsiTheme="minorEastAsia" w:eastAsiaTheme="minorEastAsia"/>
                <w:sz w:val="24"/>
              </w:rPr>
              <w:t>X</w:t>
            </w:r>
            <w:r>
              <w:rPr>
                <w:rFonts w:hint="eastAsia" w:asciiTheme="minorEastAsia" w:hAnsiTheme="minorEastAsia" w:eastAsiaTheme="minorEastAsia"/>
                <w:sz w:val="24"/>
              </w:rPr>
              <w:t>公司</w:t>
            </w:r>
          </w:p>
        </w:tc>
        <w:tc>
          <w:tcPr>
            <w:tcW w:w="894"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X</w:t>
            </w:r>
            <w:r>
              <w:rPr>
                <w:rFonts w:asciiTheme="minorEastAsia" w:hAnsiTheme="minorEastAsia" w:eastAsiaTheme="minorEastAsia"/>
                <w:sz w:val="24"/>
              </w:rPr>
              <w:t>X</w:t>
            </w:r>
            <w:r>
              <w:rPr>
                <w:rFonts w:hint="eastAsia" w:asciiTheme="minorEastAsia" w:hAnsiTheme="minorEastAsia" w:eastAsiaTheme="minorEastAsia"/>
                <w:sz w:val="24"/>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restart"/>
          </w:tcPr>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符合性审查</w:t>
            </w:r>
          </w:p>
        </w:tc>
        <w:tc>
          <w:tcPr>
            <w:tcW w:w="4045"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投标报价是否超预算</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tcPr>
          <w:p>
            <w:pPr>
              <w:spacing w:line="360" w:lineRule="auto"/>
              <w:rPr>
                <w:rFonts w:asciiTheme="minorEastAsia" w:hAnsiTheme="minorEastAsia" w:eastAsiaTheme="minorEastAsia"/>
                <w:sz w:val="24"/>
              </w:rPr>
            </w:pPr>
          </w:p>
        </w:tc>
        <w:tc>
          <w:tcPr>
            <w:tcW w:w="4045"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文件密封、签署、盖章</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tcPr>
          <w:p>
            <w:pPr>
              <w:spacing w:line="360" w:lineRule="auto"/>
              <w:rPr>
                <w:rFonts w:asciiTheme="minorEastAsia" w:hAnsiTheme="minorEastAsia" w:eastAsiaTheme="minorEastAsia"/>
                <w:sz w:val="24"/>
              </w:rPr>
            </w:pPr>
          </w:p>
        </w:tc>
        <w:tc>
          <w:tcPr>
            <w:tcW w:w="4045"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文件完整性、有效性</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tcPr>
          <w:p>
            <w:pPr>
              <w:spacing w:line="360" w:lineRule="auto"/>
              <w:rPr>
                <w:rFonts w:asciiTheme="minorEastAsia" w:hAnsiTheme="minorEastAsia" w:eastAsiaTheme="minorEastAsia"/>
                <w:sz w:val="24"/>
              </w:rPr>
            </w:pPr>
          </w:p>
        </w:tc>
        <w:tc>
          <w:tcPr>
            <w:tcW w:w="4045"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投标有效期</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tcPr>
          <w:p>
            <w:pPr>
              <w:spacing w:line="360" w:lineRule="auto"/>
              <w:rPr>
                <w:rFonts w:asciiTheme="minorEastAsia" w:hAnsiTheme="minorEastAsia" w:eastAsiaTheme="minorEastAsia"/>
                <w:sz w:val="24"/>
              </w:rPr>
            </w:pPr>
          </w:p>
        </w:tc>
        <w:tc>
          <w:tcPr>
            <w:tcW w:w="4045"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投标保证金</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tcPr>
          <w:p>
            <w:pPr>
              <w:spacing w:line="360" w:lineRule="auto"/>
              <w:rPr>
                <w:rFonts w:asciiTheme="minorEastAsia" w:hAnsiTheme="minorEastAsia" w:eastAsiaTheme="minorEastAsia"/>
                <w:sz w:val="24"/>
              </w:rPr>
            </w:pPr>
          </w:p>
        </w:tc>
        <w:tc>
          <w:tcPr>
            <w:tcW w:w="4045"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是否对招标文件进行了实质性响应</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tcPr>
          <w:p>
            <w:pPr>
              <w:spacing w:line="360" w:lineRule="auto"/>
              <w:rPr>
                <w:rFonts w:asciiTheme="minorEastAsia" w:hAnsiTheme="minorEastAsia" w:eastAsiaTheme="minorEastAsia"/>
                <w:sz w:val="24"/>
              </w:rPr>
            </w:pPr>
          </w:p>
        </w:tc>
        <w:tc>
          <w:tcPr>
            <w:tcW w:w="4045"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其他商务条款</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1" w:type="dxa"/>
            <w:gridSpan w:val="2"/>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 xml:space="preserve">结 </w:t>
            </w:r>
            <w:r>
              <w:rPr>
                <w:rFonts w:asciiTheme="minorEastAsia" w:hAnsiTheme="minorEastAsia" w:eastAsiaTheme="minorEastAsia"/>
                <w:sz w:val="24"/>
              </w:rPr>
              <w:t xml:space="preserve">    </w:t>
            </w:r>
            <w:r>
              <w:rPr>
                <w:rFonts w:hint="eastAsia" w:asciiTheme="minorEastAsia" w:hAnsiTheme="minorEastAsia" w:eastAsiaTheme="minorEastAsia"/>
                <w:sz w:val="24"/>
              </w:rPr>
              <w:t>论（合格/不合格）</w:t>
            </w:r>
          </w:p>
        </w:tc>
        <w:tc>
          <w:tcPr>
            <w:tcW w:w="952" w:type="dxa"/>
          </w:tcPr>
          <w:p>
            <w:pPr>
              <w:spacing w:line="360" w:lineRule="auto"/>
              <w:rPr>
                <w:rFonts w:asciiTheme="minorEastAsia" w:hAnsiTheme="minorEastAsia" w:eastAsiaTheme="minorEastAsia"/>
                <w:sz w:val="24"/>
              </w:rPr>
            </w:pPr>
          </w:p>
        </w:tc>
        <w:tc>
          <w:tcPr>
            <w:tcW w:w="906" w:type="dxa"/>
          </w:tcPr>
          <w:p>
            <w:pPr>
              <w:spacing w:line="360" w:lineRule="auto"/>
              <w:rPr>
                <w:rFonts w:asciiTheme="minorEastAsia" w:hAnsiTheme="minorEastAsia" w:eastAsiaTheme="minorEastAsia"/>
                <w:sz w:val="24"/>
              </w:rPr>
            </w:pPr>
          </w:p>
        </w:tc>
        <w:tc>
          <w:tcPr>
            <w:tcW w:w="964" w:type="dxa"/>
          </w:tcPr>
          <w:p>
            <w:pPr>
              <w:spacing w:line="360" w:lineRule="auto"/>
              <w:rPr>
                <w:rFonts w:asciiTheme="minorEastAsia" w:hAnsiTheme="minorEastAsia" w:eastAsiaTheme="minorEastAsia"/>
                <w:sz w:val="24"/>
              </w:rPr>
            </w:pPr>
          </w:p>
        </w:tc>
        <w:tc>
          <w:tcPr>
            <w:tcW w:w="894" w:type="dxa"/>
          </w:tcPr>
          <w:p>
            <w:pPr>
              <w:spacing w:line="360" w:lineRule="auto"/>
              <w:rPr>
                <w:rFonts w:asciiTheme="minorEastAsia" w:hAnsiTheme="minorEastAsia" w:eastAsiaTheme="minorEastAsia"/>
                <w:sz w:val="24"/>
              </w:rPr>
            </w:pPr>
          </w:p>
        </w:tc>
      </w:tr>
    </w:tbl>
    <w:p>
      <w:pPr>
        <w:spacing w:line="360" w:lineRule="auto"/>
        <w:rPr>
          <w:rFonts w:ascii="宋体" w:hAnsi="宋体"/>
          <w:sz w:val="24"/>
        </w:rPr>
      </w:pPr>
      <w:r>
        <w:rPr>
          <w:rFonts w:hint="eastAsia" w:ascii="宋体" w:hAnsi="宋体"/>
          <w:sz w:val="24"/>
        </w:rPr>
        <w:t>评标委员会签字：</w:t>
      </w:r>
    </w:p>
    <w:p>
      <w:pPr>
        <w:spacing w:line="360" w:lineRule="auto"/>
        <w:rPr>
          <w:rFonts w:ascii="宋体" w:hAnsi="宋体"/>
          <w:b/>
          <w:sz w:val="24"/>
        </w:rPr>
      </w:pPr>
    </w:p>
    <w:p>
      <w:pPr>
        <w:widowControl/>
        <w:jc w:val="left"/>
        <w:rPr>
          <w:rFonts w:ascii="宋体" w:hAnsi="宋体"/>
          <w:b/>
          <w:sz w:val="24"/>
        </w:rPr>
      </w:pPr>
      <w:r>
        <w:rPr>
          <w:rFonts w:ascii="宋体" w:hAnsi="宋体"/>
          <w:b/>
          <w:sz w:val="24"/>
        </w:rPr>
        <w:br w:type="page"/>
      </w:r>
    </w:p>
    <w:p>
      <w:pPr>
        <w:spacing w:line="360" w:lineRule="auto"/>
        <w:rPr>
          <w:rFonts w:ascii="宋体" w:hAnsi="宋体"/>
          <w:b/>
          <w:sz w:val="24"/>
        </w:rPr>
      </w:pPr>
      <w:r>
        <w:rPr>
          <w:rFonts w:hint="eastAsia" w:ascii="宋体" w:hAnsi="宋体"/>
          <w:b/>
          <w:sz w:val="24"/>
        </w:rPr>
        <w:t>三、评标方法</w:t>
      </w:r>
    </w:p>
    <w:p>
      <w:pPr>
        <w:spacing w:line="360" w:lineRule="auto"/>
        <w:rPr>
          <w:rFonts w:ascii="宋体" w:hAnsi="宋体"/>
          <w:sz w:val="24"/>
        </w:rPr>
      </w:pPr>
      <w:r>
        <w:rPr>
          <w:rFonts w:hint="eastAsia" w:ascii="宋体" w:hAnsi="宋体"/>
          <w:sz w:val="24"/>
        </w:rPr>
        <w:t>（一）综合评分法，是指投标文件满足招标文件全部实质性要求，且按照评审因素的量化指标评审得分最高的投标人为中标候选人的评标方法。</w:t>
      </w:r>
    </w:p>
    <w:p>
      <w:pPr>
        <w:spacing w:line="360" w:lineRule="auto"/>
        <w:rPr>
          <w:rFonts w:ascii="宋体" w:hAnsi="宋体"/>
          <w:sz w:val="24"/>
        </w:rPr>
      </w:pPr>
      <w:r>
        <w:rPr>
          <w:rFonts w:hint="eastAsia" w:ascii="宋体" w:hAnsi="宋体"/>
          <w:sz w:val="24"/>
        </w:rPr>
        <w:t>（二）评审因素的设定应当与投标人所提供货物服务的质量相关，包括投标报价、技术或者服务水平、履约能力、售后服务等。资格条件不得作为评审因素。评审因素应当在招标文件中规定。</w:t>
      </w:r>
    </w:p>
    <w:p>
      <w:pPr>
        <w:spacing w:line="360" w:lineRule="auto"/>
        <w:rPr>
          <w:rFonts w:ascii="宋体" w:hAnsi="宋体"/>
          <w:sz w:val="24"/>
        </w:rPr>
      </w:pPr>
      <w:r>
        <w:rPr>
          <w:rFonts w:hint="eastAsia" w:ascii="宋体" w:hAnsi="宋体"/>
          <w:sz w:val="24"/>
        </w:rPr>
        <w:t>（三）评审因素应当细化和量化，且与相应的商务条件和采购需求对应。商务条件和采购需求指标有区间规定的，评审因素应当量化到相应区间，并设置各区间对应的不同分值。</w:t>
      </w:r>
    </w:p>
    <w:p>
      <w:pPr>
        <w:spacing w:line="360" w:lineRule="auto"/>
        <w:rPr>
          <w:rFonts w:ascii="宋体" w:hAnsi="宋体"/>
          <w:sz w:val="24"/>
        </w:rPr>
      </w:pPr>
      <w:r>
        <w:rPr>
          <w:rFonts w:hint="eastAsia" w:ascii="宋体" w:hAnsi="宋体"/>
          <w:sz w:val="24"/>
        </w:rPr>
        <w:t>（四）评标时，评标委员会各成员应当独立对每个投标人的投标文件进行评价，并汇总每个投标人的得分。</w:t>
      </w:r>
    </w:p>
    <w:p>
      <w:pPr>
        <w:spacing w:line="360" w:lineRule="auto"/>
        <w:rPr>
          <w:rFonts w:ascii="宋体" w:hAnsi="宋体"/>
          <w:sz w:val="24"/>
        </w:rPr>
      </w:pPr>
      <w:r>
        <w:rPr>
          <w:rFonts w:hint="eastAsia" w:ascii="宋体" w:hAnsi="宋体"/>
          <w:sz w:val="24"/>
        </w:rPr>
        <w:t>（五）货物项目的价格分值占总分值的比重不得低于30%；服务项目的价格分值占总分值的比重不得低于10%。执行国家统一定价标准和采用固定价格采购的项目，其价格不列为评审因素。</w:t>
      </w:r>
    </w:p>
    <w:p>
      <w:pPr>
        <w:spacing w:line="360" w:lineRule="auto"/>
        <w:rPr>
          <w:rFonts w:ascii="宋体" w:hAnsi="宋体"/>
          <w:sz w:val="24"/>
        </w:rPr>
      </w:pPr>
      <w:r>
        <w:rPr>
          <w:rFonts w:hint="eastAsia" w:ascii="宋体" w:hAnsi="宋体"/>
          <w:sz w:val="24"/>
        </w:rPr>
        <w:t>（六）价格分应当采用低价优先法计算，即满足招标文件要求且投标价格最低的投标报价为评标基准价，其价格分为满分。其他投标人的价格分统一按照下列公式计算：</w:t>
      </w:r>
    </w:p>
    <w:p>
      <w:pPr>
        <w:spacing w:line="360" w:lineRule="auto"/>
        <w:rPr>
          <w:rFonts w:ascii="宋体" w:hAnsi="宋体"/>
          <w:sz w:val="24"/>
        </w:rPr>
      </w:pPr>
      <w:r>
        <w:rPr>
          <w:rFonts w:hint="eastAsia" w:ascii="宋体" w:hAnsi="宋体"/>
          <w:sz w:val="24"/>
        </w:rPr>
        <w:t>1.投标报价得分＝（评标基准价／投标报价）×100</w:t>
      </w:r>
    </w:p>
    <w:p>
      <w:pPr>
        <w:spacing w:line="360" w:lineRule="auto"/>
        <w:rPr>
          <w:rFonts w:ascii="宋体" w:hAnsi="宋体"/>
          <w:sz w:val="24"/>
        </w:rPr>
      </w:pPr>
      <w:r>
        <w:rPr>
          <w:rFonts w:hint="eastAsia" w:ascii="宋体" w:hAnsi="宋体"/>
          <w:sz w:val="24"/>
        </w:rPr>
        <w:t>2.评标总得分＝F1×A1＋F2×A2＋……＋Fn×An</w:t>
      </w:r>
    </w:p>
    <w:p>
      <w:pPr>
        <w:spacing w:line="360" w:lineRule="auto"/>
        <w:rPr>
          <w:rFonts w:ascii="宋体" w:hAnsi="宋体"/>
          <w:sz w:val="24"/>
        </w:rPr>
      </w:pPr>
      <w:r>
        <w:rPr>
          <w:rFonts w:hint="eastAsia" w:ascii="宋体" w:hAnsi="宋体"/>
          <w:sz w:val="24"/>
        </w:rPr>
        <w:t>3. F1、F2……Fn分别为各项评审因素的得分；</w:t>
      </w:r>
    </w:p>
    <w:p>
      <w:pPr>
        <w:spacing w:line="360" w:lineRule="auto"/>
        <w:rPr>
          <w:rFonts w:ascii="宋体" w:hAnsi="宋体"/>
          <w:sz w:val="24"/>
        </w:rPr>
      </w:pPr>
      <w:r>
        <w:rPr>
          <w:rFonts w:hint="eastAsia" w:ascii="宋体" w:hAnsi="宋体"/>
          <w:sz w:val="24"/>
        </w:rPr>
        <w:t>4.A1、A2、……An 分别为各项评审因素所占的权重（A1＋A2＋……＋An＝1）。</w:t>
      </w:r>
    </w:p>
    <w:p>
      <w:pPr>
        <w:spacing w:line="360" w:lineRule="auto"/>
        <w:rPr>
          <w:rFonts w:ascii="宋体" w:hAnsi="宋体"/>
          <w:sz w:val="24"/>
        </w:rPr>
      </w:pPr>
      <w:r>
        <w:rPr>
          <w:rFonts w:hint="eastAsia" w:ascii="宋体" w:hAnsi="宋体"/>
          <w:sz w:val="24"/>
        </w:rPr>
        <w:t>5.评标过程中，不得去掉报价中的最高报价和最低报价。</w:t>
      </w:r>
    </w:p>
    <w:p>
      <w:pPr>
        <w:spacing w:line="360" w:lineRule="auto"/>
        <w:rPr>
          <w:b/>
          <w:color w:val="000000"/>
          <w:sz w:val="24"/>
        </w:rPr>
      </w:pPr>
      <w:r>
        <w:rPr>
          <w:rFonts w:hint="eastAsia" w:ascii="宋体" w:hAnsi="宋体"/>
          <w:sz w:val="24"/>
        </w:rPr>
        <w:t>6.因落实政府采购政策进行价格调整的，以调整后的价格计算评标基准价和投标报价。（七）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hint="eastAsia"/>
          <w:b/>
          <w:color w:val="000000"/>
          <w:sz w:val="24"/>
        </w:rPr>
        <w:t>（非单一产品采购项目，采购人应当根据采购项目技术构成、产品价格比重等合理确定核心产品，并在招标文件中载明。多家投标人提供的核心产品品牌相同的，按前两款规定处理）</w:t>
      </w:r>
    </w:p>
    <w:p>
      <w:pPr>
        <w:spacing w:line="360" w:lineRule="auto"/>
        <w:rPr>
          <w:b/>
          <w:color w:val="000000"/>
          <w:sz w:val="24"/>
        </w:rPr>
      </w:pPr>
    </w:p>
    <w:p>
      <w:pPr>
        <w:spacing w:line="360" w:lineRule="auto"/>
        <w:rPr>
          <w:rStyle w:val="56"/>
          <w:b/>
        </w:rPr>
      </w:pPr>
      <w:r>
        <w:rPr>
          <w:rFonts w:ascii="宋体" w:hAnsi="宋体"/>
          <w:b/>
          <w:sz w:val="24"/>
        </w:rPr>
        <w:t>评</w:t>
      </w:r>
      <w:r>
        <w:rPr>
          <w:rFonts w:hint="eastAsia" w:ascii="宋体" w:hAnsi="宋体"/>
          <w:b/>
          <w:sz w:val="24"/>
        </w:rPr>
        <w:t>标标准</w:t>
      </w:r>
      <w:r>
        <w:rPr>
          <w:rFonts w:ascii="宋体" w:hAnsi="宋体"/>
          <w:b/>
          <w:sz w:val="24"/>
        </w:rPr>
        <w:t>：</w:t>
      </w:r>
      <w:r>
        <w:rPr>
          <w:rStyle w:val="56"/>
          <w:rFonts w:hint="eastAsia"/>
          <w:b/>
        </w:rPr>
        <w:t xml:space="preserve">  </w:t>
      </w:r>
    </w:p>
    <w:tbl>
      <w:tblPr>
        <w:tblStyle w:val="47"/>
        <w:tblpPr w:leftFromText="180" w:rightFromText="180" w:vertAnchor="text" w:tblpY="1"/>
        <w:tblOverlap w:val="never"/>
        <w:tblW w:w="9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7"/>
        <w:gridCol w:w="1677"/>
        <w:gridCol w:w="5425"/>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7" w:hRule="atLeast"/>
        </w:trPr>
        <w:tc>
          <w:tcPr>
            <w:tcW w:w="807" w:type="dxa"/>
            <w:vMerge w:val="restart"/>
            <w:vAlign w:val="center"/>
          </w:tcPr>
          <w:p>
            <w:pPr>
              <w:keepNext/>
              <w:snapToGrid w:val="0"/>
              <w:spacing w:line="360" w:lineRule="auto"/>
              <w:jc w:val="center"/>
              <w:rPr>
                <w:rFonts w:ascii="宋体" w:hAnsi="宋体" w:cs="宋体"/>
                <w:sz w:val="24"/>
              </w:rPr>
            </w:pPr>
            <w:r>
              <w:rPr>
                <w:rFonts w:hint="eastAsia" w:ascii="宋体" w:hAnsi="宋体" w:cs="宋体"/>
                <w:sz w:val="24"/>
              </w:rPr>
              <w:t>序号</w:t>
            </w:r>
          </w:p>
        </w:tc>
        <w:tc>
          <w:tcPr>
            <w:tcW w:w="1677" w:type="dxa"/>
            <w:vMerge w:val="restart"/>
            <w:vAlign w:val="center"/>
          </w:tcPr>
          <w:p>
            <w:pPr>
              <w:keepNext/>
              <w:snapToGrid w:val="0"/>
              <w:spacing w:line="360" w:lineRule="auto"/>
              <w:jc w:val="center"/>
              <w:rPr>
                <w:rFonts w:ascii="宋体" w:hAnsi="宋体" w:cs="宋体"/>
                <w:sz w:val="24"/>
              </w:rPr>
            </w:pPr>
            <w:r>
              <w:rPr>
                <w:rFonts w:hint="eastAsia" w:ascii="宋体" w:hAnsi="宋体" w:cs="宋体"/>
                <w:sz w:val="24"/>
              </w:rPr>
              <w:t>评分项目</w:t>
            </w:r>
          </w:p>
        </w:tc>
        <w:tc>
          <w:tcPr>
            <w:tcW w:w="5425" w:type="dxa"/>
            <w:vMerge w:val="restart"/>
            <w:tcBorders>
              <w:right w:val="single" w:color="auto" w:sz="6" w:space="0"/>
            </w:tcBorders>
            <w:vAlign w:val="center"/>
          </w:tcPr>
          <w:p>
            <w:pPr>
              <w:keepNext/>
              <w:widowControl/>
              <w:snapToGrid w:val="0"/>
              <w:spacing w:line="360" w:lineRule="auto"/>
              <w:rPr>
                <w:rFonts w:ascii="宋体" w:hAnsi="宋体" w:cs="宋体"/>
                <w:sz w:val="24"/>
              </w:rPr>
            </w:pPr>
            <w:r>
              <w:rPr>
                <w:rFonts w:hint="eastAsia" w:ascii="宋体" w:hAnsi="宋体" w:cs="宋体"/>
                <w:sz w:val="24"/>
              </w:rPr>
              <w:t>评分标准</w:t>
            </w:r>
          </w:p>
        </w:tc>
        <w:tc>
          <w:tcPr>
            <w:tcW w:w="1218" w:type="dxa"/>
            <w:vMerge w:val="restart"/>
            <w:vAlign w:val="center"/>
          </w:tcPr>
          <w:p>
            <w:pPr>
              <w:keepNext/>
              <w:widowControl/>
              <w:snapToGrid w:val="0"/>
              <w:spacing w:line="360" w:lineRule="auto"/>
              <w:jc w:val="center"/>
              <w:rPr>
                <w:rFonts w:ascii="宋体" w:hAnsi="宋体" w:cs="宋体"/>
                <w:sz w:val="24"/>
              </w:rPr>
            </w:pPr>
            <w:r>
              <w:rPr>
                <w:rFonts w:hint="eastAsia" w:ascii="宋体" w:hAnsi="宋体" w:cs="宋体"/>
                <w:sz w:val="24"/>
              </w:rPr>
              <w:t>标准分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7" w:hRule="atLeast"/>
        </w:trPr>
        <w:tc>
          <w:tcPr>
            <w:tcW w:w="807" w:type="dxa"/>
            <w:vMerge w:val="continue"/>
            <w:vAlign w:val="center"/>
          </w:tcPr>
          <w:p>
            <w:pPr>
              <w:keepNext/>
              <w:snapToGrid w:val="0"/>
              <w:spacing w:line="360" w:lineRule="auto"/>
              <w:jc w:val="center"/>
              <w:rPr>
                <w:rFonts w:ascii="宋体" w:hAnsi="宋体" w:cs="宋体"/>
                <w:sz w:val="24"/>
              </w:rPr>
            </w:pPr>
          </w:p>
        </w:tc>
        <w:tc>
          <w:tcPr>
            <w:tcW w:w="1677" w:type="dxa"/>
            <w:vMerge w:val="continue"/>
            <w:vAlign w:val="center"/>
          </w:tcPr>
          <w:p>
            <w:pPr>
              <w:keepNext/>
              <w:snapToGrid w:val="0"/>
              <w:spacing w:line="360" w:lineRule="auto"/>
              <w:jc w:val="center"/>
              <w:rPr>
                <w:rFonts w:ascii="宋体" w:hAnsi="宋体" w:cs="宋体"/>
                <w:sz w:val="24"/>
              </w:rPr>
            </w:pPr>
          </w:p>
        </w:tc>
        <w:tc>
          <w:tcPr>
            <w:tcW w:w="5425" w:type="dxa"/>
            <w:vMerge w:val="continue"/>
            <w:tcBorders>
              <w:right w:val="single" w:color="auto" w:sz="6" w:space="0"/>
            </w:tcBorders>
            <w:vAlign w:val="center"/>
          </w:tcPr>
          <w:p>
            <w:pPr>
              <w:keepNext/>
              <w:snapToGrid w:val="0"/>
              <w:spacing w:line="360" w:lineRule="auto"/>
              <w:rPr>
                <w:rFonts w:ascii="宋体" w:hAnsi="宋体" w:cs="宋体"/>
                <w:sz w:val="24"/>
              </w:rPr>
            </w:pPr>
          </w:p>
        </w:tc>
        <w:tc>
          <w:tcPr>
            <w:tcW w:w="1218" w:type="dxa"/>
            <w:vMerge w:val="continue"/>
            <w:vAlign w:val="center"/>
          </w:tcPr>
          <w:p>
            <w:pPr>
              <w:keepNext/>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Align w:val="center"/>
          </w:tcPr>
          <w:p>
            <w:pPr>
              <w:keepNext/>
              <w:snapToGrid w:val="0"/>
              <w:spacing w:line="360" w:lineRule="auto"/>
              <w:jc w:val="center"/>
              <w:rPr>
                <w:rFonts w:ascii="宋体" w:hAnsi="宋体" w:cs="宋体"/>
                <w:sz w:val="24"/>
              </w:rPr>
            </w:pPr>
            <w:r>
              <w:rPr>
                <w:rFonts w:hint="eastAsia" w:ascii="宋体" w:hAnsi="宋体" w:cs="宋体"/>
                <w:sz w:val="24"/>
              </w:rPr>
              <w:t>1</w:t>
            </w:r>
          </w:p>
        </w:tc>
        <w:tc>
          <w:tcPr>
            <w:tcW w:w="1677" w:type="dxa"/>
            <w:vAlign w:val="center"/>
          </w:tcPr>
          <w:p>
            <w:pPr>
              <w:keepNext/>
              <w:snapToGrid w:val="0"/>
              <w:spacing w:line="360" w:lineRule="auto"/>
              <w:jc w:val="center"/>
              <w:rPr>
                <w:rFonts w:ascii="宋体" w:hAnsi="宋体" w:cs="宋体"/>
                <w:sz w:val="24"/>
              </w:rPr>
            </w:pPr>
            <w:r>
              <w:rPr>
                <w:rFonts w:ascii="宋体" w:hAnsi="宋体" w:cs="宋体"/>
                <w:sz w:val="24"/>
              </w:rPr>
              <w:t>投标报价</w:t>
            </w:r>
          </w:p>
          <w:p>
            <w:pPr>
              <w:keepNext/>
              <w:snapToGrid w:val="0"/>
              <w:spacing w:line="360" w:lineRule="auto"/>
              <w:jc w:val="center"/>
              <w:rPr>
                <w:rFonts w:ascii="宋体" w:hAnsi="宋体" w:cs="宋体"/>
                <w:sz w:val="24"/>
              </w:rPr>
            </w:pPr>
            <w:r>
              <w:rPr>
                <w:rFonts w:hint="eastAsia" w:ascii="宋体" w:hAnsi="宋体" w:cs="宋体"/>
                <w:sz w:val="24"/>
              </w:rPr>
              <w:t>（30分）</w:t>
            </w:r>
          </w:p>
        </w:tc>
        <w:tc>
          <w:tcPr>
            <w:tcW w:w="5425" w:type="dxa"/>
            <w:tcBorders>
              <w:right w:val="single" w:color="auto" w:sz="6" w:space="0"/>
            </w:tcBorders>
            <w:vAlign w:val="center"/>
          </w:tcPr>
          <w:p>
            <w:pPr>
              <w:spacing w:line="312" w:lineRule="auto"/>
              <w:rPr>
                <w:rFonts w:ascii="宋体" w:hAnsi="宋体" w:cs="宋体"/>
                <w:sz w:val="24"/>
              </w:rPr>
            </w:pPr>
            <w:r>
              <w:rPr>
                <w:rFonts w:hint="eastAsia" w:ascii="宋体" w:hAnsi="宋体" w:cs="宋体"/>
                <w:sz w:val="24"/>
              </w:rPr>
              <w:t>满足招标文件要求且投标报价最低的为评标基准价，其价格分为满分。其他投标人的价格分统一按照下列公式计算</w:t>
            </w:r>
          </w:p>
          <w:p>
            <w:pPr>
              <w:keepNext/>
              <w:snapToGrid w:val="0"/>
              <w:spacing w:line="360" w:lineRule="auto"/>
              <w:rPr>
                <w:rFonts w:ascii="宋体" w:hAnsi="宋体" w:cs="宋体"/>
                <w:kern w:val="0"/>
                <w:sz w:val="24"/>
              </w:rPr>
            </w:pPr>
            <w:r>
              <w:rPr>
                <w:rFonts w:hint="eastAsia" w:ascii="宋体" w:hAnsi="宋体" w:cs="宋体"/>
                <w:sz w:val="24"/>
              </w:rPr>
              <w:t>投标报价得分=（评标基准价／投标报价）×30</w:t>
            </w:r>
          </w:p>
        </w:tc>
        <w:tc>
          <w:tcPr>
            <w:tcW w:w="1218" w:type="dxa"/>
            <w:vAlign w:val="center"/>
          </w:tcPr>
          <w:p>
            <w:pPr>
              <w:keepNext/>
              <w:snapToGrid w:val="0"/>
              <w:spacing w:line="360" w:lineRule="auto"/>
              <w:jc w:val="center"/>
              <w:rPr>
                <w:rFonts w:ascii="宋体" w:hAnsi="宋体" w:cs="宋体"/>
                <w:sz w:val="24"/>
              </w:rPr>
            </w:pPr>
            <w:r>
              <w:rPr>
                <w:rFonts w:hint="eastAsia" w:ascii="宋体" w:hAnsi="宋体" w:cs="宋体"/>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68" w:hRule="atLeast"/>
        </w:trPr>
        <w:tc>
          <w:tcPr>
            <w:tcW w:w="807" w:type="dxa"/>
            <w:vAlign w:val="center"/>
          </w:tcPr>
          <w:p>
            <w:pPr>
              <w:keepNext/>
              <w:snapToGrid w:val="0"/>
              <w:spacing w:line="360" w:lineRule="auto"/>
              <w:jc w:val="center"/>
              <w:rPr>
                <w:rFonts w:ascii="宋体" w:hAnsi="宋体" w:cs="宋体"/>
                <w:sz w:val="24"/>
              </w:rPr>
            </w:pPr>
            <w:r>
              <w:rPr>
                <w:rFonts w:hint="eastAsia" w:ascii="宋体" w:hAnsi="宋体" w:cs="宋体"/>
                <w:sz w:val="24"/>
              </w:rPr>
              <w:t>2</w:t>
            </w:r>
          </w:p>
        </w:tc>
        <w:tc>
          <w:tcPr>
            <w:tcW w:w="1677" w:type="dxa"/>
            <w:vAlign w:val="center"/>
          </w:tcPr>
          <w:p>
            <w:pPr>
              <w:keepNext/>
              <w:snapToGrid w:val="0"/>
              <w:spacing w:line="360" w:lineRule="auto"/>
              <w:jc w:val="center"/>
              <w:rPr>
                <w:rFonts w:ascii="宋体" w:hAnsi="宋体" w:cs="宋体"/>
                <w:sz w:val="24"/>
              </w:rPr>
            </w:pPr>
            <w:r>
              <w:rPr>
                <w:rFonts w:hint="eastAsia" w:ascii="宋体" w:hAnsi="宋体" w:cs="宋体"/>
                <w:snapToGrid w:val="0"/>
                <w:kern w:val="0"/>
                <w:sz w:val="24"/>
              </w:rPr>
              <w:t>投标文件完整性（2分）</w:t>
            </w:r>
          </w:p>
        </w:tc>
        <w:tc>
          <w:tcPr>
            <w:tcW w:w="5425" w:type="dxa"/>
            <w:tcBorders>
              <w:right w:val="single" w:color="auto" w:sz="6" w:space="0"/>
            </w:tcBorders>
            <w:vAlign w:val="center"/>
          </w:tcPr>
          <w:p>
            <w:pPr>
              <w:snapToGrid w:val="0"/>
              <w:spacing w:line="360" w:lineRule="auto"/>
              <w:rPr>
                <w:rFonts w:ascii="宋体" w:hAnsi="宋体" w:cs="宋体"/>
                <w:sz w:val="24"/>
              </w:rPr>
            </w:pPr>
            <w:r>
              <w:rPr>
                <w:rFonts w:hint="eastAsia" w:ascii="宋体" w:hAnsi="宋体" w:cs="宋体"/>
                <w:sz w:val="24"/>
              </w:rPr>
              <w:t>投标文件装订牢固（左侧胶装）、双面打印、目录清楚、逐页编码、页码准确的、内容清晰有序，完全响应招标文件要求提供的相关内容得2分；否则得0-1分。</w:t>
            </w:r>
          </w:p>
        </w:tc>
        <w:tc>
          <w:tcPr>
            <w:tcW w:w="1218" w:type="dxa"/>
            <w:vAlign w:val="center"/>
          </w:tcPr>
          <w:p>
            <w:pPr>
              <w:keepNext/>
              <w:snapToGrid w:val="0"/>
              <w:spacing w:line="360" w:lineRule="auto"/>
              <w:jc w:val="center"/>
              <w:rPr>
                <w:rFonts w:ascii="宋体" w:hAnsi="宋体" w:cs="宋体"/>
                <w:sz w:val="24"/>
              </w:rPr>
            </w:pPr>
            <w:r>
              <w:rPr>
                <w:rFonts w:hint="eastAsia" w:ascii="宋体" w:hAnsi="宋体" w:cs="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Merge w:val="restart"/>
            <w:vAlign w:val="center"/>
          </w:tcPr>
          <w:p>
            <w:pPr>
              <w:keepNext/>
              <w:snapToGrid w:val="0"/>
              <w:spacing w:line="360" w:lineRule="auto"/>
              <w:jc w:val="center"/>
              <w:rPr>
                <w:rFonts w:ascii="宋体" w:hAnsi="宋体" w:cs="宋体"/>
                <w:sz w:val="24"/>
              </w:rPr>
            </w:pPr>
            <w:r>
              <w:rPr>
                <w:rFonts w:hint="eastAsia" w:ascii="宋体" w:hAnsi="宋体" w:cs="宋体"/>
                <w:sz w:val="24"/>
              </w:rPr>
              <w:t>3</w:t>
            </w:r>
          </w:p>
        </w:tc>
        <w:tc>
          <w:tcPr>
            <w:tcW w:w="1677" w:type="dxa"/>
            <w:vMerge w:val="restart"/>
            <w:vAlign w:val="center"/>
          </w:tcPr>
          <w:p>
            <w:pPr>
              <w:keepNext/>
              <w:snapToGrid w:val="0"/>
              <w:spacing w:line="360" w:lineRule="auto"/>
              <w:jc w:val="center"/>
              <w:rPr>
                <w:rFonts w:ascii="宋体" w:hAnsi="宋体" w:cs="宋体"/>
                <w:sz w:val="24"/>
              </w:rPr>
            </w:pPr>
            <w:r>
              <w:rPr>
                <w:rFonts w:hint="eastAsia" w:ascii="宋体" w:hAnsi="宋体" w:cs="宋体"/>
                <w:sz w:val="24"/>
              </w:rPr>
              <w:t>技术参数、技术性能</w:t>
            </w:r>
          </w:p>
          <w:p>
            <w:pPr>
              <w:keepNext/>
              <w:snapToGrid w:val="0"/>
              <w:spacing w:line="360" w:lineRule="auto"/>
              <w:jc w:val="center"/>
              <w:rPr>
                <w:rFonts w:ascii="宋体" w:hAnsi="宋体" w:cs="宋体"/>
                <w:sz w:val="24"/>
              </w:rPr>
            </w:pPr>
            <w:r>
              <w:rPr>
                <w:rFonts w:hint="eastAsia" w:ascii="宋体" w:hAnsi="宋体" w:cs="宋体"/>
                <w:sz w:val="24"/>
              </w:rPr>
              <w:t>（12分）</w:t>
            </w:r>
          </w:p>
        </w:tc>
        <w:tc>
          <w:tcPr>
            <w:tcW w:w="5425" w:type="dxa"/>
            <w:vAlign w:val="center"/>
          </w:tcPr>
          <w:p>
            <w:pPr>
              <w:keepNext/>
              <w:snapToGrid w:val="0"/>
              <w:spacing w:line="360" w:lineRule="auto"/>
              <w:rPr>
                <w:rFonts w:ascii="宋体" w:hAnsi="宋体" w:cs="宋体"/>
                <w:kern w:val="0"/>
                <w:sz w:val="24"/>
              </w:rPr>
            </w:pPr>
            <w:r>
              <w:rPr>
                <w:rFonts w:hint="eastAsia" w:ascii="宋体" w:hAnsi="宋体" w:cs="宋体"/>
                <w:sz w:val="24"/>
              </w:rPr>
              <w:t>完全符合技术规格要求, 响应且满足招标文件技术参数，性能好。</w:t>
            </w:r>
          </w:p>
        </w:tc>
        <w:tc>
          <w:tcPr>
            <w:tcW w:w="1218" w:type="dxa"/>
            <w:vAlign w:val="center"/>
          </w:tcPr>
          <w:p>
            <w:pPr>
              <w:widowControl/>
              <w:snapToGrid w:val="0"/>
              <w:spacing w:line="360" w:lineRule="auto"/>
              <w:ind w:left="-2" w:right="-86"/>
              <w:jc w:val="center"/>
              <w:rPr>
                <w:rFonts w:ascii="宋体" w:hAnsi="宋体" w:cs="宋体"/>
                <w:kern w:val="0"/>
                <w:sz w:val="24"/>
              </w:rPr>
            </w:pPr>
            <w:r>
              <w:rPr>
                <w:rFonts w:hint="eastAsia" w:ascii="宋体" w:hAnsi="宋体" w:cs="宋体"/>
                <w:kern w:val="0"/>
                <w:sz w:val="24"/>
              </w:rPr>
              <w:t>12</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Merge w:val="continue"/>
            <w:vAlign w:val="center"/>
          </w:tcPr>
          <w:p>
            <w:pPr>
              <w:keepNext/>
              <w:snapToGrid w:val="0"/>
              <w:spacing w:line="360" w:lineRule="auto"/>
              <w:jc w:val="center"/>
              <w:rPr>
                <w:rFonts w:ascii="宋体" w:hAnsi="宋体" w:cs="宋体"/>
                <w:sz w:val="24"/>
              </w:rPr>
            </w:pPr>
          </w:p>
        </w:tc>
        <w:tc>
          <w:tcPr>
            <w:tcW w:w="1677" w:type="dxa"/>
            <w:vMerge w:val="continue"/>
            <w:vAlign w:val="center"/>
          </w:tcPr>
          <w:p>
            <w:pPr>
              <w:keepNext/>
              <w:snapToGrid w:val="0"/>
              <w:spacing w:line="360" w:lineRule="auto"/>
              <w:jc w:val="center"/>
              <w:rPr>
                <w:rFonts w:ascii="宋体" w:hAnsi="宋体" w:cs="宋体"/>
                <w:sz w:val="24"/>
              </w:rPr>
            </w:pPr>
          </w:p>
        </w:tc>
        <w:tc>
          <w:tcPr>
            <w:tcW w:w="5425" w:type="dxa"/>
            <w:vAlign w:val="center"/>
          </w:tcPr>
          <w:p>
            <w:pPr>
              <w:keepNext/>
              <w:snapToGrid w:val="0"/>
              <w:spacing w:line="360" w:lineRule="auto"/>
              <w:rPr>
                <w:rFonts w:ascii="宋体" w:hAnsi="宋体" w:cs="宋体"/>
                <w:kern w:val="0"/>
                <w:sz w:val="24"/>
              </w:rPr>
            </w:pPr>
            <w:r>
              <w:rPr>
                <w:rFonts w:hint="eastAsia" w:ascii="宋体" w:hAnsi="宋体" w:cs="宋体"/>
                <w:sz w:val="24"/>
              </w:rPr>
              <w:t>完全符合技术规格要求,性能一般。</w:t>
            </w:r>
          </w:p>
        </w:tc>
        <w:tc>
          <w:tcPr>
            <w:tcW w:w="1218" w:type="dxa"/>
            <w:vAlign w:val="center"/>
          </w:tcPr>
          <w:p>
            <w:pPr>
              <w:widowControl/>
              <w:snapToGrid w:val="0"/>
              <w:spacing w:line="360" w:lineRule="auto"/>
              <w:ind w:left="-2" w:right="-86"/>
              <w:jc w:val="center"/>
              <w:rPr>
                <w:rFonts w:ascii="宋体" w:hAnsi="宋体" w:cs="宋体"/>
                <w:kern w:val="0"/>
                <w:sz w:val="24"/>
              </w:rPr>
            </w:pPr>
            <w:r>
              <w:rPr>
                <w:rFonts w:hint="eastAsia" w:ascii="宋体" w:hAnsi="宋体" w:cs="宋体"/>
                <w:kern w:val="0"/>
                <w:sz w:val="24"/>
              </w:rPr>
              <w:t>8</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Merge w:val="continue"/>
            <w:vAlign w:val="center"/>
          </w:tcPr>
          <w:p>
            <w:pPr>
              <w:keepNext/>
              <w:snapToGrid w:val="0"/>
              <w:spacing w:line="360" w:lineRule="auto"/>
              <w:jc w:val="center"/>
              <w:rPr>
                <w:rFonts w:ascii="宋体" w:hAnsi="宋体" w:cs="宋体"/>
                <w:sz w:val="24"/>
              </w:rPr>
            </w:pPr>
          </w:p>
        </w:tc>
        <w:tc>
          <w:tcPr>
            <w:tcW w:w="1677" w:type="dxa"/>
            <w:vMerge w:val="continue"/>
            <w:vAlign w:val="center"/>
          </w:tcPr>
          <w:p>
            <w:pPr>
              <w:keepNext/>
              <w:snapToGrid w:val="0"/>
              <w:spacing w:line="360" w:lineRule="auto"/>
              <w:jc w:val="center"/>
              <w:rPr>
                <w:rFonts w:ascii="宋体" w:hAnsi="宋体" w:cs="宋体"/>
                <w:sz w:val="24"/>
              </w:rPr>
            </w:pPr>
          </w:p>
        </w:tc>
        <w:tc>
          <w:tcPr>
            <w:tcW w:w="5425" w:type="dxa"/>
            <w:vAlign w:val="center"/>
          </w:tcPr>
          <w:p>
            <w:pPr>
              <w:keepNext/>
              <w:snapToGrid w:val="0"/>
              <w:spacing w:line="360" w:lineRule="auto"/>
              <w:rPr>
                <w:rFonts w:ascii="宋体" w:hAnsi="宋体" w:cs="宋体"/>
                <w:sz w:val="24"/>
              </w:rPr>
            </w:pPr>
            <w:r>
              <w:rPr>
                <w:rFonts w:hint="eastAsia" w:ascii="宋体" w:hAnsi="宋体" w:cs="宋体"/>
                <w:sz w:val="24"/>
              </w:rPr>
              <w:t>符合技术规格要求,性能差。</w:t>
            </w:r>
          </w:p>
        </w:tc>
        <w:tc>
          <w:tcPr>
            <w:tcW w:w="1218" w:type="dxa"/>
            <w:vAlign w:val="center"/>
          </w:tcPr>
          <w:p>
            <w:pPr>
              <w:widowControl/>
              <w:snapToGrid w:val="0"/>
              <w:spacing w:line="360" w:lineRule="auto"/>
              <w:ind w:left="-2" w:right="-86"/>
              <w:jc w:val="center"/>
              <w:rPr>
                <w:rFonts w:ascii="宋体" w:hAnsi="宋体" w:cs="宋体"/>
                <w:kern w:val="0"/>
                <w:sz w:val="24"/>
              </w:rPr>
            </w:pPr>
            <w:r>
              <w:rPr>
                <w:rFonts w:hint="eastAsia" w:ascii="宋体" w:hAnsi="宋体" w:cs="宋体"/>
                <w:kern w:val="0"/>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Merge w:val="continue"/>
            <w:vAlign w:val="center"/>
          </w:tcPr>
          <w:p>
            <w:pPr>
              <w:keepNext/>
              <w:snapToGrid w:val="0"/>
              <w:spacing w:line="360" w:lineRule="auto"/>
              <w:jc w:val="center"/>
              <w:rPr>
                <w:rFonts w:ascii="宋体" w:hAnsi="宋体" w:cs="宋体"/>
                <w:sz w:val="24"/>
              </w:rPr>
            </w:pPr>
          </w:p>
        </w:tc>
        <w:tc>
          <w:tcPr>
            <w:tcW w:w="1677" w:type="dxa"/>
            <w:vMerge w:val="continue"/>
            <w:vAlign w:val="center"/>
          </w:tcPr>
          <w:p>
            <w:pPr>
              <w:keepNext/>
              <w:snapToGrid w:val="0"/>
              <w:spacing w:line="360" w:lineRule="auto"/>
              <w:jc w:val="center"/>
              <w:rPr>
                <w:rFonts w:ascii="宋体" w:hAnsi="宋体" w:cs="宋体"/>
                <w:sz w:val="24"/>
              </w:rPr>
            </w:pPr>
          </w:p>
        </w:tc>
        <w:tc>
          <w:tcPr>
            <w:tcW w:w="5425" w:type="dxa"/>
            <w:vAlign w:val="center"/>
          </w:tcPr>
          <w:p>
            <w:pPr>
              <w:keepNext/>
              <w:snapToGrid w:val="0"/>
              <w:spacing w:line="360" w:lineRule="auto"/>
              <w:rPr>
                <w:rFonts w:ascii="宋体" w:hAnsi="宋体" w:cs="宋体"/>
                <w:kern w:val="0"/>
                <w:sz w:val="24"/>
              </w:rPr>
            </w:pPr>
            <w:r>
              <w:rPr>
                <w:rFonts w:hint="eastAsia" w:ascii="宋体" w:hAnsi="宋体" w:cs="宋体"/>
                <w:sz w:val="24"/>
              </w:rPr>
              <w:t>不完全符合技术规格要求。</w:t>
            </w:r>
          </w:p>
        </w:tc>
        <w:tc>
          <w:tcPr>
            <w:tcW w:w="1218" w:type="dxa"/>
            <w:vAlign w:val="center"/>
          </w:tcPr>
          <w:p>
            <w:pPr>
              <w:widowControl/>
              <w:snapToGrid w:val="0"/>
              <w:spacing w:line="360" w:lineRule="auto"/>
              <w:ind w:left="-2" w:right="-86"/>
              <w:jc w:val="center"/>
              <w:rPr>
                <w:rFonts w:ascii="宋体" w:hAnsi="宋体" w:cs="宋体"/>
                <w:kern w:val="0"/>
                <w:sz w:val="24"/>
              </w:rPr>
            </w:pPr>
            <w:r>
              <w:rPr>
                <w:rFonts w:hint="eastAsia" w:ascii="宋体" w:hAnsi="宋体" w:cs="宋体"/>
                <w:kern w:val="0"/>
                <w:sz w:val="24"/>
              </w:rPr>
              <w:t>0</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Merge w:val="restart"/>
            <w:vAlign w:val="center"/>
          </w:tcPr>
          <w:p>
            <w:pPr>
              <w:keepNext/>
              <w:snapToGrid w:val="0"/>
              <w:spacing w:line="360" w:lineRule="auto"/>
              <w:jc w:val="center"/>
              <w:rPr>
                <w:rFonts w:ascii="宋体" w:hAnsi="宋体" w:cs="宋体"/>
                <w:sz w:val="24"/>
              </w:rPr>
            </w:pPr>
            <w:r>
              <w:rPr>
                <w:rFonts w:hint="eastAsia" w:ascii="宋体" w:hAnsi="宋体" w:cs="宋体"/>
                <w:sz w:val="24"/>
              </w:rPr>
              <w:t>4</w:t>
            </w:r>
          </w:p>
        </w:tc>
        <w:tc>
          <w:tcPr>
            <w:tcW w:w="1677" w:type="dxa"/>
            <w:vMerge w:val="restart"/>
            <w:vAlign w:val="center"/>
          </w:tcPr>
          <w:p>
            <w:pPr>
              <w:keepNext/>
              <w:snapToGrid w:val="0"/>
              <w:spacing w:line="360" w:lineRule="auto"/>
              <w:jc w:val="center"/>
              <w:rPr>
                <w:rFonts w:ascii="宋体" w:hAnsi="宋体" w:cs="宋体"/>
                <w:sz w:val="24"/>
              </w:rPr>
            </w:pPr>
            <w:r>
              <w:rPr>
                <w:rFonts w:hint="eastAsia" w:ascii="宋体" w:hAnsi="宋体" w:cs="宋体"/>
                <w:sz w:val="24"/>
              </w:rPr>
              <w:t>供货计划</w:t>
            </w:r>
          </w:p>
          <w:p>
            <w:pPr>
              <w:keepNext/>
              <w:snapToGrid w:val="0"/>
              <w:spacing w:line="360" w:lineRule="auto"/>
              <w:jc w:val="center"/>
              <w:rPr>
                <w:rFonts w:ascii="宋体" w:hAnsi="宋体" w:cs="宋体"/>
                <w:sz w:val="24"/>
              </w:rPr>
            </w:pPr>
            <w:r>
              <w:rPr>
                <w:rFonts w:hint="eastAsia" w:ascii="宋体" w:hAnsi="宋体" w:cs="宋体"/>
                <w:sz w:val="24"/>
              </w:rPr>
              <w:t>（10分）</w:t>
            </w:r>
          </w:p>
        </w:tc>
        <w:tc>
          <w:tcPr>
            <w:tcW w:w="5425" w:type="dxa"/>
            <w:vAlign w:val="center"/>
          </w:tcPr>
          <w:p>
            <w:pPr>
              <w:keepNext/>
              <w:snapToGrid w:val="0"/>
              <w:spacing w:line="360" w:lineRule="auto"/>
              <w:rPr>
                <w:rFonts w:ascii="宋体" w:hAnsi="宋体" w:cs="宋体"/>
                <w:sz w:val="24"/>
              </w:rPr>
            </w:pPr>
            <w:r>
              <w:rPr>
                <w:rFonts w:hint="eastAsia" w:ascii="宋体" w:hAnsi="宋体" w:cs="宋体"/>
                <w:sz w:val="24"/>
              </w:rPr>
              <w:t>计划合理，完全满足招标文件要求，或者优于招标文件要求。</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Merge w:val="continue"/>
            <w:vAlign w:val="center"/>
          </w:tcPr>
          <w:p>
            <w:pPr>
              <w:keepNext/>
              <w:snapToGrid w:val="0"/>
              <w:spacing w:line="360" w:lineRule="auto"/>
              <w:jc w:val="center"/>
              <w:rPr>
                <w:rFonts w:ascii="宋体" w:hAnsi="宋体" w:cs="宋体"/>
                <w:sz w:val="24"/>
              </w:rPr>
            </w:pPr>
          </w:p>
        </w:tc>
        <w:tc>
          <w:tcPr>
            <w:tcW w:w="1677" w:type="dxa"/>
            <w:vMerge w:val="continue"/>
            <w:vAlign w:val="center"/>
          </w:tcPr>
          <w:p>
            <w:pPr>
              <w:keepNext/>
              <w:snapToGrid w:val="0"/>
              <w:spacing w:line="360" w:lineRule="auto"/>
              <w:jc w:val="center"/>
              <w:rPr>
                <w:rFonts w:ascii="宋体" w:hAnsi="宋体" w:cs="宋体"/>
                <w:sz w:val="24"/>
              </w:rPr>
            </w:pPr>
          </w:p>
        </w:tc>
        <w:tc>
          <w:tcPr>
            <w:tcW w:w="5425" w:type="dxa"/>
            <w:vAlign w:val="center"/>
          </w:tcPr>
          <w:p>
            <w:pPr>
              <w:keepNext/>
              <w:snapToGrid w:val="0"/>
              <w:spacing w:line="360" w:lineRule="auto"/>
              <w:rPr>
                <w:rFonts w:ascii="宋体" w:hAnsi="宋体" w:cs="宋体"/>
                <w:sz w:val="24"/>
              </w:rPr>
            </w:pPr>
            <w:r>
              <w:rPr>
                <w:rFonts w:hint="eastAsia" w:ascii="宋体" w:hAnsi="宋体" w:cs="宋体"/>
                <w:sz w:val="24"/>
              </w:rPr>
              <w:t>计划较合理，比较能满足招标文件要求。</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Merge w:val="continue"/>
            <w:vAlign w:val="center"/>
          </w:tcPr>
          <w:p>
            <w:pPr>
              <w:keepNext/>
              <w:snapToGrid w:val="0"/>
              <w:spacing w:line="360" w:lineRule="auto"/>
              <w:jc w:val="center"/>
              <w:rPr>
                <w:rFonts w:ascii="宋体" w:hAnsi="宋体" w:cs="宋体"/>
                <w:sz w:val="24"/>
              </w:rPr>
            </w:pPr>
          </w:p>
        </w:tc>
        <w:tc>
          <w:tcPr>
            <w:tcW w:w="1677" w:type="dxa"/>
            <w:vMerge w:val="continue"/>
            <w:vAlign w:val="center"/>
          </w:tcPr>
          <w:p>
            <w:pPr>
              <w:keepNext/>
              <w:snapToGrid w:val="0"/>
              <w:spacing w:line="360" w:lineRule="auto"/>
              <w:jc w:val="center"/>
              <w:rPr>
                <w:rFonts w:ascii="宋体" w:hAnsi="宋体" w:cs="宋体"/>
                <w:sz w:val="24"/>
              </w:rPr>
            </w:pPr>
          </w:p>
        </w:tc>
        <w:tc>
          <w:tcPr>
            <w:tcW w:w="5425" w:type="dxa"/>
            <w:vAlign w:val="center"/>
          </w:tcPr>
          <w:p>
            <w:pPr>
              <w:keepNext/>
              <w:snapToGrid w:val="0"/>
              <w:spacing w:line="360" w:lineRule="auto"/>
              <w:rPr>
                <w:rFonts w:ascii="宋体" w:hAnsi="宋体" w:cs="宋体"/>
                <w:sz w:val="24"/>
              </w:rPr>
            </w:pPr>
            <w:r>
              <w:rPr>
                <w:rFonts w:hint="eastAsia" w:ascii="宋体" w:hAnsi="宋体" w:cs="宋体"/>
                <w:sz w:val="24"/>
              </w:rPr>
              <w:t>计划不合理，不能满足招标文件要求。</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Merge w:val="restart"/>
            <w:vAlign w:val="center"/>
          </w:tcPr>
          <w:p>
            <w:pPr>
              <w:keepNext/>
              <w:snapToGrid w:val="0"/>
              <w:spacing w:line="360" w:lineRule="auto"/>
              <w:jc w:val="center"/>
              <w:rPr>
                <w:rFonts w:ascii="宋体" w:hAnsi="宋体" w:cs="宋体"/>
                <w:sz w:val="24"/>
              </w:rPr>
            </w:pPr>
            <w:r>
              <w:rPr>
                <w:rFonts w:hint="eastAsia" w:ascii="宋体" w:hAnsi="宋体" w:cs="宋体"/>
                <w:sz w:val="24"/>
              </w:rPr>
              <w:t>5</w:t>
            </w:r>
          </w:p>
        </w:tc>
        <w:tc>
          <w:tcPr>
            <w:tcW w:w="1677" w:type="dxa"/>
            <w:vMerge w:val="restart"/>
            <w:vAlign w:val="center"/>
          </w:tcPr>
          <w:p>
            <w:pPr>
              <w:keepNext/>
              <w:snapToGrid w:val="0"/>
              <w:spacing w:line="360" w:lineRule="auto"/>
              <w:jc w:val="center"/>
              <w:rPr>
                <w:rFonts w:ascii="宋体" w:hAnsi="宋体" w:cs="宋体"/>
                <w:sz w:val="24"/>
              </w:rPr>
            </w:pPr>
            <w:r>
              <w:rPr>
                <w:rFonts w:hint="eastAsia" w:ascii="宋体" w:hAnsi="宋体" w:cs="宋体"/>
                <w:sz w:val="24"/>
              </w:rPr>
              <w:t>安装方案</w:t>
            </w:r>
          </w:p>
          <w:p>
            <w:pPr>
              <w:keepNext/>
              <w:snapToGrid w:val="0"/>
              <w:spacing w:line="360" w:lineRule="auto"/>
              <w:jc w:val="center"/>
              <w:rPr>
                <w:rFonts w:ascii="宋体" w:hAnsi="宋体" w:cs="宋体"/>
                <w:sz w:val="24"/>
              </w:rPr>
            </w:pPr>
            <w:r>
              <w:rPr>
                <w:rFonts w:hint="eastAsia" w:ascii="宋体" w:hAnsi="宋体" w:cs="宋体"/>
                <w:sz w:val="24"/>
              </w:rPr>
              <w:t>（10分）</w:t>
            </w:r>
          </w:p>
        </w:tc>
        <w:tc>
          <w:tcPr>
            <w:tcW w:w="5425" w:type="dxa"/>
            <w:vAlign w:val="center"/>
          </w:tcPr>
          <w:p>
            <w:pPr>
              <w:snapToGrid w:val="0"/>
              <w:spacing w:line="360" w:lineRule="auto"/>
              <w:rPr>
                <w:rFonts w:ascii="宋体" w:hAnsi="宋体" w:cs="宋体"/>
                <w:b/>
                <w:sz w:val="24"/>
              </w:rPr>
            </w:pPr>
            <w:r>
              <w:rPr>
                <w:rFonts w:hint="eastAsia" w:ascii="宋体" w:hAnsi="宋体" w:cs="宋体"/>
                <w:sz w:val="24"/>
              </w:rPr>
              <w:t>针对性强、方案科学合理、措施完善、有力、可行性强。</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Merge w:val="continue"/>
            <w:vAlign w:val="center"/>
          </w:tcPr>
          <w:p>
            <w:pPr>
              <w:keepNext/>
              <w:snapToGrid w:val="0"/>
              <w:spacing w:line="360" w:lineRule="auto"/>
              <w:jc w:val="center"/>
              <w:rPr>
                <w:rFonts w:ascii="宋体" w:hAnsi="宋体" w:cs="宋体"/>
                <w:sz w:val="24"/>
              </w:rPr>
            </w:pPr>
          </w:p>
        </w:tc>
        <w:tc>
          <w:tcPr>
            <w:tcW w:w="1677" w:type="dxa"/>
            <w:vMerge w:val="continue"/>
            <w:vAlign w:val="center"/>
          </w:tcPr>
          <w:p>
            <w:pPr>
              <w:keepNext/>
              <w:snapToGrid w:val="0"/>
              <w:spacing w:line="360" w:lineRule="auto"/>
              <w:jc w:val="center"/>
              <w:rPr>
                <w:rFonts w:ascii="宋体" w:hAnsi="宋体" w:cs="宋体"/>
                <w:sz w:val="24"/>
              </w:rPr>
            </w:pPr>
          </w:p>
        </w:tc>
        <w:tc>
          <w:tcPr>
            <w:tcW w:w="5425" w:type="dxa"/>
            <w:vAlign w:val="center"/>
          </w:tcPr>
          <w:p>
            <w:pPr>
              <w:keepNext/>
              <w:snapToGrid w:val="0"/>
              <w:spacing w:line="360" w:lineRule="auto"/>
              <w:rPr>
                <w:rFonts w:ascii="宋体" w:hAnsi="宋体" w:cs="宋体"/>
                <w:sz w:val="24"/>
              </w:rPr>
            </w:pPr>
            <w:r>
              <w:rPr>
                <w:rFonts w:hint="eastAsia" w:ascii="宋体" w:hAnsi="宋体" w:cs="宋体"/>
                <w:sz w:val="24"/>
              </w:rPr>
              <w:t>针对性较强、方案基本科学合理、措施较完善，较可行。</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Merge w:val="continue"/>
            <w:vAlign w:val="center"/>
          </w:tcPr>
          <w:p>
            <w:pPr>
              <w:keepNext/>
              <w:snapToGrid w:val="0"/>
              <w:spacing w:line="360" w:lineRule="auto"/>
              <w:jc w:val="center"/>
              <w:rPr>
                <w:rFonts w:ascii="宋体" w:hAnsi="宋体" w:cs="宋体"/>
                <w:sz w:val="24"/>
              </w:rPr>
            </w:pPr>
          </w:p>
        </w:tc>
        <w:tc>
          <w:tcPr>
            <w:tcW w:w="1677" w:type="dxa"/>
            <w:vMerge w:val="continue"/>
            <w:vAlign w:val="center"/>
          </w:tcPr>
          <w:p>
            <w:pPr>
              <w:keepNext/>
              <w:snapToGrid w:val="0"/>
              <w:spacing w:line="360" w:lineRule="auto"/>
              <w:jc w:val="center"/>
              <w:rPr>
                <w:rFonts w:ascii="宋体" w:hAnsi="宋体" w:cs="宋体"/>
                <w:sz w:val="24"/>
              </w:rPr>
            </w:pPr>
          </w:p>
        </w:tc>
        <w:tc>
          <w:tcPr>
            <w:tcW w:w="5425" w:type="dxa"/>
            <w:vAlign w:val="center"/>
          </w:tcPr>
          <w:p>
            <w:pPr>
              <w:keepNext/>
              <w:snapToGrid w:val="0"/>
              <w:spacing w:line="360" w:lineRule="auto"/>
              <w:rPr>
                <w:rFonts w:ascii="宋体" w:hAnsi="宋体" w:cs="宋体"/>
                <w:sz w:val="24"/>
              </w:rPr>
            </w:pPr>
            <w:r>
              <w:rPr>
                <w:rFonts w:hint="eastAsia" w:ascii="宋体" w:hAnsi="宋体" w:cs="宋体"/>
                <w:sz w:val="24"/>
              </w:rPr>
              <w:t>针对性不强、措施欠完善。</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Merge w:val="restart"/>
            <w:vAlign w:val="center"/>
          </w:tcPr>
          <w:p>
            <w:pPr>
              <w:keepNext/>
              <w:snapToGrid w:val="0"/>
              <w:spacing w:line="360" w:lineRule="auto"/>
              <w:jc w:val="center"/>
              <w:rPr>
                <w:rFonts w:ascii="宋体" w:hAnsi="宋体" w:cs="宋体"/>
                <w:sz w:val="24"/>
              </w:rPr>
            </w:pPr>
            <w:r>
              <w:rPr>
                <w:rFonts w:hint="eastAsia" w:ascii="宋体" w:hAnsi="宋体" w:cs="宋体"/>
                <w:sz w:val="24"/>
              </w:rPr>
              <w:t>6</w:t>
            </w:r>
          </w:p>
        </w:tc>
        <w:tc>
          <w:tcPr>
            <w:tcW w:w="1677" w:type="dxa"/>
            <w:vMerge w:val="restart"/>
            <w:vAlign w:val="center"/>
          </w:tcPr>
          <w:p>
            <w:pPr>
              <w:keepNext/>
              <w:snapToGrid w:val="0"/>
              <w:spacing w:line="360" w:lineRule="auto"/>
              <w:jc w:val="center"/>
              <w:rPr>
                <w:rFonts w:ascii="宋体" w:hAnsi="宋体" w:cs="宋体"/>
                <w:sz w:val="24"/>
              </w:rPr>
            </w:pPr>
            <w:r>
              <w:rPr>
                <w:rFonts w:hint="eastAsia" w:ascii="宋体" w:hAnsi="宋体" w:cs="宋体"/>
                <w:sz w:val="24"/>
              </w:rPr>
              <w:t>设备技术的先进性、可靠性</w:t>
            </w:r>
          </w:p>
          <w:p>
            <w:pPr>
              <w:keepNext/>
              <w:snapToGrid w:val="0"/>
              <w:spacing w:line="360" w:lineRule="auto"/>
              <w:jc w:val="center"/>
              <w:rPr>
                <w:rFonts w:ascii="宋体" w:hAnsi="宋体" w:cs="宋体"/>
                <w:sz w:val="24"/>
              </w:rPr>
            </w:pPr>
            <w:r>
              <w:rPr>
                <w:rFonts w:hint="eastAsia" w:ascii="宋体" w:hAnsi="宋体" w:cs="宋体"/>
                <w:sz w:val="24"/>
              </w:rPr>
              <w:t>（10分）</w:t>
            </w:r>
          </w:p>
        </w:tc>
        <w:tc>
          <w:tcPr>
            <w:tcW w:w="5425" w:type="dxa"/>
            <w:vAlign w:val="center"/>
          </w:tcPr>
          <w:p>
            <w:pPr>
              <w:snapToGrid w:val="0"/>
              <w:spacing w:line="360" w:lineRule="auto"/>
              <w:rPr>
                <w:rFonts w:ascii="宋体" w:hAnsi="宋体" w:cs="宋体"/>
                <w:sz w:val="24"/>
              </w:rPr>
            </w:pPr>
            <w:r>
              <w:rPr>
                <w:rFonts w:hint="eastAsia" w:ascii="宋体" w:hAnsi="宋体" w:cs="宋体"/>
                <w:sz w:val="24"/>
              </w:rPr>
              <w:t>技术先进，可靠</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1" w:hRule="atLeast"/>
        </w:trPr>
        <w:tc>
          <w:tcPr>
            <w:tcW w:w="807" w:type="dxa"/>
            <w:vMerge w:val="continue"/>
            <w:vAlign w:val="center"/>
          </w:tcPr>
          <w:p>
            <w:pPr>
              <w:keepNext/>
              <w:snapToGrid w:val="0"/>
              <w:spacing w:line="360" w:lineRule="auto"/>
              <w:jc w:val="center"/>
              <w:rPr>
                <w:rFonts w:ascii="宋体" w:hAnsi="宋体" w:cs="宋体"/>
                <w:sz w:val="24"/>
              </w:rPr>
            </w:pPr>
          </w:p>
        </w:tc>
        <w:tc>
          <w:tcPr>
            <w:tcW w:w="1677" w:type="dxa"/>
            <w:vMerge w:val="continue"/>
            <w:vAlign w:val="center"/>
          </w:tcPr>
          <w:p>
            <w:pPr>
              <w:keepNext/>
              <w:snapToGrid w:val="0"/>
              <w:spacing w:line="360" w:lineRule="auto"/>
              <w:jc w:val="center"/>
              <w:rPr>
                <w:rFonts w:ascii="宋体" w:hAnsi="宋体" w:cs="宋体"/>
                <w:sz w:val="24"/>
              </w:rPr>
            </w:pPr>
          </w:p>
        </w:tc>
        <w:tc>
          <w:tcPr>
            <w:tcW w:w="5425" w:type="dxa"/>
            <w:vAlign w:val="center"/>
          </w:tcPr>
          <w:p>
            <w:pPr>
              <w:snapToGrid w:val="0"/>
              <w:spacing w:line="360" w:lineRule="auto"/>
              <w:rPr>
                <w:rFonts w:ascii="宋体" w:hAnsi="宋体" w:cs="宋体"/>
                <w:sz w:val="24"/>
              </w:rPr>
            </w:pPr>
            <w:r>
              <w:rPr>
                <w:rFonts w:hint="eastAsia" w:ascii="宋体" w:hAnsi="宋体" w:cs="宋体"/>
                <w:sz w:val="24"/>
              </w:rPr>
              <w:t>技术一般，可靠性一般。</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9" w:hRule="atLeast"/>
        </w:trPr>
        <w:tc>
          <w:tcPr>
            <w:tcW w:w="807" w:type="dxa"/>
            <w:vMerge w:val="continue"/>
            <w:vAlign w:val="center"/>
          </w:tcPr>
          <w:p>
            <w:pPr>
              <w:keepNext/>
              <w:snapToGrid w:val="0"/>
              <w:spacing w:line="360" w:lineRule="auto"/>
              <w:jc w:val="center"/>
              <w:rPr>
                <w:rFonts w:ascii="宋体" w:hAnsi="宋体" w:cs="宋体"/>
                <w:sz w:val="24"/>
              </w:rPr>
            </w:pPr>
          </w:p>
        </w:tc>
        <w:tc>
          <w:tcPr>
            <w:tcW w:w="1677" w:type="dxa"/>
            <w:vMerge w:val="continue"/>
            <w:vAlign w:val="center"/>
          </w:tcPr>
          <w:p>
            <w:pPr>
              <w:keepNext/>
              <w:snapToGrid w:val="0"/>
              <w:spacing w:line="360" w:lineRule="auto"/>
              <w:jc w:val="center"/>
              <w:rPr>
                <w:rFonts w:ascii="宋体" w:hAnsi="宋体" w:cs="宋体"/>
                <w:sz w:val="24"/>
              </w:rPr>
            </w:pPr>
          </w:p>
        </w:tc>
        <w:tc>
          <w:tcPr>
            <w:tcW w:w="5425" w:type="dxa"/>
            <w:vAlign w:val="center"/>
          </w:tcPr>
          <w:p>
            <w:pPr>
              <w:snapToGrid w:val="0"/>
              <w:spacing w:line="360" w:lineRule="auto"/>
              <w:rPr>
                <w:rFonts w:ascii="宋体" w:hAnsi="宋体" w:cs="宋体"/>
                <w:sz w:val="24"/>
              </w:rPr>
            </w:pPr>
            <w:r>
              <w:rPr>
                <w:rFonts w:hint="eastAsia" w:ascii="宋体" w:hAnsi="宋体" w:cs="宋体"/>
                <w:sz w:val="24"/>
              </w:rPr>
              <w:t>技术差，可靠性差。</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Merge w:val="restart"/>
            <w:vAlign w:val="center"/>
          </w:tcPr>
          <w:p>
            <w:pPr>
              <w:keepNext/>
              <w:snapToGrid w:val="0"/>
              <w:spacing w:line="360" w:lineRule="auto"/>
              <w:jc w:val="center"/>
              <w:rPr>
                <w:rFonts w:ascii="宋体" w:hAnsi="宋体" w:cs="宋体"/>
                <w:sz w:val="24"/>
              </w:rPr>
            </w:pPr>
            <w:r>
              <w:rPr>
                <w:rFonts w:hint="eastAsia" w:ascii="宋体" w:hAnsi="宋体" w:cs="宋体"/>
                <w:sz w:val="24"/>
              </w:rPr>
              <w:t>7</w:t>
            </w:r>
          </w:p>
        </w:tc>
        <w:tc>
          <w:tcPr>
            <w:tcW w:w="1677" w:type="dxa"/>
            <w:vMerge w:val="restart"/>
            <w:vAlign w:val="center"/>
          </w:tcPr>
          <w:p>
            <w:pPr>
              <w:keepNext/>
              <w:snapToGrid w:val="0"/>
              <w:spacing w:line="360" w:lineRule="auto"/>
              <w:jc w:val="center"/>
              <w:rPr>
                <w:rFonts w:ascii="宋体" w:hAnsi="宋体" w:cs="宋体"/>
                <w:sz w:val="24"/>
              </w:rPr>
            </w:pPr>
            <w:r>
              <w:rPr>
                <w:rFonts w:hint="eastAsia" w:ascii="宋体" w:hAnsi="宋体" w:cs="宋体"/>
                <w:sz w:val="24"/>
              </w:rPr>
              <w:t>设备环保性</w:t>
            </w:r>
          </w:p>
          <w:p>
            <w:pPr>
              <w:keepNext/>
              <w:snapToGrid w:val="0"/>
              <w:spacing w:line="360" w:lineRule="auto"/>
              <w:jc w:val="center"/>
              <w:rPr>
                <w:rFonts w:ascii="宋体" w:hAnsi="宋体" w:cs="宋体"/>
                <w:sz w:val="24"/>
              </w:rPr>
            </w:pPr>
            <w:r>
              <w:rPr>
                <w:rFonts w:hint="eastAsia" w:ascii="宋体" w:hAnsi="宋体" w:cs="宋体"/>
                <w:sz w:val="24"/>
              </w:rPr>
              <w:t>（2分）</w:t>
            </w:r>
          </w:p>
        </w:tc>
        <w:tc>
          <w:tcPr>
            <w:tcW w:w="5425" w:type="dxa"/>
            <w:vAlign w:val="center"/>
          </w:tcPr>
          <w:p>
            <w:pPr>
              <w:snapToGrid w:val="0"/>
              <w:spacing w:line="360" w:lineRule="auto"/>
              <w:rPr>
                <w:rFonts w:ascii="宋体" w:hAnsi="宋体" w:cs="宋体"/>
                <w:sz w:val="24"/>
              </w:rPr>
            </w:pPr>
            <w:r>
              <w:rPr>
                <w:rFonts w:hint="eastAsia" w:ascii="宋体" w:hAnsi="宋体" w:cs="宋体"/>
                <w:sz w:val="24"/>
              </w:rPr>
              <w:t>环保</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Merge w:val="continue"/>
            <w:vAlign w:val="center"/>
          </w:tcPr>
          <w:p>
            <w:pPr>
              <w:keepNext/>
              <w:snapToGrid w:val="0"/>
              <w:spacing w:line="360" w:lineRule="auto"/>
              <w:jc w:val="center"/>
              <w:rPr>
                <w:rFonts w:ascii="宋体" w:hAnsi="宋体" w:cs="宋体"/>
                <w:sz w:val="24"/>
              </w:rPr>
            </w:pPr>
          </w:p>
        </w:tc>
        <w:tc>
          <w:tcPr>
            <w:tcW w:w="1677" w:type="dxa"/>
            <w:vMerge w:val="continue"/>
            <w:vAlign w:val="center"/>
          </w:tcPr>
          <w:p>
            <w:pPr>
              <w:keepNext/>
              <w:snapToGrid w:val="0"/>
              <w:spacing w:line="360" w:lineRule="auto"/>
              <w:jc w:val="center"/>
              <w:rPr>
                <w:rFonts w:ascii="宋体" w:hAnsi="宋体" w:cs="宋体"/>
                <w:sz w:val="24"/>
              </w:rPr>
            </w:pPr>
          </w:p>
        </w:tc>
        <w:tc>
          <w:tcPr>
            <w:tcW w:w="5425" w:type="dxa"/>
            <w:vAlign w:val="center"/>
          </w:tcPr>
          <w:p>
            <w:pPr>
              <w:snapToGrid w:val="0"/>
              <w:spacing w:line="360" w:lineRule="auto"/>
              <w:rPr>
                <w:rFonts w:ascii="宋体" w:hAnsi="宋体" w:cs="宋体"/>
                <w:sz w:val="24"/>
              </w:rPr>
            </w:pPr>
            <w:r>
              <w:rPr>
                <w:rFonts w:hint="eastAsia" w:ascii="宋体" w:hAnsi="宋体" w:cs="宋体"/>
                <w:sz w:val="24"/>
              </w:rPr>
              <w:t>一般</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Merge w:val="restart"/>
            <w:vAlign w:val="center"/>
          </w:tcPr>
          <w:p>
            <w:pPr>
              <w:keepNext/>
              <w:snapToGrid w:val="0"/>
              <w:spacing w:line="360" w:lineRule="auto"/>
              <w:jc w:val="center"/>
              <w:rPr>
                <w:rFonts w:ascii="宋体" w:hAnsi="宋体" w:cs="宋体"/>
                <w:sz w:val="24"/>
              </w:rPr>
            </w:pPr>
            <w:r>
              <w:rPr>
                <w:rFonts w:hint="eastAsia" w:ascii="宋体" w:hAnsi="宋体" w:cs="宋体"/>
                <w:sz w:val="24"/>
              </w:rPr>
              <w:t>8</w:t>
            </w:r>
          </w:p>
        </w:tc>
        <w:tc>
          <w:tcPr>
            <w:tcW w:w="1677" w:type="dxa"/>
            <w:vMerge w:val="restart"/>
            <w:vAlign w:val="center"/>
          </w:tcPr>
          <w:p>
            <w:pPr>
              <w:keepNext/>
              <w:snapToGrid w:val="0"/>
              <w:spacing w:line="360" w:lineRule="auto"/>
              <w:jc w:val="center"/>
              <w:rPr>
                <w:rFonts w:ascii="宋体" w:hAnsi="宋体" w:cs="宋体"/>
                <w:sz w:val="24"/>
              </w:rPr>
            </w:pPr>
            <w:r>
              <w:rPr>
                <w:rFonts w:hint="eastAsia" w:ascii="宋体" w:hAnsi="宋体" w:cs="宋体"/>
                <w:sz w:val="24"/>
              </w:rPr>
              <w:t>设备功能是否先进、完善</w:t>
            </w:r>
          </w:p>
          <w:p>
            <w:pPr>
              <w:keepNext/>
              <w:snapToGrid w:val="0"/>
              <w:spacing w:line="360" w:lineRule="auto"/>
              <w:jc w:val="center"/>
              <w:rPr>
                <w:rFonts w:ascii="宋体" w:hAnsi="宋体" w:cs="宋体"/>
                <w:sz w:val="24"/>
              </w:rPr>
            </w:pPr>
            <w:r>
              <w:rPr>
                <w:rFonts w:hint="eastAsia" w:ascii="宋体" w:hAnsi="宋体" w:cs="宋体"/>
                <w:sz w:val="24"/>
              </w:rPr>
              <w:t>（10分）</w:t>
            </w:r>
          </w:p>
        </w:tc>
        <w:tc>
          <w:tcPr>
            <w:tcW w:w="5425" w:type="dxa"/>
            <w:vAlign w:val="center"/>
          </w:tcPr>
          <w:p>
            <w:pPr>
              <w:snapToGrid w:val="0"/>
              <w:spacing w:line="360" w:lineRule="auto"/>
              <w:rPr>
                <w:rFonts w:ascii="宋体" w:hAnsi="宋体" w:cs="宋体"/>
                <w:sz w:val="24"/>
              </w:rPr>
            </w:pPr>
            <w:r>
              <w:rPr>
                <w:rFonts w:hint="eastAsia" w:ascii="宋体" w:hAnsi="宋体" w:cs="宋体"/>
                <w:sz w:val="24"/>
              </w:rPr>
              <w:t>完善</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1" w:hRule="atLeast"/>
        </w:trPr>
        <w:tc>
          <w:tcPr>
            <w:tcW w:w="807" w:type="dxa"/>
            <w:vMerge w:val="continue"/>
            <w:vAlign w:val="center"/>
          </w:tcPr>
          <w:p>
            <w:pPr>
              <w:keepNext/>
              <w:snapToGrid w:val="0"/>
              <w:spacing w:line="360" w:lineRule="auto"/>
              <w:jc w:val="center"/>
              <w:rPr>
                <w:rFonts w:ascii="宋体" w:hAnsi="宋体" w:cs="宋体"/>
                <w:sz w:val="24"/>
              </w:rPr>
            </w:pPr>
          </w:p>
        </w:tc>
        <w:tc>
          <w:tcPr>
            <w:tcW w:w="1677" w:type="dxa"/>
            <w:vMerge w:val="continue"/>
            <w:vAlign w:val="center"/>
          </w:tcPr>
          <w:p>
            <w:pPr>
              <w:keepNext/>
              <w:snapToGrid w:val="0"/>
              <w:spacing w:line="360" w:lineRule="auto"/>
              <w:jc w:val="center"/>
              <w:rPr>
                <w:rFonts w:ascii="宋体" w:hAnsi="宋体" w:cs="宋体"/>
                <w:sz w:val="24"/>
              </w:rPr>
            </w:pPr>
          </w:p>
        </w:tc>
        <w:tc>
          <w:tcPr>
            <w:tcW w:w="5425" w:type="dxa"/>
            <w:vAlign w:val="center"/>
          </w:tcPr>
          <w:p>
            <w:pPr>
              <w:snapToGrid w:val="0"/>
              <w:spacing w:line="360" w:lineRule="auto"/>
              <w:rPr>
                <w:rFonts w:ascii="宋体" w:hAnsi="宋体" w:cs="宋体"/>
                <w:sz w:val="24"/>
              </w:rPr>
            </w:pPr>
            <w:r>
              <w:rPr>
                <w:rFonts w:hint="eastAsia" w:ascii="宋体" w:hAnsi="宋体" w:cs="宋体"/>
                <w:sz w:val="24"/>
              </w:rPr>
              <w:t>一般</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9" w:hRule="atLeast"/>
        </w:trPr>
        <w:tc>
          <w:tcPr>
            <w:tcW w:w="807" w:type="dxa"/>
            <w:vMerge w:val="continue"/>
            <w:vAlign w:val="center"/>
          </w:tcPr>
          <w:p>
            <w:pPr>
              <w:keepNext/>
              <w:snapToGrid w:val="0"/>
              <w:spacing w:line="360" w:lineRule="auto"/>
              <w:jc w:val="center"/>
              <w:rPr>
                <w:rFonts w:ascii="宋体" w:hAnsi="宋体" w:cs="宋体"/>
                <w:sz w:val="24"/>
              </w:rPr>
            </w:pPr>
          </w:p>
        </w:tc>
        <w:tc>
          <w:tcPr>
            <w:tcW w:w="1677" w:type="dxa"/>
            <w:vMerge w:val="continue"/>
            <w:vAlign w:val="center"/>
          </w:tcPr>
          <w:p>
            <w:pPr>
              <w:keepNext/>
              <w:snapToGrid w:val="0"/>
              <w:spacing w:line="360" w:lineRule="auto"/>
              <w:jc w:val="center"/>
              <w:rPr>
                <w:rFonts w:ascii="宋体" w:hAnsi="宋体" w:cs="宋体"/>
                <w:sz w:val="24"/>
              </w:rPr>
            </w:pPr>
          </w:p>
        </w:tc>
        <w:tc>
          <w:tcPr>
            <w:tcW w:w="5425" w:type="dxa"/>
            <w:vAlign w:val="center"/>
          </w:tcPr>
          <w:p>
            <w:pPr>
              <w:snapToGrid w:val="0"/>
              <w:spacing w:line="360" w:lineRule="auto"/>
              <w:rPr>
                <w:rFonts w:ascii="宋体" w:hAnsi="宋体" w:cs="宋体"/>
                <w:sz w:val="24"/>
              </w:rPr>
            </w:pPr>
            <w:r>
              <w:rPr>
                <w:rFonts w:hint="eastAsia" w:ascii="宋体" w:hAnsi="宋体" w:cs="宋体"/>
                <w:sz w:val="24"/>
              </w:rPr>
              <w:t>差</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Merge w:val="restart"/>
            <w:vAlign w:val="center"/>
          </w:tcPr>
          <w:p>
            <w:pPr>
              <w:keepNext/>
              <w:snapToGrid w:val="0"/>
              <w:spacing w:line="360" w:lineRule="auto"/>
              <w:jc w:val="center"/>
              <w:rPr>
                <w:rFonts w:ascii="宋体" w:hAnsi="宋体" w:cs="宋体"/>
                <w:sz w:val="24"/>
              </w:rPr>
            </w:pPr>
            <w:r>
              <w:rPr>
                <w:rFonts w:hint="eastAsia" w:ascii="宋体" w:hAnsi="宋体" w:cs="宋体"/>
                <w:sz w:val="24"/>
              </w:rPr>
              <w:t>9</w:t>
            </w:r>
          </w:p>
        </w:tc>
        <w:tc>
          <w:tcPr>
            <w:tcW w:w="1677" w:type="dxa"/>
            <w:vMerge w:val="restart"/>
            <w:vAlign w:val="center"/>
          </w:tcPr>
          <w:p>
            <w:pPr>
              <w:keepNext/>
              <w:snapToGrid w:val="0"/>
              <w:spacing w:line="360" w:lineRule="auto"/>
              <w:jc w:val="center"/>
              <w:rPr>
                <w:rFonts w:ascii="宋体" w:hAnsi="宋体" w:cs="宋体"/>
                <w:sz w:val="24"/>
              </w:rPr>
            </w:pPr>
            <w:r>
              <w:rPr>
                <w:rFonts w:hint="eastAsia" w:ascii="宋体" w:hAnsi="宋体" w:cs="宋体"/>
                <w:sz w:val="24"/>
              </w:rPr>
              <w:t>售后服务计划及承诺</w:t>
            </w:r>
          </w:p>
          <w:p>
            <w:pPr>
              <w:keepNext/>
              <w:snapToGrid w:val="0"/>
              <w:spacing w:line="360" w:lineRule="auto"/>
              <w:jc w:val="center"/>
              <w:rPr>
                <w:rFonts w:ascii="宋体" w:hAnsi="宋体" w:cs="宋体"/>
                <w:sz w:val="24"/>
              </w:rPr>
            </w:pPr>
            <w:r>
              <w:rPr>
                <w:rFonts w:hint="eastAsia" w:ascii="宋体" w:hAnsi="宋体" w:cs="宋体"/>
                <w:sz w:val="24"/>
              </w:rPr>
              <w:t>（12分）</w:t>
            </w:r>
          </w:p>
        </w:tc>
        <w:tc>
          <w:tcPr>
            <w:tcW w:w="5425" w:type="dxa"/>
            <w:vAlign w:val="center"/>
          </w:tcPr>
          <w:p>
            <w:pPr>
              <w:pStyle w:val="20"/>
              <w:snapToGrid w:val="0"/>
              <w:spacing w:line="360" w:lineRule="auto"/>
              <w:rPr>
                <w:rFonts w:hAnsi="宋体" w:cs="宋体"/>
                <w:sz w:val="24"/>
                <w:szCs w:val="24"/>
              </w:rPr>
            </w:pPr>
            <w:r>
              <w:rPr>
                <w:rFonts w:hint="eastAsia" w:hAnsi="宋体" w:cs="宋体"/>
                <w:bCs/>
                <w:sz w:val="24"/>
                <w:szCs w:val="24"/>
              </w:rPr>
              <w:t>培训及其他售后服务项目齐全、计划完善、能定期回访保养、能提供其它增项免费服务项目。</w:t>
            </w:r>
            <w:r>
              <w:rPr>
                <w:rFonts w:hint="eastAsia" w:hAnsi="宋体" w:cs="宋体"/>
                <w:sz w:val="24"/>
                <w:szCs w:val="24"/>
              </w:rPr>
              <w:t>有完善的售后服务保证措施，针对本项目的售后服务承诺，在</w:t>
            </w:r>
            <w:r>
              <w:rPr>
                <w:rFonts w:hint="eastAsia" w:hAnsi="宋体" w:cs="宋体"/>
                <w:kern w:val="0"/>
                <w:sz w:val="24"/>
                <w:szCs w:val="24"/>
              </w:rPr>
              <w:t>京有专业固定售后服务站及24小时维保热线，人员数量、能力满足项目需要，配件库存量充足</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Merge w:val="continue"/>
            <w:vAlign w:val="center"/>
          </w:tcPr>
          <w:p>
            <w:pPr>
              <w:keepNext/>
              <w:snapToGrid w:val="0"/>
              <w:spacing w:line="360" w:lineRule="auto"/>
              <w:jc w:val="center"/>
              <w:rPr>
                <w:rFonts w:ascii="宋体" w:hAnsi="宋体" w:cs="宋体"/>
                <w:sz w:val="24"/>
              </w:rPr>
            </w:pPr>
          </w:p>
        </w:tc>
        <w:tc>
          <w:tcPr>
            <w:tcW w:w="1677" w:type="dxa"/>
            <w:vMerge w:val="continue"/>
            <w:vAlign w:val="center"/>
          </w:tcPr>
          <w:p>
            <w:pPr>
              <w:keepNext/>
              <w:snapToGrid w:val="0"/>
              <w:spacing w:line="360" w:lineRule="auto"/>
              <w:jc w:val="center"/>
              <w:rPr>
                <w:rFonts w:ascii="宋体" w:hAnsi="宋体" w:cs="宋体"/>
                <w:sz w:val="24"/>
              </w:rPr>
            </w:pPr>
          </w:p>
        </w:tc>
        <w:tc>
          <w:tcPr>
            <w:tcW w:w="5425" w:type="dxa"/>
            <w:vAlign w:val="center"/>
          </w:tcPr>
          <w:p>
            <w:pPr>
              <w:pStyle w:val="20"/>
              <w:snapToGrid w:val="0"/>
              <w:spacing w:line="360" w:lineRule="auto"/>
              <w:rPr>
                <w:rFonts w:hAnsi="宋体" w:cs="宋体"/>
                <w:sz w:val="24"/>
                <w:szCs w:val="24"/>
              </w:rPr>
            </w:pPr>
            <w:r>
              <w:rPr>
                <w:rFonts w:hint="eastAsia" w:hAnsi="宋体" w:cs="宋体"/>
                <w:sz w:val="24"/>
                <w:szCs w:val="24"/>
              </w:rPr>
              <w:t>有较完善的售后服务保证措施，基本满足本项目的售后服务承诺，在</w:t>
            </w:r>
            <w:r>
              <w:rPr>
                <w:rFonts w:hint="eastAsia" w:hAnsi="宋体" w:cs="宋体"/>
                <w:kern w:val="0"/>
                <w:sz w:val="24"/>
                <w:szCs w:val="24"/>
              </w:rPr>
              <w:t>京有售后服务站及24小时维保热线，人员数量、能力基本满足项目需要，配件库存量一般</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Merge w:val="continue"/>
            <w:vAlign w:val="center"/>
          </w:tcPr>
          <w:p>
            <w:pPr>
              <w:keepNext/>
              <w:snapToGrid w:val="0"/>
              <w:spacing w:line="360" w:lineRule="auto"/>
              <w:jc w:val="center"/>
              <w:rPr>
                <w:rFonts w:ascii="宋体" w:hAnsi="宋体" w:cs="宋体"/>
                <w:sz w:val="24"/>
              </w:rPr>
            </w:pPr>
          </w:p>
        </w:tc>
        <w:tc>
          <w:tcPr>
            <w:tcW w:w="1677" w:type="dxa"/>
            <w:vMerge w:val="continue"/>
            <w:vAlign w:val="center"/>
          </w:tcPr>
          <w:p>
            <w:pPr>
              <w:keepNext/>
              <w:snapToGrid w:val="0"/>
              <w:spacing w:line="360" w:lineRule="auto"/>
              <w:jc w:val="center"/>
              <w:rPr>
                <w:rFonts w:ascii="宋体" w:hAnsi="宋体" w:cs="宋体"/>
                <w:sz w:val="24"/>
              </w:rPr>
            </w:pPr>
          </w:p>
        </w:tc>
        <w:tc>
          <w:tcPr>
            <w:tcW w:w="5425" w:type="dxa"/>
            <w:vAlign w:val="center"/>
          </w:tcPr>
          <w:p>
            <w:pPr>
              <w:pStyle w:val="20"/>
              <w:snapToGrid w:val="0"/>
              <w:spacing w:line="360" w:lineRule="auto"/>
              <w:rPr>
                <w:rFonts w:hAnsi="宋体" w:cs="宋体"/>
                <w:sz w:val="24"/>
                <w:szCs w:val="24"/>
              </w:rPr>
            </w:pPr>
            <w:r>
              <w:rPr>
                <w:rFonts w:hint="eastAsia" w:hAnsi="宋体" w:cs="宋体"/>
                <w:sz w:val="24"/>
                <w:szCs w:val="24"/>
              </w:rPr>
              <w:t>售后服务保证措施不完善，不能提供满足本项目的售后服务，在</w:t>
            </w:r>
            <w:r>
              <w:rPr>
                <w:rFonts w:hint="eastAsia" w:hAnsi="宋体" w:cs="宋体"/>
                <w:kern w:val="0"/>
                <w:sz w:val="24"/>
                <w:szCs w:val="24"/>
              </w:rPr>
              <w:t>京有售后服务站及24小时维保热线，人员数量、能力不能满足项目需要，配件库存量较少</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trPr>
        <w:tc>
          <w:tcPr>
            <w:tcW w:w="807" w:type="dxa"/>
            <w:vAlign w:val="center"/>
          </w:tcPr>
          <w:p>
            <w:pPr>
              <w:keepNext/>
              <w:snapToGrid w:val="0"/>
              <w:spacing w:line="360" w:lineRule="auto"/>
              <w:jc w:val="center"/>
              <w:rPr>
                <w:rFonts w:ascii="宋体" w:hAnsi="宋体" w:cs="宋体"/>
                <w:sz w:val="24"/>
              </w:rPr>
            </w:pPr>
            <w:r>
              <w:rPr>
                <w:rFonts w:hint="eastAsia" w:ascii="宋体" w:hAnsi="宋体" w:cs="宋体"/>
                <w:sz w:val="24"/>
              </w:rPr>
              <w:t>10</w:t>
            </w:r>
          </w:p>
        </w:tc>
        <w:tc>
          <w:tcPr>
            <w:tcW w:w="1677" w:type="dxa"/>
            <w:vAlign w:val="center"/>
          </w:tcPr>
          <w:p>
            <w:pPr>
              <w:spacing w:line="312" w:lineRule="auto"/>
              <w:jc w:val="center"/>
              <w:rPr>
                <w:rFonts w:ascii="宋体" w:hAnsi="宋体" w:cs="宋体"/>
                <w:snapToGrid w:val="0"/>
                <w:kern w:val="0"/>
                <w:sz w:val="24"/>
              </w:rPr>
            </w:pPr>
            <w:r>
              <w:rPr>
                <w:rFonts w:hint="eastAsia" w:ascii="宋体" w:hAnsi="宋体" w:cs="宋体"/>
                <w:snapToGrid w:val="0"/>
                <w:kern w:val="0"/>
                <w:sz w:val="24"/>
              </w:rPr>
              <w:t>政策法规</w:t>
            </w:r>
          </w:p>
          <w:p>
            <w:pPr>
              <w:keepNext/>
              <w:snapToGrid w:val="0"/>
              <w:spacing w:line="360" w:lineRule="auto"/>
              <w:jc w:val="center"/>
              <w:rPr>
                <w:rFonts w:ascii="宋体" w:hAnsi="宋体" w:cs="宋体"/>
                <w:sz w:val="24"/>
              </w:rPr>
            </w:pPr>
            <w:r>
              <w:rPr>
                <w:rFonts w:hint="eastAsia" w:ascii="宋体" w:hAnsi="宋体" w:cs="宋体"/>
                <w:snapToGrid w:val="0"/>
                <w:kern w:val="0"/>
                <w:sz w:val="24"/>
              </w:rPr>
              <w:t>（2分）</w:t>
            </w:r>
          </w:p>
        </w:tc>
        <w:tc>
          <w:tcPr>
            <w:tcW w:w="5425" w:type="dxa"/>
            <w:vAlign w:val="center"/>
          </w:tcPr>
          <w:p>
            <w:pPr>
              <w:spacing w:line="360" w:lineRule="auto"/>
              <w:rPr>
                <w:rFonts w:ascii="宋体" w:hAnsi="宋体"/>
                <w:sz w:val="24"/>
                <w:szCs w:val="20"/>
              </w:rPr>
            </w:pPr>
            <w:r>
              <w:rPr>
                <w:rFonts w:hint="eastAsia" w:ascii="宋体" w:hAnsi="宋体"/>
                <w:sz w:val="24"/>
                <w:szCs w:val="20"/>
              </w:rPr>
              <w:t>1.投标产品中每有一项品目清单范围内属于优先采购节能产品的（</w:t>
            </w:r>
            <w:r>
              <w:rPr>
                <w:rFonts w:hint="eastAsia" w:ascii="宋体" w:hAnsi="宋体" w:cs="宋体"/>
                <w:kern w:val="0"/>
                <w:sz w:val="24"/>
                <w:szCs w:val="20"/>
              </w:rPr>
              <w:t>须</w:t>
            </w:r>
            <w:r>
              <w:rPr>
                <w:rFonts w:hint="eastAsia" w:ascii="宋体" w:hAnsi="宋体"/>
                <w:sz w:val="24"/>
                <w:szCs w:val="20"/>
              </w:rPr>
              <w:t>提供国家确定的认证机构出具的、处于有效期之内的节能产品认证证书复印件）加0.5分，最多加1分，否则不加分。</w:t>
            </w:r>
          </w:p>
          <w:p>
            <w:pPr>
              <w:spacing w:line="360" w:lineRule="auto"/>
              <w:rPr>
                <w:rFonts w:ascii="宋体" w:hAnsi="宋体"/>
                <w:sz w:val="24"/>
                <w:szCs w:val="20"/>
              </w:rPr>
            </w:pPr>
            <w:r>
              <w:rPr>
                <w:rFonts w:ascii="宋体" w:hAnsi="宋体"/>
                <w:sz w:val="24"/>
                <w:szCs w:val="20"/>
              </w:rPr>
              <w:t>2</w:t>
            </w:r>
            <w:r>
              <w:rPr>
                <w:rFonts w:hint="eastAsia" w:ascii="宋体" w:hAnsi="宋体"/>
                <w:sz w:val="24"/>
                <w:szCs w:val="20"/>
              </w:rPr>
              <w:t>.投标产品中每有一项品目清单范围内属于优先采购环境标志产品的（须</w:t>
            </w:r>
            <w:r>
              <w:rPr>
                <w:rFonts w:hint="eastAsia" w:ascii="宋体" w:hAnsi="宋体" w:cs="宋体"/>
                <w:bCs/>
                <w:sz w:val="24"/>
              </w:rPr>
              <w:t>提供国家确定的认证机构出具的、处于有效期之内的环境标志产品认证证书复印件</w:t>
            </w:r>
            <w:r>
              <w:rPr>
                <w:rFonts w:hint="eastAsia" w:ascii="宋体" w:hAnsi="宋体"/>
                <w:sz w:val="24"/>
                <w:szCs w:val="20"/>
              </w:rPr>
              <w:t>）加0.5分，最多加1分，否则不加分。</w:t>
            </w:r>
          </w:p>
          <w:p>
            <w:pPr>
              <w:spacing w:line="312" w:lineRule="auto"/>
              <w:rPr>
                <w:rFonts w:ascii="宋体" w:hAnsi="宋体" w:cs="宋体"/>
                <w:sz w:val="24"/>
              </w:rPr>
            </w:pPr>
            <w:r>
              <w:rPr>
                <w:rFonts w:hint="eastAsia" w:ascii="宋体" w:hAnsi="宋体"/>
                <w:sz w:val="24"/>
                <w:szCs w:val="20"/>
              </w:rPr>
              <w:t>注：以上复印件</w:t>
            </w:r>
            <w:r>
              <w:rPr>
                <w:rFonts w:ascii="宋体" w:hAnsi="宋体"/>
                <w:sz w:val="24"/>
                <w:szCs w:val="20"/>
              </w:rPr>
              <w:t>均</w:t>
            </w:r>
            <w:r>
              <w:rPr>
                <w:rFonts w:hint="eastAsia" w:ascii="宋体" w:hAnsi="宋体"/>
                <w:sz w:val="24"/>
                <w:szCs w:val="20"/>
              </w:rPr>
              <w:t>需加盖本单位公章；属于政府强制采购节能产品的不加分。</w:t>
            </w:r>
          </w:p>
        </w:tc>
        <w:tc>
          <w:tcPr>
            <w:tcW w:w="1218" w:type="dxa"/>
            <w:vAlign w:val="center"/>
          </w:tcPr>
          <w:p>
            <w:pPr>
              <w:snapToGrid w:val="0"/>
              <w:spacing w:line="360" w:lineRule="auto"/>
              <w:jc w:val="center"/>
              <w:rPr>
                <w:rFonts w:ascii="宋体" w:hAnsi="宋体" w:cs="宋体"/>
                <w:sz w:val="24"/>
              </w:rPr>
            </w:pPr>
            <w:r>
              <w:rPr>
                <w:rFonts w:hint="eastAsia" w:ascii="宋体" w:hAnsi="宋体" w:cs="宋体"/>
                <w:sz w:val="24"/>
              </w:rPr>
              <w:t>2分</w:t>
            </w:r>
          </w:p>
        </w:tc>
      </w:tr>
    </w:tbl>
    <w:p>
      <w:pPr>
        <w:spacing w:line="360" w:lineRule="auto"/>
        <w:rPr>
          <w:rStyle w:val="56"/>
          <w:b/>
        </w:rPr>
      </w:pPr>
    </w:p>
    <w:p>
      <w:pPr>
        <w:spacing w:line="360" w:lineRule="auto"/>
        <w:rPr>
          <w:rFonts w:ascii="宋体" w:hAnsi="Courier New"/>
          <w:sz w:val="24"/>
        </w:rPr>
      </w:pPr>
      <w:r>
        <w:rPr>
          <w:rFonts w:hint="eastAsia" w:ascii="宋体" w:hAnsi="Courier New"/>
          <w:sz w:val="24"/>
        </w:rPr>
        <w:t>价格评审说明：</w:t>
      </w:r>
    </w:p>
    <w:p>
      <w:pPr>
        <w:spacing w:line="360" w:lineRule="auto"/>
        <w:rPr>
          <w:rFonts w:ascii="宋体" w:hAnsi="Courier New"/>
          <w:sz w:val="24"/>
        </w:rPr>
      </w:pPr>
      <w:r>
        <w:rPr>
          <w:rFonts w:hint="eastAsia" w:ascii="宋体" w:hAnsi="Courier New"/>
          <w:sz w:val="24"/>
        </w:rPr>
        <w:t>(1)a.如投标人为小型、微型企业，对其所投货物为小型和微型企业产品的价格给予6%的扣除，用扣除后的价格参与评审； b.</w:t>
      </w:r>
      <w:r>
        <w:rPr>
          <w:rFonts w:hint="eastAsia" w:ascii="宋体" w:hAnsi="Courier New"/>
          <w:b/>
          <w:sz w:val="24"/>
          <w:u w:val="single"/>
        </w:rPr>
        <w:t>投标人应在投标分项报价表中明示</w:t>
      </w:r>
      <w:r>
        <w:rPr>
          <w:rFonts w:ascii="宋体" w:hAnsi="Courier New"/>
          <w:b/>
          <w:sz w:val="24"/>
          <w:u w:val="single"/>
        </w:rPr>
        <w:t>具体哪项</w:t>
      </w:r>
      <w:r>
        <w:rPr>
          <w:rFonts w:hint="eastAsia" w:ascii="宋体" w:hAnsi="Courier New"/>
          <w:b/>
          <w:sz w:val="24"/>
          <w:u w:val="single"/>
        </w:rPr>
        <w:t>产品属于小型和微型企业产品，列明单价及小型和微型产品总价，并如实按照附件格式要求填写“中小企业声明函”，并对声明的真实性负责；</w:t>
      </w:r>
      <w:r>
        <w:rPr>
          <w:rFonts w:hint="eastAsia" w:ascii="宋体" w:hAnsi="Courier New"/>
          <w:sz w:val="24"/>
        </w:rPr>
        <w:t>c.对未在分项报价表中列明或未按招标文件要求填写“中小企业声明函”或分项报价表与“中小企业声明函”内容不一致的，在价格评审时不予考虑。</w:t>
      </w:r>
    </w:p>
    <w:p>
      <w:pPr>
        <w:spacing w:line="360" w:lineRule="auto"/>
        <w:rPr>
          <w:rFonts w:ascii="宋体" w:hAnsi="Courier New"/>
          <w:sz w:val="24"/>
        </w:rPr>
      </w:pPr>
      <w:r>
        <w:rPr>
          <w:rFonts w:hint="eastAsia" w:ascii="宋体" w:hAnsi="Courier New"/>
          <w:sz w:val="24"/>
        </w:rPr>
        <w:t>(2) 监狱企业视同小型、微型企业, 监狱企业应当提供由省级以上监狱管理局、戒毒管理局(含新疆生产建设兵团)出具的属于监狱企业的证明文件。北京市监狱企业应当提供市监狱管理局、市教育矫治局出具的监狱企业的证明文件。</w:t>
      </w:r>
    </w:p>
    <w:p>
      <w:pPr>
        <w:spacing w:line="360" w:lineRule="auto"/>
        <w:rPr>
          <w:rFonts w:ascii="宋体" w:hAnsi="Courier New"/>
          <w:sz w:val="24"/>
        </w:rPr>
      </w:pPr>
      <w:r>
        <w:rPr>
          <w:rFonts w:hint="eastAsia" w:ascii="宋体" w:hAnsi="Courier New"/>
          <w:sz w:val="24"/>
        </w:rPr>
        <w:t>（3）残疾人福利性单位视同小型、微型企业，符合条件的残疾人福利性单位应按照《财政部 民政部 中国残疾人联合会关于促进残疾人就业政府采购政策的通知》的规定提供《残疾人福利性单位声明函》，并对声明的真实性负责。</w:t>
      </w:r>
    </w:p>
    <w:p>
      <w:pPr>
        <w:spacing w:line="360" w:lineRule="auto"/>
        <w:rPr>
          <w:rFonts w:ascii="宋体" w:hAnsi="宋体"/>
          <w:sz w:val="24"/>
        </w:rPr>
      </w:pPr>
    </w:p>
    <w:p>
      <w:pPr>
        <w:spacing w:line="360" w:lineRule="auto"/>
        <w:rPr>
          <w:rFonts w:ascii="宋体" w:hAnsi="宋体"/>
          <w:sz w:val="24"/>
        </w:rPr>
      </w:pPr>
      <w:r>
        <w:rPr>
          <w:rFonts w:hint="eastAsia" w:ascii="宋体" w:hAnsi="宋体"/>
          <w:b/>
          <w:sz w:val="24"/>
        </w:rPr>
        <w:t>注：</w:t>
      </w:r>
      <w:r>
        <w:rPr>
          <w:rFonts w:hint="eastAsia" w:ascii="宋体" w:hAnsi="宋体"/>
          <w:sz w:val="24"/>
        </w:rPr>
        <w:t>依据《财政部 发展改革委 生态环境部 市场监管总局 关于调整优化节能产品、环境标志产品政府采购执行机制的通知》（财库〔2019〕9号）的规定，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实施政府优先采购或强制采购。</w:t>
      </w:r>
    </w:p>
    <w:p>
      <w:pPr>
        <w:spacing w:line="360" w:lineRule="auto"/>
        <w:rPr>
          <w:rFonts w:ascii="宋体" w:hAnsi="宋体"/>
          <w:sz w:val="24"/>
        </w:rPr>
      </w:pPr>
      <w:r>
        <w:rPr>
          <w:rFonts w:hint="eastAsia" w:ascii="宋体" w:hAnsi="宋体"/>
          <w:sz w:val="24"/>
        </w:rPr>
        <w:t>一、如采购的产品属于强制采购的，投标人必须为投标产品出具由国家确定的认证机构出具的、处于有效期之内的认证证书，否则其投标将被视为无效投标。</w:t>
      </w:r>
    </w:p>
    <w:p>
      <w:pPr>
        <w:spacing w:line="360" w:lineRule="auto"/>
        <w:rPr>
          <w:rFonts w:ascii="宋体" w:hAnsi="宋体"/>
          <w:sz w:val="24"/>
        </w:rPr>
      </w:pPr>
      <w:r>
        <w:rPr>
          <w:rFonts w:hint="eastAsia" w:ascii="宋体" w:hAnsi="宋体"/>
          <w:sz w:val="24"/>
        </w:rPr>
        <w:t>二、如采购的产品属于优先采购的，投标人可以为投标产品出具由国家确定的认证机构出具的、处于有效期之内的认证证书，在评审时作加分因素。</w:t>
      </w:r>
    </w:p>
    <w:p>
      <w:pPr>
        <w:spacing w:line="360" w:lineRule="auto"/>
        <w:rPr>
          <w:rFonts w:ascii="宋体" w:hAnsi="宋体"/>
          <w:sz w:val="24"/>
        </w:rPr>
      </w:pPr>
      <w:r>
        <w:rPr>
          <w:rFonts w:hint="eastAsia" w:ascii="宋体" w:hAnsi="宋体"/>
          <w:sz w:val="24"/>
        </w:rPr>
        <w:t>三、节能产品政府采购品目清单及环境标志产品政府采购品目清单，投标人可在“中国政府采购网”相关栏目中查询。</w:t>
      </w:r>
    </w:p>
    <w:p>
      <w:pPr>
        <w:spacing w:line="360" w:lineRule="auto"/>
        <w:rPr>
          <w:rFonts w:ascii="宋体" w:hAnsi="宋体"/>
          <w:sz w:val="24"/>
        </w:rPr>
      </w:pPr>
    </w:p>
    <w:p>
      <w:pPr>
        <w:spacing w:line="360" w:lineRule="auto"/>
        <w:rPr>
          <w:rFonts w:ascii="宋体" w:hAnsi="宋体"/>
        </w:rPr>
      </w:pPr>
    </w:p>
    <w:p>
      <w:pPr>
        <w:spacing w:line="360" w:lineRule="auto"/>
        <w:rPr>
          <w:rFonts w:hAnsi="宋体"/>
          <w:bCs/>
          <w:kern w:val="44"/>
          <w:sz w:val="24"/>
          <w:lang w:val="zh-CN"/>
        </w:rPr>
        <w:sectPr>
          <w:pgSz w:w="11907" w:h="16840"/>
          <w:pgMar w:top="1560" w:right="1417" w:bottom="1089" w:left="1276" w:header="851" w:footer="1117" w:gutter="0"/>
          <w:cols w:space="720" w:num="1"/>
          <w:titlePg/>
          <w:docGrid w:linePitch="312" w:charSpace="0"/>
        </w:sectPr>
      </w:pPr>
    </w:p>
    <w:bookmarkEnd w:id="152"/>
    <w:p>
      <w:pPr>
        <w:pStyle w:val="2"/>
        <w:spacing w:line="360" w:lineRule="auto"/>
        <w:rPr>
          <w:lang w:val="en-US"/>
        </w:rPr>
      </w:pPr>
      <w:bookmarkStart w:id="155" w:name="_Toc6665550"/>
      <w:bookmarkStart w:id="156" w:name="_Toc491790582"/>
      <w:bookmarkStart w:id="157" w:name="_Toc310195758"/>
      <w:bookmarkStart w:id="158" w:name="_Toc310195761"/>
      <w:bookmarkStart w:id="159" w:name="_Toc520356217"/>
      <w:bookmarkStart w:id="160" w:name="_Ref467988698"/>
      <w:bookmarkStart w:id="161" w:name="_Toc236642990"/>
      <w:bookmarkStart w:id="162" w:name="_Toc480942349"/>
      <w:r>
        <w:rPr>
          <w:rFonts w:hint="eastAsia"/>
        </w:rPr>
        <w:t>第</w:t>
      </w:r>
      <w:r>
        <w:rPr>
          <w:rFonts w:hint="eastAsia"/>
          <w:lang w:val="en-US"/>
        </w:rPr>
        <w:t>六</w:t>
      </w:r>
      <w:r>
        <w:rPr>
          <w:rFonts w:hint="eastAsia"/>
        </w:rPr>
        <w:t xml:space="preserve">章 </w:t>
      </w:r>
      <w:r>
        <w:rPr>
          <w:rFonts w:hint="eastAsia"/>
          <w:lang w:val="en-US"/>
        </w:rPr>
        <w:t>政府采购合同格式</w:t>
      </w:r>
      <w:bookmarkEnd w:id="155"/>
    </w:p>
    <w:p>
      <w:pPr>
        <w:tabs>
          <w:tab w:val="left" w:pos="8280"/>
        </w:tabs>
        <w:snapToGrid w:val="0"/>
        <w:spacing w:before="119" w:line="326" w:lineRule="auto"/>
        <w:ind w:right="31"/>
        <w:jc w:val="center"/>
        <w:rPr>
          <w:rFonts w:asciiTheme="minorEastAsia" w:hAnsiTheme="minorEastAsia" w:eastAsiaTheme="minorEastAsia" w:cstheme="minorEastAsia"/>
          <w:b/>
          <w:szCs w:val="21"/>
        </w:rPr>
      </w:pPr>
    </w:p>
    <w:p>
      <w:pPr>
        <w:tabs>
          <w:tab w:val="left" w:pos="8280"/>
        </w:tabs>
        <w:snapToGrid w:val="0"/>
        <w:spacing w:before="119" w:line="326" w:lineRule="auto"/>
        <w:ind w:right="31"/>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                                        合同编号：</w:t>
      </w:r>
    </w:p>
    <w:p>
      <w:pPr>
        <w:rPr>
          <w:rFonts w:asciiTheme="minorEastAsia" w:hAnsiTheme="minorEastAsia" w:eastAsiaTheme="minorEastAsia" w:cstheme="minorEastAsia"/>
        </w:rPr>
      </w:pPr>
    </w:p>
    <w:p>
      <w:pPr>
        <w:snapToGrid w:val="0"/>
        <w:spacing w:before="119" w:line="351" w:lineRule="atLeast"/>
        <w:rPr>
          <w:rFonts w:asciiTheme="minorEastAsia" w:hAnsiTheme="minorEastAsia" w:eastAsiaTheme="minorEastAsia" w:cstheme="minorEastAsia"/>
        </w:rPr>
      </w:pPr>
    </w:p>
    <w:p>
      <w:pPr>
        <w:snapToGrid w:val="0"/>
        <w:spacing w:before="119" w:line="351" w:lineRule="atLeast"/>
        <w:rPr>
          <w:rFonts w:asciiTheme="minorEastAsia" w:hAnsiTheme="minorEastAsia" w:eastAsiaTheme="minorEastAsia" w:cstheme="minorEastAsia"/>
          <w:sz w:val="28"/>
          <w:szCs w:val="28"/>
        </w:rPr>
      </w:pPr>
    </w:p>
    <w:p>
      <w:pPr>
        <w:bidi w:val="0"/>
        <w:jc w:val="center"/>
        <w:rPr>
          <w:b/>
          <w:bCs/>
          <w:sz w:val="28"/>
          <w:szCs w:val="28"/>
        </w:rPr>
      </w:pPr>
      <w:bookmarkStart w:id="163" w:name="_Toc22690"/>
      <w:bookmarkStart w:id="164" w:name="_Toc6665551"/>
      <w:bookmarkStart w:id="165" w:name="_Toc28878"/>
      <w:bookmarkStart w:id="166" w:name="_Toc4029"/>
      <w:r>
        <w:rPr>
          <w:rFonts w:hint="eastAsia"/>
          <w:b/>
          <w:bCs/>
          <w:sz w:val="28"/>
          <w:szCs w:val="28"/>
        </w:rPr>
        <w:t>政 府 采 购 合 同</w:t>
      </w:r>
      <w:bookmarkEnd w:id="163"/>
      <w:bookmarkEnd w:id="164"/>
      <w:bookmarkEnd w:id="165"/>
      <w:bookmarkEnd w:id="166"/>
    </w:p>
    <w:p>
      <w:pPr>
        <w:pStyle w:val="117"/>
      </w:pPr>
    </w:p>
    <w:p>
      <w:pPr>
        <w:pStyle w:val="117"/>
      </w:pPr>
    </w:p>
    <w:p>
      <w:pPr>
        <w:pStyle w:val="117"/>
      </w:pPr>
    </w:p>
    <w:p>
      <w:pPr>
        <w:pStyle w:val="117"/>
      </w:pPr>
    </w:p>
    <w:p>
      <w:pPr>
        <w:snapToGrid w:val="0"/>
        <w:spacing w:before="119" w:line="272" w:lineRule="atLeast"/>
        <w:ind w:firstLine="1054" w:firstLineChars="500"/>
        <w:rPr>
          <w:rFonts w:asciiTheme="minorEastAsia" w:hAnsiTheme="minorEastAsia" w:eastAsiaTheme="minorEastAsia" w:cstheme="minorEastAsia"/>
          <w:b/>
          <w:szCs w:val="21"/>
        </w:rPr>
      </w:pPr>
    </w:p>
    <w:p>
      <w:pPr>
        <w:snapToGrid w:val="0"/>
        <w:spacing w:before="119" w:line="272" w:lineRule="atLeast"/>
        <w:ind w:firstLine="1054" w:firstLineChars="5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项目名称： </w:t>
      </w:r>
    </w:p>
    <w:p>
      <w:pPr>
        <w:snapToGrid w:val="0"/>
        <w:spacing w:before="119" w:line="272" w:lineRule="atLeast"/>
        <w:ind w:firstLine="1054" w:firstLineChars="500"/>
        <w:rPr>
          <w:rFonts w:asciiTheme="minorEastAsia" w:hAnsiTheme="minorEastAsia" w:eastAsiaTheme="minorEastAsia" w:cstheme="minorEastAsia"/>
          <w:b/>
          <w:szCs w:val="21"/>
        </w:rPr>
      </w:pPr>
    </w:p>
    <w:p>
      <w:pPr>
        <w:snapToGrid w:val="0"/>
        <w:spacing w:before="119" w:line="272" w:lineRule="atLeast"/>
        <w:ind w:firstLine="1054" w:firstLineChars="5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项目代理编号：</w:t>
      </w:r>
    </w:p>
    <w:p>
      <w:pPr>
        <w:snapToGrid w:val="0"/>
        <w:spacing w:before="119" w:line="272" w:lineRule="atLeast"/>
        <w:jc w:val="center"/>
        <w:rPr>
          <w:rFonts w:asciiTheme="minorEastAsia" w:hAnsiTheme="minorEastAsia" w:eastAsiaTheme="minorEastAsia" w:cstheme="minorEastAsia"/>
          <w:szCs w:val="21"/>
        </w:rPr>
      </w:pPr>
    </w:p>
    <w:p>
      <w:pPr>
        <w:snapToGrid w:val="0"/>
        <w:spacing w:before="119" w:line="272" w:lineRule="atLeast"/>
        <w:ind w:firstLine="1054" w:firstLineChars="5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甲　　方</w:t>
      </w:r>
      <w:r>
        <w:rPr>
          <w:rFonts w:hint="eastAsia" w:asciiTheme="minorEastAsia" w:hAnsiTheme="minorEastAsia" w:eastAsiaTheme="minorEastAsia" w:cstheme="minorEastAsia"/>
          <w:szCs w:val="21"/>
        </w:rPr>
        <w:t xml:space="preserve">：          </w:t>
      </w:r>
    </w:p>
    <w:p>
      <w:pPr>
        <w:snapToGrid w:val="0"/>
        <w:spacing w:before="119" w:line="272" w:lineRule="atLeast"/>
        <w:jc w:val="center"/>
        <w:rPr>
          <w:rFonts w:asciiTheme="minorEastAsia" w:hAnsiTheme="minorEastAsia" w:eastAsiaTheme="minorEastAsia" w:cstheme="minorEastAsia"/>
          <w:szCs w:val="21"/>
        </w:rPr>
      </w:pPr>
    </w:p>
    <w:p>
      <w:pPr>
        <w:snapToGrid w:val="0"/>
        <w:spacing w:before="119" w:line="272" w:lineRule="atLeast"/>
        <w:ind w:firstLine="1054" w:firstLineChars="5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乙　　方</w:t>
      </w:r>
      <w:r>
        <w:rPr>
          <w:rFonts w:hint="eastAsia" w:asciiTheme="minorEastAsia" w:hAnsiTheme="minorEastAsia" w:eastAsiaTheme="minorEastAsia" w:cstheme="minorEastAsia"/>
          <w:szCs w:val="21"/>
        </w:rPr>
        <w:t xml:space="preserve">： </w:t>
      </w:r>
    </w:p>
    <w:p>
      <w:pPr>
        <w:snapToGrid w:val="0"/>
        <w:spacing w:before="119" w:line="272" w:lineRule="atLeast"/>
        <w:jc w:val="center"/>
        <w:rPr>
          <w:rFonts w:asciiTheme="minorEastAsia" w:hAnsiTheme="minorEastAsia" w:eastAsiaTheme="minorEastAsia" w:cstheme="minorEastAsia"/>
          <w:szCs w:val="21"/>
        </w:rPr>
      </w:pPr>
    </w:p>
    <w:p>
      <w:pPr>
        <w:snapToGrid w:val="0"/>
        <w:spacing w:before="119" w:line="272" w:lineRule="atLeast"/>
        <w:jc w:val="center"/>
        <w:rPr>
          <w:rFonts w:asciiTheme="minorEastAsia" w:hAnsiTheme="minorEastAsia" w:eastAsiaTheme="minorEastAsia" w:cstheme="minorEastAsia"/>
          <w:szCs w:val="21"/>
        </w:rPr>
      </w:pPr>
    </w:p>
    <w:p>
      <w:pPr>
        <w:snapToGrid w:val="0"/>
        <w:spacing w:before="119" w:line="272" w:lineRule="atLeast"/>
        <w:jc w:val="center"/>
        <w:rPr>
          <w:rFonts w:asciiTheme="minorEastAsia" w:hAnsiTheme="minorEastAsia" w:eastAsiaTheme="minorEastAsia" w:cstheme="minorEastAsia"/>
          <w:szCs w:val="21"/>
        </w:rPr>
      </w:pPr>
    </w:p>
    <w:p>
      <w:pPr>
        <w:snapToGrid w:val="0"/>
        <w:spacing w:before="119" w:line="272" w:lineRule="atLeast"/>
        <w:jc w:val="center"/>
        <w:rPr>
          <w:rFonts w:asciiTheme="minorEastAsia" w:hAnsiTheme="minorEastAsia" w:eastAsiaTheme="minorEastAsia" w:cstheme="minorEastAsia"/>
          <w:szCs w:val="21"/>
        </w:rPr>
      </w:pPr>
    </w:p>
    <w:p>
      <w:pPr>
        <w:snapToGrid w:val="0"/>
        <w:spacing w:before="119" w:line="272" w:lineRule="atLeast"/>
        <w:ind w:firstLine="1054" w:firstLineChars="5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签署日期</w:t>
      </w:r>
      <w:r>
        <w:rPr>
          <w:rFonts w:hint="eastAsia" w:asciiTheme="minorEastAsia" w:hAnsiTheme="minorEastAsia" w:eastAsiaTheme="minorEastAsia" w:cstheme="minorEastAsia"/>
          <w:szCs w:val="21"/>
        </w:rPr>
        <w:t>：</w:t>
      </w:r>
      <w:bookmarkStart w:id="167" w:name="合同签署日期"/>
      <w:r>
        <w:rPr>
          <w:rFonts w:hint="eastAsia" w:asciiTheme="minorEastAsia" w:hAnsiTheme="minorEastAsia" w:eastAsiaTheme="minorEastAsia" w:cstheme="minorEastAsia"/>
          <w:szCs w:val="21"/>
          <w:u w:val="single" w:color="FF0000"/>
        </w:rPr>
        <w:t xml:space="preserve">     年    月     日</w:t>
      </w:r>
      <w:bookmarkEnd w:id="167"/>
    </w:p>
    <w:p>
      <w:pPr>
        <w:snapToGrid w:val="0"/>
        <w:spacing w:before="119" w:line="272"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snapToGrid w:val="0"/>
        <w:spacing w:before="119" w:line="272" w:lineRule="atLeas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Cs w:val="21"/>
        </w:rPr>
        <w:br w:type="page"/>
      </w:r>
      <w:r>
        <w:rPr>
          <w:rFonts w:hint="eastAsia" w:asciiTheme="minorEastAsia" w:hAnsiTheme="minorEastAsia" w:eastAsiaTheme="minorEastAsia" w:cstheme="minorEastAsia"/>
          <w:b/>
          <w:sz w:val="28"/>
          <w:szCs w:val="28"/>
        </w:rPr>
        <w:t>合       同</w:t>
      </w:r>
    </w:p>
    <w:p>
      <w:pPr>
        <w:snapToGrid w:val="0"/>
        <w:spacing w:before="119" w:line="289" w:lineRule="atLeast"/>
        <w:rPr>
          <w:rFonts w:asciiTheme="minorEastAsia" w:hAnsiTheme="minorEastAsia" w:eastAsiaTheme="minorEastAsia" w:cstheme="minorEastAsia"/>
        </w:rPr>
      </w:pPr>
    </w:p>
    <w:p>
      <w:pPr>
        <w:snapToGrid w:val="0"/>
        <w:spacing w:before="119" w:line="476" w:lineRule="atLeast"/>
        <w:ind w:firstLine="714" w:firstLineChars="3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w:t>
      </w:r>
      <w:bookmarkStart w:id="168" w:name="项目名称2"/>
      <w:r>
        <w:rPr>
          <w:rFonts w:hint="eastAsia" w:asciiTheme="minorEastAsia" w:hAnsiTheme="minorEastAsia" w:eastAsiaTheme="minorEastAsia" w:cstheme="minorEastAsia"/>
          <w:szCs w:val="21"/>
          <w:u w:val="single" w:color="FF0000"/>
        </w:rPr>
        <w:t xml:space="preserve">                        项目</w:t>
      </w:r>
      <w:bookmarkEnd w:id="168"/>
      <w:r>
        <w:rPr>
          <w:rFonts w:hint="eastAsia" w:asciiTheme="minorEastAsia" w:hAnsiTheme="minorEastAsia" w:eastAsiaTheme="minorEastAsia" w:cstheme="minorEastAsia"/>
          <w:szCs w:val="21"/>
        </w:rPr>
        <w:t xml:space="preserve">(项目名称)中所需   </w:t>
      </w:r>
      <w:r>
        <w:rPr>
          <w:rFonts w:hint="eastAsia" w:asciiTheme="minorEastAsia" w:hAnsiTheme="minorEastAsia" w:eastAsiaTheme="minorEastAsia" w:cstheme="minorEastAsia"/>
          <w:szCs w:val="21"/>
          <w:u w:val="single" w:color="FF0000"/>
        </w:rPr>
        <w:t xml:space="preserve"> </w:t>
      </w:r>
      <w:bookmarkStart w:id="169" w:name="货物名称"/>
      <w:r>
        <w:rPr>
          <w:rFonts w:hint="eastAsia" w:asciiTheme="minorEastAsia" w:hAnsiTheme="minorEastAsia" w:eastAsiaTheme="minorEastAsia" w:cstheme="minorEastAsia"/>
          <w:szCs w:val="21"/>
          <w:u w:val="single" w:color="FF0000"/>
        </w:rPr>
        <w:t xml:space="preserve">     项目               相关货物一批</w:t>
      </w:r>
      <w:bookmarkEnd w:id="169"/>
      <w:r>
        <w:rPr>
          <w:rFonts w:hint="eastAsia" w:asciiTheme="minorEastAsia" w:hAnsiTheme="minorEastAsia" w:eastAsiaTheme="minorEastAsia" w:cstheme="minorEastAsia"/>
          <w:szCs w:val="21"/>
          <w:u w:val="single" w:color="FF0000"/>
        </w:rPr>
        <w:t xml:space="preserve"> </w:t>
      </w:r>
      <w:r>
        <w:rPr>
          <w:rFonts w:hint="eastAsia" w:asciiTheme="minorEastAsia" w:hAnsiTheme="minorEastAsia" w:eastAsiaTheme="minorEastAsia" w:cstheme="minorEastAsia"/>
          <w:szCs w:val="21"/>
        </w:rPr>
        <w:t>(货物名称)经</w:t>
      </w:r>
      <w:r>
        <w:rPr>
          <w:rFonts w:hint="eastAsia" w:asciiTheme="minorEastAsia" w:hAnsiTheme="minorEastAsia" w:eastAsiaTheme="minorEastAsia" w:cstheme="minorEastAsia"/>
          <w:szCs w:val="21"/>
          <w:u w:val="single" w:color="FF0000"/>
        </w:rPr>
        <w:t xml:space="preserve"> </w:t>
      </w:r>
      <w:r>
        <w:rPr>
          <w:rFonts w:hint="eastAsia" w:asciiTheme="minorEastAsia" w:hAnsiTheme="minorEastAsia" w:eastAsiaTheme="minorEastAsia" w:cstheme="minorEastAsia"/>
          <w:szCs w:val="21"/>
        </w:rPr>
        <w:t>(采购人)以</w:t>
      </w:r>
      <w:r>
        <w:rPr>
          <w:rFonts w:hint="eastAsia" w:asciiTheme="minorEastAsia" w:hAnsiTheme="minorEastAsia" w:eastAsiaTheme="minorEastAsia" w:cstheme="minorEastAsia"/>
          <w:szCs w:val="21"/>
          <w:u w:val="single" w:color="FF0000"/>
        </w:rPr>
        <w:t>　                    招</w:t>
      </w:r>
      <w:r>
        <w:rPr>
          <w:rFonts w:hint="eastAsia" w:asciiTheme="minorEastAsia" w:hAnsiTheme="minorEastAsia" w:eastAsiaTheme="minorEastAsia" w:cstheme="minorEastAsia"/>
          <w:szCs w:val="21"/>
        </w:rPr>
        <w:t>标。经评标委员会评定</w:t>
      </w:r>
      <w:r>
        <w:rPr>
          <w:rFonts w:hint="eastAsia" w:asciiTheme="minorEastAsia" w:hAnsiTheme="minorEastAsia" w:eastAsiaTheme="minorEastAsia" w:cstheme="minorEastAsia"/>
          <w:szCs w:val="21"/>
          <w:u w:val="single" w:color="FF0000"/>
        </w:rPr>
        <w:t xml:space="preserve">                     </w:t>
      </w:r>
      <w:r>
        <w:rPr>
          <w:rFonts w:hint="eastAsia" w:asciiTheme="minorEastAsia" w:hAnsiTheme="minorEastAsia" w:eastAsiaTheme="minorEastAsia" w:cstheme="minorEastAsia"/>
          <w:szCs w:val="21"/>
        </w:rPr>
        <w:t>(乙方)为中标人。甲、乙双方依据《中华人民共和国政府采购法》、《中华人民共和国合同法》，在平等自愿的基础上，同意按照下面的条款和条件，签署本合同。</w:t>
      </w:r>
    </w:p>
    <w:p>
      <w:pPr>
        <w:numPr>
          <w:ilvl w:val="0"/>
          <w:numId w:val="6"/>
        </w:numPr>
        <w:tabs>
          <w:tab w:val="left" w:pos="360"/>
          <w:tab w:val="clear" w:pos="720"/>
        </w:tabs>
        <w:snapToGrid w:val="0"/>
        <w:spacing w:before="238" w:line="419" w:lineRule="atLeast"/>
        <w:ind w:left="0" w:firstLine="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合同文件</w:t>
      </w:r>
    </w:p>
    <w:p>
      <w:pPr>
        <w:snapToGrid w:val="0"/>
        <w:spacing w:before="238" w:line="419"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下列文件构成本合同的组成部分，应该认为是一个整体，彼此相互解释，相互补充。组成合同的多个文件的优先支配地位的次序如下：</w:t>
      </w:r>
    </w:p>
    <w:p>
      <w:pPr>
        <w:snapToGrid w:val="0"/>
        <w:spacing w:before="119" w:line="419"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 xml:space="preserve"> 本合同书（含一般条款、特殊条款及附件）</w:t>
      </w:r>
    </w:p>
    <w:p>
      <w:pPr>
        <w:snapToGrid w:val="0"/>
        <w:spacing w:before="119" w:line="419"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 xml:space="preserve"> 中标通知书（复印件附后）</w:t>
      </w:r>
    </w:p>
    <w:p>
      <w:pPr>
        <w:snapToGrid w:val="0"/>
        <w:spacing w:before="119" w:line="419"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 xml:space="preserve"> 协议（含供货承诺协议及售后服务协议）</w:t>
      </w:r>
    </w:p>
    <w:p>
      <w:pPr>
        <w:snapToGrid w:val="0"/>
        <w:spacing w:before="119" w:line="419"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 xml:space="preserve"> 投标文件(含澄清文件)</w:t>
      </w:r>
    </w:p>
    <w:p>
      <w:pPr>
        <w:snapToGrid w:val="0"/>
        <w:spacing w:before="119" w:after="147" w:line="419"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e.</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 xml:space="preserve"> 招标文件(含招标文件补充通知)</w:t>
      </w:r>
    </w:p>
    <w:p>
      <w:pPr>
        <w:snapToGrid w:val="0"/>
        <w:spacing w:before="119" w:line="419"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2、货物和数量</w:t>
      </w:r>
    </w:p>
    <w:p>
      <w:pPr>
        <w:snapToGrid w:val="0"/>
        <w:spacing w:before="119" w:line="419"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本合同货物：</w:t>
      </w:r>
      <w:bookmarkStart w:id="170" w:name="货物名称2"/>
      <w:r>
        <w:rPr>
          <w:rFonts w:hint="eastAsia" w:asciiTheme="minorEastAsia" w:hAnsiTheme="minorEastAsia" w:eastAsiaTheme="minorEastAsia" w:cstheme="minorEastAsia"/>
          <w:szCs w:val="21"/>
          <w:u w:val="single" w:color="FF0000"/>
        </w:rPr>
        <w:t xml:space="preserve">                         项目相关货物一批</w:t>
      </w:r>
      <w:bookmarkEnd w:id="170"/>
    </w:p>
    <w:p>
      <w:pPr>
        <w:snapToGrid w:val="0"/>
        <w:spacing w:before="119" w:line="419"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分类及数量：　见附表一 。</w:t>
      </w:r>
    </w:p>
    <w:p>
      <w:pPr>
        <w:snapToGrid w:val="0"/>
        <w:spacing w:before="238" w:line="419"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3、合同总价</w:t>
      </w:r>
    </w:p>
    <w:p>
      <w:pPr>
        <w:snapToGrid w:val="0"/>
        <w:spacing w:before="119" w:line="419"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本合同总价为</w:t>
      </w:r>
      <w:r>
        <w:rPr>
          <w:rFonts w:hint="eastAsia" w:asciiTheme="minorEastAsia" w:hAnsiTheme="minorEastAsia" w:eastAsiaTheme="minorEastAsia" w:cstheme="minorEastAsia"/>
          <w:szCs w:val="21"/>
          <w:u w:val="single" w:color="FF0000"/>
        </w:rPr>
        <w:t xml:space="preserve">               </w:t>
      </w:r>
      <w:r>
        <w:rPr>
          <w:rFonts w:hint="eastAsia" w:asciiTheme="minorEastAsia" w:hAnsiTheme="minorEastAsia" w:eastAsiaTheme="minorEastAsia" w:cstheme="minorEastAsia"/>
          <w:szCs w:val="21"/>
        </w:rPr>
        <w:t>元人民币（大写：</w:t>
      </w:r>
      <w:r>
        <w:rPr>
          <w:rFonts w:hint="eastAsia" w:asciiTheme="minorEastAsia" w:hAnsiTheme="minorEastAsia" w:eastAsiaTheme="minorEastAsia" w:cstheme="minorEastAsia"/>
          <w:szCs w:val="21"/>
          <w:u w:val="single" w:color="FF0000"/>
        </w:rPr>
        <w:t xml:space="preserve">                        </w:t>
      </w:r>
      <w:r>
        <w:rPr>
          <w:rFonts w:hint="eastAsia" w:asciiTheme="minorEastAsia" w:hAnsiTheme="minorEastAsia" w:eastAsiaTheme="minorEastAsia" w:cstheme="minorEastAsia"/>
          <w:szCs w:val="21"/>
        </w:rPr>
        <w:t>人民币）。</w:t>
      </w:r>
    </w:p>
    <w:p>
      <w:pPr>
        <w:snapToGrid w:val="0"/>
        <w:spacing w:before="119" w:line="419"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货物明细与价格：见附表二 。</w:t>
      </w:r>
    </w:p>
    <w:p>
      <w:pPr>
        <w:snapToGrid w:val="0"/>
        <w:spacing w:before="238" w:line="419"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4、付款方式：</w:t>
      </w:r>
    </w:p>
    <w:p>
      <w:pPr>
        <w:snapToGrid w:val="0"/>
        <w:spacing w:before="238" w:line="419"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5、本合同货物的交货时间及交货地点</w:t>
      </w:r>
    </w:p>
    <w:p>
      <w:pPr>
        <w:snapToGrid w:val="0"/>
        <w:spacing w:before="119" w:line="419"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交货时间：　</w:t>
      </w:r>
    </w:p>
    <w:p>
      <w:pPr>
        <w:snapToGrid w:val="0"/>
        <w:spacing w:before="119" w:line="419"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交货地点：</w:t>
      </w:r>
    </w:p>
    <w:p>
      <w:pPr>
        <w:snapToGrid w:val="0"/>
        <w:spacing w:before="238" w:line="419"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6、合同的生效及其他</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本合同经双方全权代表签署、加盖单位印章并由乙方递交履约保证金后生效。合同一式七份（甲乙双方各执二份、政府采购部门备案二份、招标代理机构存档一份），具有同等法律效力。</w:t>
      </w:r>
    </w:p>
    <w:p>
      <w:pPr>
        <w:rPr>
          <w:rFonts w:asciiTheme="minorEastAsia" w:hAnsiTheme="minorEastAsia" w:eastAsiaTheme="minorEastAsia" w:cstheme="minorEastAsia"/>
          <w:szCs w:val="21"/>
        </w:rPr>
      </w:pPr>
    </w:p>
    <w:p>
      <w:pP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Cs w:val="21"/>
        </w:rPr>
        <w:t>甲    方：</w:t>
      </w:r>
      <w:r>
        <w:rPr>
          <w:rFonts w:hint="eastAsia" w:asciiTheme="minorEastAsia" w:hAnsiTheme="minorEastAsia" w:eastAsiaTheme="minorEastAsia" w:cstheme="minorEastAsia"/>
          <w:bCs/>
          <w:sz w:val="18"/>
          <w:szCs w:val="18"/>
        </w:rPr>
        <w:t xml:space="preserve">(印章)                                </w:t>
      </w:r>
      <w:r>
        <w:rPr>
          <w:rFonts w:hint="eastAsia" w:asciiTheme="minorEastAsia" w:hAnsiTheme="minorEastAsia" w:eastAsiaTheme="minorEastAsia" w:cstheme="minorEastAsia"/>
          <w:bCs/>
          <w:szCs w:val="21"/>
        </w:rPr>
        <w:t>乙    方：</w:t>
      </w:r>
      <w:r>
        <w:rPr>
          <w:rFonts w:hint="eastAsia" w:asciiTheme="minorEastAsia" w:hAnsiTheme="minorEastAsia" w:eastAsiaTheme="minorEastAsia" w:cstheme="minorEastAsia"/>
          <w:bCs/>
          <w:sz w:val="18"/>
          <w:szCs w:val="18"/>
        </w:rPr>
        <w:t xml:space="preserve"> (印章) </w:t>
      </w:r>
    </w:p>
    <w:p>
      <w:pPr>
        <w:rPr>
          <w:rFonts w:asciiTheme="minorEastAsia" w:hAnsiTheme="minorEastAsia" w:eastAsiaTheme="minorEastAsia" w:cstheme="minorEastAsia"/>
          <w:bCs/>
          <w:sz w:val="18"/>
          <w:szCs w:val="18"/>
        </w:rPr>
      </w:pP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    址：                                 地    址：</w:t>
      </w:r>
    </w:p>
    <w:p>
      <w:pPr>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开户银行：                                 开户银行：</w:t>
      </w:r>
    </w:p>
    <w:p>
      <w:pPr>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银行账号：                                 银行代码：</w:t>
      </w:r>
    </w:p>
    <w:p>
      <w:pPr>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电    话：                                 电    话：</w:t>
      </w:r>
    </w:p>
    <w:p>
      <w:pPr>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授权代表：</w:t>
      </w:r>
      <w:r>
        <w:rPr>
          <w:rFonts w:hint="eastAsia" w:asciiTheme="minorEastAsia" w:hAnsiTheme="minorEastAsia" w:eastAsiaTheme="minorEastAsia" w:cstheme="minorEastAsia"/>
          <w:bCs/>
          <w:sz w:val="18"/>
          <w:szCs w:val="18"/>
        </w:rPr>
        <w:t xml:space="preserve">(签字) </w:t>
      </w:r>
      <w:r>
        <w:rPr>
          <w:rFonts w:hint="eastAsia" w:asciiTheme="minorEastAsia" w:hAnsiTheme="minorEastAsia" w:eastAsiaTheme="minorEastAsia" w:cstheme="minorEastAsia"/>
          <w:bCs/>
          <w:szCs w:val="21"/>
        </w:rPr>
        <w:t xml:space="preserve">                           授权代表：</w:t>
      </w:r>
      <w:r>
        <w:rPr>
          <w:rFonts w:hint="eastAsia" w:asciiTheme="minorEastAsia" w:hAnsiTheme="minorEastAsia" w:eastAsiaTheme="minorEastAsia" w:cstheme="minorEastAsia"/>
          <w:bCs/>
          <w:sz w:val="18"/>
          <w:szCs w:val="18"/>
        </w:rPr>
        <w:t xml:space="preserve">(签字) </w:t>
      </w:r>
    </w:p>
    <w:p>
      <w:pPr>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bookmarkStart w:id="171" w:name="合同签署日期4"/>
      <w:r>
        <w:rPr>
          <w:rFonts w:hint="eastAsia" w:asciiTheme="minorEastAsia" w:hAnsiTheme="minorEastAsia" w:eastAsiaTheme="minorEastAsia" w:cstheme="minorEastAsia"/>
          <w:bCs/>
          <w:sz w:val="18"/>
          <w:szCs w:val="18"/>
        </w:rPr>
        <w:t>年    月     日</w:t>
      </w:r>
      <w:bookmarkEnd w:id="171"/>
      <w:r>
        <w:rPr>
          <w:rFonts w:hint="eastAsia" w:asciiTheme="minorEastAsia" w:hAnsiTheme="minorEastAsia" w:eastAsiaTheme="minorEastAsia" w:cstheme="minorEastAsia"/>
          <w:bCs/>
          <w:sz w:val="18"/>
          <w:szCs w:val="18"/>
        </w:rPr>
        <w:t xml:space="preserve">                                    年    月     日</w:t>
      </w:r>
    </w:p>
    <w:p>
      <w:pPr>
        <w:rPr>
          <w:rFonts w:asciiTheme="minorEastAsia" w:hAnsiTheme="minorEastAsia" w:eastAsiaTheme="minorEastAsia" w:cstheme="minorEastAsia"/>
          <w:bCs/>
          <w:szCs w:val="21"/>
        </w:rPr>
      </w:pPr>
    </w:p>
    <w:p>
      <w:pP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br w:type="page"/>
      </w:r>
      <w:r>
        <w:rPr>
          <w:rFonts w:hint="eastAsia" w:asciiTheme="minorEastAsia" w:hAnsiTheme="minorEastAsia" w:eastAsiaTheme="minorEastAsia" w:cstheme="minorEastAsia"/>
          <w:b/>
          <w:sz w:val="28"/>
          <w:szCs w:val="28"/>
        </w:rPr>
        <w:t>合同一般条款</w:t>
      </w:r>
    </w:p>
    <w:p>
      <w:pPr>
        <w:pStyle w:val="4"/>
        <w:tabs>
          <w:tab w:val="left" w:pos="901"/>
        </w:tabs>
        <w:snapToGrid w:val="0"/>
        <w:spacing w:line="360" w:lineRule="auto"/>
        <w:rPr>
          <w:rFonts w:hint="default" w:asciiTheme="minorEastAsia" w:hAnsiTheme="minorEastAsia" w:eastAsiaTheme="minorEastAsia" w:cstheme="minorEastAsia"/>
          <w:sz w:val="21"/>
          <w:szCs w:val="21"/>
        </w:rPr>
      </w:pPr>
      <w:bookmarkStart w:id="172" w:name="_Toc30005"/>
      <w:bookmarkStart w:id="173" w:name="_Toc21723"/>
      <w:bookmarkStart w:id="174" w:name="_Toc9388"/>
      <w:bookmarkStart w:id="175" w:name="_Toc6665552"/>
      <w:r>
        <w:rPr>
          <w:rFonts w:asciiTheme="minorEastAsia" w:hAnsiTheme="minorEastAsia" w:eastAsiaTheme="minorEastAsia" w:cstheme="minorEastAsia"/>
          <w:sz w:val="21"/>
          <w:szCs w:val="21"/>
        </w:rPr>
        <w:t>1       定义</w:t>
      </w:r>
      <w:bookmarkEnd w:id="172"/>
      <w:bookmarkEnd w:id="173"/>
      <w:bookmarkEnd w:id="174"/>
      <w:bookmarkEnd w:id="175"/>
    </w:p>
    <w:p>
      <w:pPr>
        <w:tabs>
          <w:tab w:val="left" w:pos="901"/>
        </w:tabs>
        <w:snapToGrid w:val="0"/>
        <w:spacing w:line="360" w:lineRule="auto"/>
        <w:ind w:firstLine="840" w:firstLineChars="4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本合同中的下列术语应解释为：</w:t>
      </w:r>
    </w:p>
    <w:p>
      <w:pPr>
        <w:pStyle w:val="131"/>
        <w:snapToGrid w:val="0"/>
        <w:spacing w:line="360" w:lineRule="auto"/>
        <w:ind w:firstLine="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    “合同”系指甲乙双方签署的、合同格式中载明的甲乙双方 所达成的协议， 包括所有的附件、附录和构成合同的其它文件。</w:t>
      </w:r>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    “合同总价”系指根据合同约定，乙方在完全履行合同义务后甲方应付给乙方的价格。</w:t>
      </w:r>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    “货物”系指乙方根据合同约定须向甲方提供的一切设备、机械、仪表、备件，包括工具、手册等其它相关资料。“服务”系指根据合同约定乙方承担与供货有关的辅助服务，如运输、 保险及安装、调试、提供技术援助、培训和其他类似的服务。</w:t>
      </w:r>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    “甲方”系指与中标人签属供货合同的单位（含最终用户）。</w:t>
      </w:r>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    “乙方”系指根据合同约定提供货物及相关服务的中标人。</w:t>
      </w:r>
    </w:p>
    <w:p>
      <w:pPr>
        <w:tabs>
          <w:tab w:val="left" w:pos="901"/>
        </w:tabs>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    “现场”系指合同约定货物将要运至和安装的地点。</w:t>
      </w:r>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    “验收”系指合同双方依据强制性的国家技术质量规范和合同约定，确认合同项下的货物符合合同规定的活动。</w:t>
      </w:r>
    </w:p>
    <w:p>
      <w:pPr>
        <w:pStyle w:val="4"/>
        <w:snapToGrid w:val="0"/>
        <w:spacing w:line="360" w:lineRule="exact"/>
        <w:jc w:val="both"/>
        <w:rPr>
          <w:rFonts w:hint="default" w:asciiTheme="minorEastAsia" w:hAnsiTheme="minorEastAsia" w:eastAsiaTheme="minorEastAsia" w:cstheme="minorEastAsia"/>
          <w:sz w:val="21"/>
          <w:szCs w:val="21"/>
        </w:rPr>
      </w:pPr>
      <w:bookmarkStart w:id="176" w:name="_Toc8269"/>
      <w:bookmarkStart w:id="177" w:name="_Toc6665553"/>
      <w:bookmarkStart w:id="178" w:name="_Toc5697"/>
      <w:bookmarkStart w:id="179" w:name="_Toc30009"/>
      <w:r>
        <w:rPr>
          <w:rFonts w:asciiTheme="minorEastAsia" w:hAnsiTheme="minorEastAsia" w:eastAsiaTheme="minorEastAsia" w:cstheme="minorEastAsia"/>
          <w:sz w:val="21"/>
          <w:szCs w:val="21"/>
        </w:rPr>
        <w:t>2       技术规范</w:t>
      </w:r>
      <w:bookmarkEnd w:id="176"/>
      <w:bookmarkEnd w:id="177"/>
      <w:bookmarkEnd w:id="178"/>
      <w:bookmarkEnd w:id="179"/>
    </w:p>
    <w:p>
      <w:pPr>
        <w:tabs>
          <w:tab w:val="left" w:pos="901"/>
        </w:tabs>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     提交货物的技术规范应与招标文件规定的技术规范和技术规范附件(如果有的话)及其投标文件的技术规范偏差表(如果被甲方接受的话)相一致。若技术规范中无相应说明，则以国家有关部门最新颁布的相应标准及规范为准。</w:t>
      </w:r>
    </w:p>
    <w:p>
      <w:pPr>
        <w:pStyle w:val="4"/>
        <w:snapToGrid w:val="0"/>
        <w:spacing w:line="360" w:lineRule="auto"/>
        <w:jc w:val="both"/>
        <w:rPr>
          <w:rFonts w:hint="default" w:asciiTheme="minorEastAsia" w:hAnsiTheme="minorEastAsia" w:eastAsiaTheme="minorEastAsia" w:cstheme="minorEastAsia"/>
          <w:sz w:val="21"/>
          <w:szCs w:val="21"/>
        </w:rPr>
      </w:pPr>
      <w:bookmarkStart w:id="180" w:name="_Toc6665554"/>
      <w:bookmarkStart w:id="181" w:name="_Toc17655"/>
      <w:bookmarkStart w:id="182" w:name="_Toc31891"/>
      <w:bookmarkStart w:id="183" w:name="_Toc4559"/>
      <w:r>
        <w:rPr>
          <w:rFonts w:asciiTheme="minorEastAsia" w:hAnsiTheme="minorEastAsia" w:eastAsiaTheme="minorEastAsia" w:cstheme="minorEastAsia"/>
          <w:sz w:val="21"/>
          <w:szCs w:val="21"/>
        </w:rPr>
        <w:t>3       知识产权</w:t>
      </w:r>
      <w:bookmarkEnd w:id="180"/>
      <w:bookmarkEnd w:id="181"/>
      <w:bookmarkEnd w:id="182"/>
      <w:bookmarkEnd w:id="183"/>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     乙方应保证甲方在使用该货物或其任何一部分时不受第三方提出的侵犯专利权、 著作权、商标权和工业设计权等的起诉。如果任何第三方提出侵权指控，乙方须与第三方交 涉并承担由此发生的一切责任、费用和经济赔偿。</w:t>
      </w:r>
    </w:p>
    <w:p>
      <w:pPr>
        <w:pStyle w:val="4"/>
        <w:snapToGrid w:val="0"/>
        <w:spacing w:line="360" w:lineRule="auto"/>
        <w:jc w:val="both"/>
        <w:rPr>
          <w:rFonts w:hint="default" w:asciiTheme="minorEastAsia" w:hAnsiTheme="minorEastAsia" w:eastAsiaTheme="minorEastAsia" w:cstheme="minorEastAsia"/>
          <w:sz w:val="21"/>
          <w:szCs w:val="21"/>
        </w:rPr>
      </w:pPr>
      <w:bookmarkStart w:id="184" w:name="_Toc16116"/>
      <w:bookmarkStart w:id="185" w:name="_Toc31252"/>
      <w:bookmarkStart w:id="186" w:name="_Toc6665555"/>
      <w:bookmarkStart w:id="187" w:name="_Toc16397"/>
      <w:r>
        <w:rPr>
          <w:rFonts w:asciiTheme="minorEastAsia" w:hAnsiTheme="minorEastAsia" w:eastAsiaTheme="minorEastAsia" w:cstheme="minorEastAsia"/>
          <w:sz w:val="21"/>
          <w:szCs w:val="21"/>
        </w:rPr>
        <w:t>4       包装要求</w:t>
      </w:r>
      <w:bookmarkEnd w:id="184"/>
      <w:bookmarkEnd w:id="185"/>
      <w:bookmarkEnd w:id="186"/>
      <w:bookmarkEnd w:id="187"/>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     除合同另有约定外,乙方提供的全部货物,均应采用本行业通用的方式进行包装，且该包装应符合国家有关包装的法律、法规的规定。包装应适应于远距离运输、防潮、防震、防锈和防粗暴装卸，确保货物安全无损，运抵现场。由于包装不善所引起的货物锈蚀、损坏和损失均由乙方承担。</w:t>
      </w:r>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     每件包装箱内应附一份详细装箱单和质量合格证。</w:t>
      </w:r>
    </w:p>
    <w:p>
      <w:pPr>
        <w:pStyle w:val="4"/>
        <w:snapToGrid w:val="0"/>
        <w:spacing w:line="360" w:lineRule="auto"/>
        <w:jc w:val="both"/>
        <w:rPr>
          <w:rFonts w:hint="default" w:asciiTheme="minorEastAsia" w:hAnsiTheme="minorEastAsia" w:eastAsiaTheme="minorEastAsia" w:cstheme="minorEastAsia"/>
          <w:sz w:val="21"/>
          <w:szCs w:val="21"/>
        </w:rPr>
      </w:pPr>
      <w:bookmarkStart w:id="188" w:name="_Toc6665556"/>
      <w:bookmarkStart w:id="189" w:name="_Toc17099"/>
      <w:bookmarkStart w:id="190" w:name="_Toc8682"/>
      <w:bookmarkStart w:id="191" w:name="_Toc25639"/>
      <w:r>
        <w:rPr>
          <w:rFonts w:asciiTheme="minorEastAsia" w:hAnsiTheme="minorEastAsia" w:eastAsiaTheme="minorEastAsia" w:cstheme="minorEastAsia"/>
          <w:sz w:val="21"/>
          <w:szCs w:val="21"/>
        </w:rPr>
        <w:t>5       装运标志</w:t>
      </w:r>
      <w:bookmarkEnd w:id="188"/>
      <w:bookmarkEnd w:id="189"/>
      <w:bookmarkEnd w:id="190"/>
      <w:bookmarkEnd w:id="191"/>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5.1.    乙方应在每一包装箱的四侧用不褪色的油漆以醒目的中文字样做出下列标记：</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收货人：</w:t>
      </w:r>
      <w:r>
        <w:rPr>
          <w:rFonts w:hint="eastAsia" w:asciiTheme="minorEastAsia" w:hAnsiTheme="minorEastAsia" w:eastAsiaTheme="minorEastAsia" w:cstheme="minorEastAsia"/>
          <w:szCs w:val="21"/>
          <w:u w:val="single"/>
        </w:rPr>
        <w:t xml:space="preserve">                       </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合同号：</w:t>
      </w:r>
      <w:r>
        <w:rPr>
          <w:rFonts w:hint="eastAsia" w:asciiTheme="minorEastAsia" w:hAnsiTheme="minorEastAsia" w:eastAsiaTheme="minorEastAsia" w:cstheme="minorEastAsia"/>
          <w:szCs w:val="21"/>
          <w:u w:val="single"/>
        </w:rPr>
        <w:t xml:space="preserve">                                           </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装运标志：</w:t>
      </w:r>
      <w:r>
        <w:rPr>
          <w:rFonts w:hint="eastAsia" w:asciiTheme="minorEastAsia" w:hAnsiTheme="minorEastAsia" w:eastAsiaTheme="minorEastAsia" w:cstheme="minorEastAsia"/>
          <w:szCs w:val="21"/>
          <w:u w:val="single"/>
        </w:rPr>
        <w:t xml:space="preserve">                                         </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收货人代号：</w:t>
      </w:r>
      <w:r>
        <w:rPr>
          <w:rFonts w:hint="eastAsia" w:asciiTheme="minorEastAsia" w:hAnsiTheme="minorEastAsia" w:eastAsiaTheme="minorEastAsia" w:cstheme="minorEastAsia"/>
          <w:szCs w:val="21"/>
          <w:u w:val="single"/>
        </w:rPr>
        <w:t xml:space="preserve">                                       </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目的地：</w:t>
      </w:r>
      <w:r>
        <w:rPr>
          <w:rFonts w:hint="eastAsia" w:asciiTheme="minorEastAsia" w:hAnsiTheme="minorEastAsia" w:eastAsiaTheme="minorEastAsia" w:cstheme="minorEastAsia"/>
          <w:szCs w:val="21"/>
          <w:u w:val="single"/>
        </w:rPr>
        <w:t xml:space="preserve">                                           </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货物名称、品目号和箱号：</w:t>
      </w:r>
      <w:r>
        <w:rPr>
          <w:rFonts w:hint="eastAsia" w:asciiTheme="minorEastAsia" w:hAnsiTheme="minorEastAsia" w:eastAsiaTheme="minorEastAsia" w:cstheme="minorEastAsia"/>
          <w:szCs w:val="21"/>
          <w:u w:val="single"/>
        </w:rPr>
        <w:t xml:space="preserve">                           </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毛重／净重：</w:t>
      </w:r>
      <w:r>
        <w:rPr>
          <w:rFonts w:hint="eastAsia" w:asciiTheme="minorEastAsia" w:hAnsiTheme="minorEastAsia" w:eastAsiaTheme="minorEastAsia" w:cstheme="minorEastAsia"/>
          <w:szCs w:val="21"/>
          <w:u w:val="single"/>
        </w:rPr>
        <w:t xml:space="preserve">                                       </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尺寸(长×宽×高以厘米计)：</w:t>
      </w:r>
      <w:r>
        <w:rPr>
          <w:rFonts w:hint="eastAsia" w:asciiTheme="minorEastAsia" w:hAnsiTheme="minorEastAsia" w:eastAsiaTheme="minorEastAsia" w:cstheme="minorEastAsia"/>
          <w:szCs w:val="21"/>
          <w:u w:val="single"/>
        </w:rPr>
        <w:t xml:space="preserve">                         </w:t>
      </w:r>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     如果货物单件重量在2吨或2吨以上，乙方应在每件包装箱的两侧用中文和适当的运输标记，标明“重心”和“吊装点”，以便装卸和搬运。根据货物的特点和运输的不同要求，乙方应在包装箱上清楚地标有“小心轻放”、“防潮”“勿倒置”等字样和其他适当的标志。</w:t>
      </w:r>
    </w:p>
    <w:p>
      <w:pPr>
        <w:pStyle w:val="4"/>
        <w:snapToGrid w:val="0"/>
        <w:spacing w:line="360" w:lineRule="auto"/>
        <w:jc w:val="both"/>
        <w:rPr>
          <w:rFonts w:hint="default" w:asciiTheme="minorEastAsia" w:hAnsiTheme="minorEastAsia" w:eastAsiaTheme="minorEastAsia" w:cstheme="minorEastAsia"/>
          <w:sz w:val="21"/>
          <w:szCs w:val="21"/>
        </w:rPr>
      </w:pPr>
      <w:bookmarkStart w:id="192" w:name="_Toc6591"/>
      <w:bookmarkStart w:id="193" w:name="_Toc6665557"/>
      <w:bookmarkStart w:id="194" w:name="_Toc29731"/>
      <w:bookmarkStart w:id="195" w:name="_Toc1473"/>
      <w:r>
        <w:rPr>
          <w:rFonts w:asciiTheme="minorEastAsia" w:hAnsiTheme="minorEastAsia" w:eastAsiaTheme="minorEastAsia" w:cstheme="minorEastAsia"/>
          <w:sz w:val="21"/>
          <w:szCs w:val="21"/>
        </w:rPr>
        <w:t>6       交货方式</w:t>
      </w:r>
      <w:bookmarkEnd w:id="192"/>
      <w:bookmarkEnd w:id="193"/>
      <w:bookmarkEnd w:id="194"/>
      <w:bookmarkEnd w:id="195"/>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6.1     交货方式一般为下列其中一种，具体在合同特殊条款中规定。</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6.1.1   现场交货：乙方负责办理运输和保险，将货物运抵现场。有关运输和保险的一切费用由乙方承担。所有货物运抵现场的日期为交货日期。</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6.1.2   工厂交货：由乙方负责代办运输和保险事宜。运输费和保险费由甲方承担。运输部门出具收据的日期为交货日期。</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6.1.3   甲方自提货物：由甲方在合同规定地点自行办理提货。提单日期为交货日期。</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6.2     乙方应在合同规定的交货期 12 天以前以电报或传真形式将合同号、货物名称、数量、包装箱件数、总毛重、总体积(立方米)和备妥交货日期通知甲方。同时乙方应用挂号信将详细交货清单一式6份包括合同号、货物名称、规格、数量、总毛重、总体积(立方米)、包装箱件数和每个包装箱的尺寸(长×宽×高)、货物总价和备妥待交日期以及对货物在运输和仓储的特殊要求和注意事项通知甲方。</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6.3     在现场交货和工厂交货条件下，乙方装运的货物不应超过合同规定的数量或重量。否则，乙方应对超运部分引起的一切后果负责。</w:t>
      </w:r>
    </w:p>
    <w:p>
      <w:pPr>
        <w:pStyle w:val="4"/>
        <w:snapToGrid w:val="0"/>
        <w:spacing w:line="360" w:lineRule="auto"/>
        <w:jc w:val="both"/>
        <w:rPr>
          <w:rFonts w:hint="default" w:asciiTheme="minorEastAsia" w:hAnsiTheme="minorEastAsia" w:eastAsiaTheme="minorEastAsia" w:cstheme="minorEastAsia"/>
          <w:sz w:val="21"/>
          <w:szCs w:val="21"/>
        </w:rPr>
      </w:pPr>
      <w:bookmarkStart w:id="196" w:name="_Toc2769"/>
      <w:bookmarkStart w:id="197" w:name="_Toc6665558"/>
      <w:bookmarkStart w:id="198" w:name="_Toc9663"/>
      <w:bookmarkStart w:id="199" w:name="_Toc7481"/>
      <w:r>
        <w:rPr>
          <w:rFonts w:asciiTheme="minorEastAsia" w:hAnsiTheme="minorEastAsia" w:eastAsiaTheme="minorEastAsia" w:cstheme="minorEastAsia"/>
          <w:sz w:val="21"/>
          <w:szCs w:val="21"/>
        </w:rPr>
        <w:t>7       装运通知</w:t>
      </w:r>
      <w:bookmarkEnd w:id="196"/>
      <w:bookmarkEnd w:id="197"/>
      <w:bookmarkEnd w:id="198"/>
      <w:bookmarkEnd w:id="199"/>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     在现场交货和工厂交货条件下的货物，乙方通知甲方货物已备妥待运输后24小时之内，应将合同号、货名、 数量、毛重、总体积(立方米)、发票金额、运输工具名称及装运日期，以电报或传真通知甲方。</w:t>
      </w:r>
    </w:p>
    <w:p>
      <w:pPr>
        <w:pStyle w:val="132"/>
        <w:snapToGrid w:val="0"/>
        <w:spacing w:line="360" w:lineRule="auto"/>
        <w:ind w:left="0" w:firstLine="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     如因乙方延误将上述内容用电报或传真通知甲方，由此引起的一切后果损失应由乙方负责。</w:t>
      </w:r>
    </w:p>
    <w:p>
      <w:pPr>
        <w:pStyle w:val="4"/>
        <w:snapToGrid w:val="0"/>
        <w:spacing w:line="360" w:lineRule="auto"/>
        <w:jc w:val="both"/>
        <w:rPr>
          <w:rFonts w:hint="default" w:asciiTheme="minorEastAsia" w:hAnsiTheme="minorEastAsia" w:eastAsiaTheme="minorEastAsia" w:cstheme="minorEastAsia"/>
          <w:sz w:val="21"/>
          <w:szCs w:val="21"/>
        </w:rPr>
      </w:pPr>
      <w:bookmarkStart w:id="200" w:name="_Toc3046"/>
      <w:bookmarkStart w:id="201" w:name="_Toc15802"/>
      <w:bookmarkStart w:id="202" w:name="_Toc6665559"/>
      <w:bookmarkStart w:id="203" w:name="_Toc27603"/>
      <w:r>
        <w:rPr>
          <w:rFonts w:asciiTheme="minorEastAsia" w:hAnsiTheme="minorEastAsia" w:eastAsiaTheme="minorEastAsia" w:cstheme="minorEastAsia"/>
          <w:sz w:val="21"/>
          <w:szCs w:val="21"/>
        </w:rPr>
        <w:t>8       保险</w:t>
      </w:r>
      <w:bookmarkEnd w:id="200"/>
      <w:bookmarkEnd w:id="201"/>
      <w:bookmarkEnd w:id="202"/>
      <w:bookmarkEnd w:id="203"/>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8.1     如果货物是按现场交货方式或工厂交货方式报价的，由乙方按照发票金额的110％办理“一切险”；如果货物是按甲方自提货物方式报价的，其保险由甲方办理。</w:t>
      </w:r>
    </w:p>
    <w:p>
      <w:pPr>
        <w:pStyle w:val="4"/>
        <w:snapToGrid w:val="0"/>
        <w:spacing w:line="360" w:lineRule="auto"/>
        <w:jc w:val="both"/>
        <w:rPr>
          <w:rFonts w:hint="default" w:asciiTheme="minorEastAsia" w:hAnsiTheme="minorEastAsia" w:eastAsiaTheme="minorEastAsia" w:cstheme="minorEastAsia"/>
          <w:sz w:val="21"/>
          <w:szCs w:val="21"/>
        </w:rPr>
      </w:pPr>
      <w:bookmarkStart w:id="204" w:name="_Toc8082"/>
      <w:bookmarkStart w:id="205" w:name="_Toc17756"/>
      <w:bookmarkStart w:id="206" w:name="_Toc6665560"/>
      <w:bookmarkStart w:id="207" w:name="_Toc26242"/>
      <w:r>
        <w:rPr>
          <w:rFonts w:asciiTheme="minorEastAsia" w:hAnsiTheme="minorEastAsia" w:eastAsiaTheme="minorEastAsia" w:cstheme="minorEastAsia"/>
          <w:sz w:val="21"/>
          <w:szCs w:val="21"/>
        </w:rPr>
        <w:t>9       付款条件</w:t>
      </w:r>
      <w:bookmarkEnd w:id="204"/>
      <w:bookmarkEnd w:id="205"/>
      <w:bookmarkEnd w:id="206"/>
      <w:bookmarkEnd w:id="207"/>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9.1     付款条件见“合同条款”。</w:t>
      </w:r>
    </w:p>
    <w:p>
      <w:pPr>
        <w:pStyle w:val="4"/>
        <w:snapToGrid w:val="0"/>
        <w:spacing w:line="360" w:lineRule="auto"/>
        <w:jc w:val="both"/>
        <w:rPr>
          <w:rFonts w:hint="default" w:asciiTheme="minorEastAsia" w:hAnsiTheme="minorEastAsia" w:eastAsiaTheme="minorEastAsia" w:cstheme="minorEastAsia"/>
          <w:sz w:val="21"/>
          <w:szCs w:val="21"/>
        </w:rPr>
      </w:pPr>
      <w:bookmarkStart w:id="208" w:name="_Toc6665561"/>
      <w:bookmarkStart w:id="209" w:name="_Toc9086"/>
      <w:bookmarkStart w:id="210" w:name="_Toc30064"/>
      <w:bookmarkStart w:id="211" w:name="_Toc7078"/>
      <w:r>
        <w:rPr>
          <w:rFonts w:asciiTheme="minorEastAsia" w:hAnsiTheme="minorEastAsia" w:eastAsiaTheme="minorEastAsia" w:cstheme="minorEastAsia"/>
          <w:sz w:val="21"/>
          <w:szCs w:val="21"/>
        </w:rPr>
        <w:t>10      技术资料</w:t>
      </w:r>
      <w:bookmarkEnd w:id="208"/>
      <w:bookmarkEnd w:id="209"/>
      <w:bookmarkEnd w:id="210"/>
      <w:bookmarkEnd w:id="211"/>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10.1    合同项下技术资料(除合同特殊条款规定外)将以下列方式交付：</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合同生效后   12   天之内，乙方应将每台设备和仪器的中文技术资料一套，如目录索引、图纸、操作手册、使用指南、维修指南和／或服务手册和示意图寄给甲方项目负责人。</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10.2    另外一套完整的上述资料应包装好随同每批货物一起发运。</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10.3    如果甲方确认乙方提供的技术资料不完整或在运输过程中丢失，乙方将在收到甲方通知后 5 天内将这些资料免费寄给甲方。</w:t>
      </w:r>
    </w:p>
    <w:p>
      <w:pPr>
        <w:pStyle w:val="4"/>
        <w:snapToGrid w:val="0"/>
        <w:spacing w:line="360" w:lineRule="auto"/>
        <w:jc w:val="both"/>
        <w:rPr>
          <w:rFonts w:hint="default" w:asciiTheme="minorEastAsia" w:hAnsiTheme="minorEastAsia" w:eastAsiaTheme="minorEastAsia" w:cstheme="minorEastAsia"/>
          <w:sz w:val="21"/>
          <w:szCs w:val="21"/>
        </w:rPr>
      </w:pPr>
      <w:bookmarkStart w:id="212" w:name="_Toc29780"/>
      <w:bookmarkStart w:id="213" w:name="_Toc32138"/>
      <w:bookmarkStart w:id="214" w:name="_Toc6665562"/>
      <w:bookmarkStart w:id="215" w:name="_Toc4052"/>
      <w:r>
        <w:rPr>
          <w:rFonts w:asciiTheme="minorEastAsia" w:hAnsiTheme="minorEastAsia" w:eastAsiaTheme="minorEastAsia" w:cstheme="minorEastAsia"/>
          <w:sz w:val="21"/>
          <w:szCs w:val="21"/>
        </w:rPr>
        <w:t>11      质量保证</w:t>
      </w:r>
      <w:bookmarkEnd w:id="212"/>
      <w:bookmarkEnd w:id="213"/>
      <w:bookmarkEnd w:id="214"/>
      <w:bookmarkEnd w:id="215"/>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    乙方须保证货物是全新、未使用过的，并完全符合强制性的国家技术质量规范和合同规定的质量、规格、性能和技术规范等的要求。</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    乙方须保证所提供的货物经正确安装、正常运转和保养，在其使用寿命期内须具有符合质量要求和产品说明书的性能。在货物质量保证期之内，乙方须对由于设计、工艺或材料的缺陷而发生的任何不足或故障负责。</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    根据甲方按检验标准自己检验结果或委托有资质的相关质检机构的检验结果，发现货物的数量、质量、规格与合同不符；或者在质量保证期内，证实货物存在缺陷，包括潜在的缺陷或使用不符合要求的材料等，甲方应尽快以书面形式通知乙方。乙方在收到通知后  3  天内应免费维修或更换有缺陷的货物或部件。</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11.4    如果乙方在收到通知后  3  天内没有弥补缺陷，甲方可采取必要的补救措施，但由此引发的风险和费用将由乙方承担。</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    除“合同特殊条款”规定外，合同项下货物的质量保证期为自货物通过最终验收起12个月。</w:t>
      </w:r>
    </w:p>
    <w:p>
      <w:pPr>
        <w:pStyle w:val="4"/>
        <w:snapToGrid w:val="0"/>
        <w:spacing w:line="360" w:lineRule="auto"/>
        <w:jc w:val="both"/>
        <w:rPr>
          <w:rFonts w:hint="default" w:asciiTheme="minorEastAsia" w:hAnsiTheme="minorEastAsia" w:eastAsiaTheme="minorEastAsia" w:cstheme="minorEastAsia"/>
          <w:sz w:val="21"/>
          <w:szCs w:val="21"/>
        </w:rPr>
      </w:pPr>
      <w:bookmarkStart w:id="216" w:name="_Toc16711"/>
      <w:bookmarkStart w:id="217" w:name="_Toc17718"/>
      <w:bookmarkStart w:id="218" w:name="_Toc6665563"/>
      <w:bookmarkStart w:id="219" w:name="_Toc7380"/>
      <w:r>
        <w:rPr>
          <w:rFonts w:asciiTheme="minorEastAsia" w:hAnsiTheme="minorEastAsia" w:eastAsiaTheme="minorEastAsia" w:cstheme="minorEastAsia"/>
          <w:sz w:val="21"/>
          <w:szCs w:val="21"/>
        </w:rPr>
        <w:t>12      检验和验收</w:t>
      </w:r>
      <w:bookmarkEnd w:id="216"/>
      <w:bookmarkEnd w:id="217"/>
      <w:bookmarkEnd w:id="218"/>
      <w:bookmarkEnd w:id="219"/>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12.1    在交货前，中标人应对货物的质量、规格、性能、数量和重量等进行详细而全面的检验，并出具证明货物符合合同规定的文件。该文件将作为申请付款单据的一部分，但有关质量、规格、性能、数量或重量的检验不应视为最终检验。</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12.2    货物运抵现场后，甲方应在 10 日内组织验收，并制作验收备忘录，签署验收意见并报同级政府采购监督管理部门备案。</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12.3    甲方有在货物制造过程中派员监造的权利, 乙方有义务为甲方监造人员行使该权利提供方便。</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12.4    制造厂对所供货物进行机械运转试验和性能试验时，中标人必须提前通知甲方。</w:t>
      </w:r>
    </w:p>
    <w:p>
      <w:pPr>
        <w:pStyle w:val="4"/>
        <w:snapToGrid w:val="0"/>
        <w:spacing w:line="360" w:lineRule="auto"/>
        <w:jc w:val="both"/>
        <w:rPr>
          <w:rFonts w:hint="default" w:asciiTheme="minorEastAsia" w:hAnsiTheme="minorEastAsia" w:eastAsiaTheme="minorEastAsia" w:cstheme="minorEastAsia"/>
          <w:sz w:val="21"/>
          <w:szCs w:val="21"/>
        </w:rPr>
      </w:pPr>
      <w:bookmarkStart w:id="220" w:name="_Toc12994"/>
      <w:bookmarkStart w:id="221" w:name="_Toc31554"/>
      <w:bookmarkStart w:id="222" w:name="_Toc6665564"/>
      <w:bookmarkStart w:id="223" w:name="_Toc19921"/>
      <w:r>
        <w:rPr>
          <w:rFonts w:asciiTheme="minorEastAsia" w:hAnsiTheme="minorEastAsia" w:eastAsiaTheme="minorEastAsia" w:cstheme="minorEastAsia"/>
          <w:sz w:val="21"/>
          <w:szCs w:val="21"/>
        </w:rPr>
        <w:t>13      索赔</w:t>
      </w:r>
      <w:bookmarkEnd w:id="220"/>
      <w:bookmarkEnd w:id="221"/>
      <w:bookmarkEnd w:id="222"/>
      <w:bookmarkEnd w:id="223"/>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13.1    如果货物的质量、规格、数量、重量等与合同不符，或在第11.5规定的质量保证期内证实货物存 有缺陷，包括潜在的缺陷或使用不符合要求的材料等，甲方有权根据有资质的权威质检机构的检验结果向乙方提出索赔（但责任应由保险公司或运输部门承担的除外）。</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13.2    在根据合同第11条和第12条规定的检验期和质量保证期内，如果乙方对甲方提出的索赔负有责任，乙方应按照甲方同意的下列一种或多种方式解决索赔事宜：</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13.2.1  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13.2.2  根据货物低劣程度、损坏程度以及甲方所遭受损失的数额，经甲乙双方商定降低货物的价格，或由有权的部门评估，以降低后的价格或评估价格为准。</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13.2.3  用符合规格、质量和性能要求的新零件、部件或货物来更换有缺陷的部分或／和修补缺陷部分，乙方应承担一切费用和风险并负担甲方所发生的一切直接费用。同时，乙方 应按合同第11条规定，相应延长修补或更换件的质量保证期。</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13.3    如果在甲方发出索赔通知后  15  天内，乙方未作答复，上述索赔应视为已被乙方接受。如乙方未能在甲方提出索赔通知后 15 天内或甲方同意的更长时间内，按照本合同第13.2条规定的任何一种方法解决索赔事宜，甲方将从合同款或从乙方开具的履约保证金中扣回索赔金额。如果这些金额不足以补偿索赔金额，甲方有权向乙方提出不足部分的补偿。</w:t>
      </w:r>
    </w:p>
    <w:p>
      <w:pPr>
        <w:pStyle w:val="4"/>
        <w:snapToGrid w:val="0"/>
        <w:spacing w:line="360" w:lineRule="auto"/>
        <w:jc w:val="both"/>
        <w:rPr>
          <w:rFonts w:hint="default" w:asciiTheme="minorEastAsia" w:hAnsiTheme="minorEastAsia" w:eastAsiaTheme="minorEastAsia" w:cstheme="minorEastAsia"/>
          <w:sz w:val="21"/>
          <w:szCs w:val="21"/>
        </w:rPr>
      </w:pPr>
      <w:bookmarkStart w:id="224" w:name="_Toc12783"/>
      <w:bookmarkStart w:id="225" w:name="_Toc6665565"/>
      <w:bookmarkStart w:id="226" w:name="_Toc16858"/>
      <w:bookmarkStart w:id="227" w:name="_Toc32103"/>
      <w:r>
        <w:rPr>
          <w:rFonts w:asciiTheme="minorEastAsia" w:hAnsiTheme="minorEastAsia" w:eastAsiaTheme="minorEastAsia" w:cstheme="minorEastAsia"/>
          <w:sz w:val="21"/>
          <w:szCs w:val="21"/>
        </w:rPr>
        <w:t>14      迟延交货</w:t>
      </w:r>
      <w:bookmarkEnd w:id="224"/>
      <w:bookmarkEnd w:id="225"/>
      <w:bookmarkEnd w:id="226"/>
      <w:bookmarkEnd w:id="227"/>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    乙方应按照“货物需求一览表及技术规格”中甲方规定的时间表交货和提供服务。</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14.2    如果乙方无正当理由迟延交货，甲方有权提出违约损失赔偿或解除合同。</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14.3    在履行合同过程中，如果乙方遇到不能按时交货和提供服务的情况，应及时以书面形式将不能按时交货的理由、预期延误时间通知甲方。甲方收到乙方 通知后，认为其理由正当的，可酌情延长交货时间。</w:t>
      </w:r>
    </w:p>
    <w:p>
      <w:pPr>
        <w:pStyle w:val="4"/>
        <w:snapToGrid w:val="0"/>
        <w:spacing w:line="360" w:lineRule="auto"/>
        <w:jc w:val="both"/>
        <w:rPr>
          <w:rFonts w:hint="default" w:asciiTheme="minorEastAsia" w:hAnsiTheme="minorEastAsia" w:eastAsiaTheme="minorEastAsia" w:cstheme="minorEastAsia"/>
          <w:sz w:val="21"/>
          <w:szCs w:val="21"/>
        </w:rPr>
      </w:pPr>
      <w:bookmarkStart w:id="228" w:name="_Toc19287"/>
      <w:bookmarkStart w:id="229" w:name="_Toc167"/>
      <w:bookmarkStart w:id="230" w:name="_Toc6665566"/>
      <w:bookmarkStart w:id="231" w:name="_Toc25400"/>
      <w:r>
        <w:rPr>
          <w:rFonts w:asciiTheme="minorEastAsia" w:hAnsiTheme="minorEastAsia" w:eastAsiaTheme="minorEastAsia" w:cstheme="minorEastAsia"/>
          <w:sz w:val="21"/>
          <w:szCs w:val="21"/>
        </w:rPr>
        <w:t>15      违约赔偿</w:t>
      </w:r>
      <w:bookmarkEnd w:id="228"/>
      <w:bookmarkEnd w:id="229"/>
      <w:bookmarkEnd w:id="230"/>
      <w:bookmarkEnd w:id="231"/>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15.1    除合同第16条规定外，如果乙方没有按照合同规定的时间交货和提供服务，甲方可要求乙方支付违约金。违约金按每周迟交货物或未提供服务交货价的0.5%计收。但违约金的最高限额为迟交货物或没有提供服务的合同价的5%。一周按７天计算，不足７天按一周计算。如果达到最高限额，甲方有权解除合同。</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15.2    除合同第16条规定外，如果乙方没有按照合同规定的时间交货和提供服务而给甲方造成重大经济损失的，乙方应按实际损失予以赔偿。</w:t>
      </w:r>
    </w:p>
    <w:p>
      <w:pPr>
        <w:pStyle w:val="4"/>
        <w:snapToGrid w:val="0"/>
        <w:spacing w:line="360" w:lineRule="auto"/>
        <w:jc w:val="both"/>
        <w:rPr>
          <w:rFonts w:hint="default" w:asciiTheme="minorEastAsia" w:hAnsiTheme="minorEastAsia" w:eastAsiaTheme="minorEastAsia" w:cstheme="minorEastAsia"/>
          <w:sz w:val="21"/>
          <w:szCs w:val="21"/>
        </w:rPr>
      </w:pPr>
      <w:bookmarkStart w:id="232" w:name="_Toc28708"/>
      <w:bookmarkStart w:id="233" w:name="_Toc20035"/>
      <w:bookmarkStart w:id="234" w:name="_Toc19464"/>
      <w:bookmarkStart w:id="235" w:name="_Toc6665567"/>
      <w:r>
        <w:rPr>
          <w:rFonts w:asciiTheme="minorEastAsia" w:hAnsiTheme="minorEastAsia" w:eastAsiaTheme="minorEastAsia" w:cstheme="minorEastAsia"/>
          <w:sz w:val="21"/>
          <w:szCs w:val="21"/>
        </w:rPr>
        <w:t>16      不可抗力</w:t>
      </w:r>
      <w:bookmarkEnd w:id="232"/>
      <w:bookmarkEnd w:id="233"/>
      <w:bookmarkEnd w:id="234"/>
      <w:bookmarkEnd w:id="235"/>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16.1    如果双方中任何一方遭遇法律规定的不可抗力，致使合同履行受阻时，履行合同的期限应予延长，延长的期限应相当于不可抗力所影响的时间。</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16.2    受事故影响的一方应在不可抗力的事故发生后尽快书面形式通知另一方，并在事故发生后   14    天内，将有关部门出具的证明文件送达另一方。</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16.3   不可抗力使合同的某些内容有变更必要的， 双方应通过协商在 15  日内达成进一步履行合同的协议，因不可抗力致使合同不能履行的，合同终止。</w:t>
      </w:r>
    </w:p>
    <w:p>
      <w:pPr>
        <w:pStyle w:val="4"/>
        <w:snapToGrid w:val="0"/>
        <w:spacing w:line="360" w:lineRule="auto"/>
        <w:jc w:val="both"/>
        <w:rPr>
          <w:rFonts w:hint="default" w:asciiTheme="minorEastAsia" w:hAnsiTheme="minorEastAsia" w:eastAsiaTheme="minorEastAsia" w:cstheme="minorEastAsia"/>
          <w:sz w:val="21"/>
          <w:szCs w:val="21"/>
        </w:rPr>
      </w:pPr>
      <w:bookmarkStart w:id="236" w:name="_Toc31223"/>
      <w:bookmarkStart w:id="237" w:name="_Toc453"/>
      <w:bookmarkStart w:id="238" w:name="_Toc11894"/>
      <w:bookmarkStart w:id="239" w:name="_Toc6665568"/>
      <w:r>
        <w:rPr>
          <w:rFonts w:asciiTheme="minorEastAsia" w:hAnsiTheme="minorEastAsia" w:eastAsiaTheme="minorEastAsia" w:cstheme="minorEastAsia"/>
          <w:sz w:val="21"/>
          <w:szCs w:val="21"/>
        </w:rPr>
        <w:t>17      税费</w:t>
      </w:r>
      <w:bookmarkEnd w:id="236"/>
      <w:bookmarkEnd w:id="237"/>
      <w:bookmarkEnd w:id="238"/>
      <w:bookmarkEnd w:id="239"/>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17.1    与本合同有关的一切税费均适用中华人民共和国法律的相关规定。</w:t>
      </w:r>
    </w:p>
    <w:p>
      <w:pPr>
        <w:pStyle w:val="4"/>
        <w:snapToGrid w:val="0"/>
        <w:spacing w:line="360" w:lineRule="auto"/>
        <w:jc w:val="both"/>
        <w:rPr>
          <w:rFonts w:hint="default" w:asciiTheme="minorEastAsia" w:hAnsiTheme="minorEastAsia" w:eastAsiaTheme="minorEastAsia" w:cstheme="minorEastAsia"/>
          <w:sz w:val="21"/>
          <w:szCs w:val="21"/>
        </w:rPr>
      </w:pPr>
      <w:bookmarkStart w:id="240" w:name="_Toc8994"/>
      <w:bookmarkStart w:id="241" w:name="_Toc6665569"/>
      <w:bookmarkStart w:id="242" w:name="_Toc20966"/>
      <w:bookmarkStart w:id="243" w:name="_Toc11694"/>
      <w:r>
        <w:rPr>
          <w:rFonts w:asciiTheme="minorEastAsia" w:hAnsiTheme="minorEastAsia" w:eastAsiaTheme="minorEastAsia" w:cstheme="minorEastAsia"/>
          <w:sz w:val="21"/>
          <w:szCs w:val="21"/>
        </w:rPr>
        <w:t>18      合同争议的解决</w:t>
      </w:r>
      <w:bookmarkEnd w:id="240"/>
      <w:bookmarkEnd w:id="241"/>
      <w:bookmarkEnd w:id="242"/>
      <w:bookmarkEnd w:id="243"/>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18.1    因合同履行中发生的争议，可通过合同当事人双方友好协商解决。如自协商开始之起15日内得不到解决，双方应将争议提交同级政府采购办公室调解。调解不成的，任何一方均可申请北京仲裁委员会进行仲裁。</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18.2    仲裁裁决为最终裁决，当事人一方在规定时间内不履行仲裁机构裁决的，另一方可以申请人民法院强制执行。</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18.3    仲裁费用和诉讼费用除仲裁机构或法院另有裁决外，应由败诉方负担。</w:t>
      </w:r>
    </w:p>
    <w:p>
      <w:pPr>
        <w:pStyle w:val="4"/>
        <w:snapToGrid w:val="0"/>
        <w:spacing w:line="360" w:lineRule="auto"/>
        <w:jc w:val="both"/>
        <w:rPr>
          <w:rFonts w:hint="default" w:asciiTheme="minorEastAsia" w:hAnsiTheme="minorEastAsia" w:eastAsiaTheme="minorEastAsia" w:cstheme="minorEastAsia"/>
          <w:sz w:val="21"/>
          <w:szCs w:val="21"/>
        </w:rPr>
      </w:pPr>
      <w:bookmarkStart w:id="244" w:name="_Toc6665570"/>
      <w:bookmarkStart w:id="245" w:name="_Toc8176"/>
      <w:bookmarkStart w:id="246" w:name="_Toc31057"/>
      <w:bookmarkStart w:id="247" w:name="_Toc5203"/>
      <w:r>
        <w:rPr>
          <w:rFonts w:asciiTheme="minorEastAsia" w:hAnsiTheme="minorEastAsia" w:eastAsiaTheme="minorEastAsia" w:cstheme="minorEastAsia"/>
          <w:sz w:val="21"/>
          <w:szCs w:val="21"/>
        </w:rPr>
        <w:t>19      违约解除合同</w:t>
      </w:r>
      <w:bookmarkEnd w:id="244"/>
      <w:bookmarkEnd w:id="245"/>
      <w:bookmarkEnd w:id="246"/>
      <w:bookmarkEnd w:id="247"/>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19.1    在乙方违约的情况下，甲方经同级政府采购监督管理机关审批后，可向乙方发出书面通知，部分或全部终止合同。同时保留向乙方追诉的权利。</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19.1.1  乙方未能在合同规定的限期或甲方同意延长的限期内，提供全部或部分货物的； </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19.1.2  乙方未能履行合同规定的其它主要义务的；</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19.1.3  甲方认为乙方在本合同履行过程中有腐败和欺诈行为的。</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19.1.3.1     “腐败行为”和“欺诈行为”定义如下:</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19.1.3.1.1   “腐败行为”是指提供/给予/接受或索取任何有价值的东西来影响甲方在合同签订、履行过程中的行为。</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19.1.3.1.2   “欺诈行为”是指为了影响合同签订、履行过程，以谎报事实的方法， 损害甲方的利益的行为。</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19.2    在甲方根据上述第19.1条规定，全部或部分解除合同之后，应当遵循诚实信用原则，以政府采购监督管理部门同意的方式，购买与未交付的货物类似的货物或服务，乙方应承担甲方购买类似货物或服务而产生的额外支出。部分解除合同的，乙方应继续履行合同中未解除的部分。</w:t>
      </w:r>
    </w:p>
    <w:p>
      <w:pPr>
        <w:pStyle w:val="4"/>
        <w:snapToGrid w:val="0"/>
        <w:spacing w:line="360" w:lineRule="auto"/>
        <w:jc w:val="both"/>
        <w:rPr>
          <w:rFonts w:hint="default" w:asciiTheme="minorEastAsia" w:hAnsiTheme="minorEastAsia" w:eastAsiaTheme="minorEastAsia" w:cstheme="minorEastAsia"/>
          <w:sz w:val="21"/>
          <w:szCs w:val="21"/>
        </w:rPr>
      </w:pPr>
      <w:bookmarkStart w:id="248" w:name="_Toc6665571"/>
      <w:bookmarkStart w:id="249" w:name="_Toc12051"/>
      <w:bookmarkStart w:id="250" w:name="_Toc15900"/>
      <w:bookmarkStart w:id="251" w:name="_Toc3868"/>
      <w:r>
        <w:rPr>
          <w:rFonts w:asciiTheme="minorEastAsia" w:hAnsiTheme="minorEastAsia" w:eastAsiaTheme="minorEastAsia" w:cstheme="minorEastAsia"/>
          <w:sz w:val="21"/>
          <w:szCs w:val="21"/>
        </w:rPr>
        <w:t>20      破产终止合同</w:t>
      </w:r>
      <w:bookmarkEnd w:id="248"/>
      <w:bookmarkEnd w:id="249"/>
      <w:bookmarkEnd w:id="250"/>
      <w:bookmarkEnd w:id="251"/>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    如果乙方破产或无清偿能力时，甲方经报同级政府采购监督管理部门审批后，可在任何时候以书面通知乙方，提出终止合同而不给乙方补偿。该合同的终止将不损害或不影响甲方已经采取或将要采取任何行动或补救措施的权利。</w:t>
      </w:r>
    </w:p>
    <w:p>
      <w:pPr>
        <w:pStyle w:val="4"/>
        <w:snapToGrid w:val="0"/>
        <w:spacing w:line="360" w:lineRule="auto"/>
        <w:jc w:val="both"/>
        <w:rPr>
          <w:rFonts w:hint="default" w:asciiTheme="minorEastAsia" w:hAnsiTheme="minorEastAsia" w:eastAsiaTheme="minorEastAsia" w:cstheme="minorEastAsia"/>
          <w:sz w:val="21"/>
          <w:szCs w:val="21"/>
        </w:rPr>
      </w:pPr>
      <w:bookmarkStart w:id="252" w:name="_Toc30499"/>
      <w:bookmarkStart w:id="253" w:name="_Toc28336"/>
      <w:bookmarkStart w:id="254" w:name="_Toc6665572"/>
      <w:bookmarkStart w:id="255" w:name="_Toc13999"/>
      <w:r>
        <w:rPr>
          <w:rFonts w:asciiTheme="minorEastAsia" w:hAnsiTheme="minorEastAsia" w:eastAsiaTheme="minorEastAsia" w:cstheme="minorEastAsia"/>
          <w:sz w:val="21"/>
          <w:szCs w:val="21"/>
        </w:rPr>
        <w:t>21     转让和分包</w:t>
      </w:r>
      <w:bookmarkEnd w:id="252"/>
      <w:bookmarkEnd w:id="253"/>
      <w:bookmarkEnd w:id="254"/>
      <w:bookmarkEnd w:id="255"/>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21.1   政府采购合同不能转让。</w:t>
      </w:r>
    </w:p>
    <w:p>
      <w:pPr>
        <w:snapToGrid w:val="0"/>
        <w:spacing w:before="119" w:line="360" w:lineRule="auto"/>
        <w:ind w:left="735" w:hanging="735" w:hangingChars="3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   经甲方和同级政府采购监督管理部门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w:t>
      </w:r>
    </w:p>
    <w:p>
      <w:pPr>
        <w:pStyle w:val="4"/>
        <w:snapToGrid w:val="0"/>
        <w:spacing w:line="360" w:lineRule="auto"/>
        <w:jc w:val="both"/>
        <w:rPr>
          <w:rFonts w:hint="default" w:asciiTheme="minorEastAsia" w:hAnsiTheme="minorEastAsia" w:eastAsiaTheme="minorEastAsia" w:cstheme="minorEastAsia"/>
          <w:sz w:val="21"/>
          <w:szCs w:val="21"/>
        </w:rPr>
      </w:pPr>
      <w:bookmarkStart w:id="256" w:name="_Toc24182"/>
      <w:bookmarkStart w:id="257" w:name="_Toc6665573"/>
      <w:bookmarkStart w:id="258" w:name="_Toc3037"/>
      <w:bookmarkStart w:id="259" w:name="_Toc23948"/>
      <w:r>
        <w:rPr>
          <w:rFonts w:asciiTheme="minorEastAsia" w:hAnsiTheme="minorEastAsia" w:eastAsiaTheme="minorEastAsia" w:cstheme="minorEastAsia"/>
          <w:sz w:val="21"/>
          <w:szCs w:val="21"/>
        </w:rPr>
        <w:t xml:space="preserve">22     </w:t>
      </w:r>
      <w:r>
        <w:rPr>
          <w:rFonts w:asciiTheme="minorEastAsia" w:hAnsiTheme="minorEastAsia" w:eastAsiaTheme="minorEastAsia" w:cstheme="minorEastAsia"/>
          <w:color w:val="FF0000"/>
          <w:sz w:val="21"/>
          <w:szCs w:val="21"/>
          <w:u w:color="FF0000"/>
        </w:rPr>
        <w:t xml:space="preserve"> </w:t>
      </w:r>
      <w:r>
        <w:rPr>
          <w:rFonts w:asciiTheme="minorEastAsia" w:hAnsiTheme="minorEastAsia" w:eastAsiaTheme="minorEastAsia" w:cstheme="minorEastAsia"/>
          <w:sz w:val="21"/>
          <w:szCs w:val="21"/>
          <w:u w:color="FF0000"/>
        </w:rPr>
        <w:t>合同修改</w:t>
      </w:r>
      <w:bookmarkEnd w:id="256"/>
      <w:bookmarkEnd w:id="257"/>
      <w:bookmarkEnd w:id="258"/>
      <w:bookmarkEnd w:id="259"/>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22.1    甲方和乙方都不得擅自变更本合同，但合同继续履行将损害国家和社会公共利益的除外。如必须对合同条款进行改动时，当事人双方须共同签署书面文件，做为合同的补充，并报同级政府采购监督管理部门备案。</w:t>
      </w:r>
    </w:p>
    <w:p>
      <w:pPr>
        <w:pStyle w:val="4"/>
        <w:snapToGrid w:val="0"/>
        <w:spacing w:line="360" w:lineRule="auto"/>
        <w:jc w:val="both"/>
        <w:rPr>
          <w:rFonts w:hint="default" w:asciiTheme="minorEastAsia" w:hAnsiTheme="minorEastAsia" w:eastAsiaTheme="minorEastAsia" w:cstheme="minorEastAsia"/>
          <w:sz w:val="21"/>
          <w:szCs w:val="21"/>
        </w:rPr>
      </w:pPr>
      <w:bookmarkStart w:id="260" w:name="_Toc30472"/>
      <w:bookmarkStart w:id="261" w:name="_Toc6665574"/>
      <w:bookmarkStart w:id="262" w:name="_Toc16073"/>
      <w:bookmarkStart w:id="263" w:name="_Toc6330"/>
      <w:r>
        <w:rPr>
          <w:rFonts w:asciiTheme="minorEastAsia" w:hAnsiTheme="minorEastAsia" w:eastAsiaTheme="minorEastAsia" w:cstheme="minorEastAsia"/>
          <w:sz w:val="21"/>
          <w:szCs w:val="21"/>
        </w:rPr>
        <w:t>23      通知</w:t>
      </w:r>
      <w:bookmarkEnd w:id="260"/>
      <w:bookmarkEnd w:id="261"/>
      <w:bookmarkEnd w:id="262"/>
      <w:bookmarkEnd w:id="263"/>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    本合同任何一方给另一方的通知，都应以书面形式发送，而另一方也应以书面形式确认并发送到对方明确的地址。</w:t>
      </w:r>
    </w:p>
    <w:p>
      <w:pPr>
        <w:pStyle w:val="4"/>
        <w:snapToGrid w:val="0"/>
        <w:spacing w:line="360" w:lineRule="auto"/>
        <w:jc w:val="both"/>
        <w:rPr>
          <w:rFonts w:hint="default" w:asciiTheme="minorEastAsia" w:hAnsiTheme="minorEastAsia" w:eastAsiaTheme="minorEastAsia" w:cstheme="minorEastAsia"/>
          <w:sz w:val="21"/>
          <w:szCs w:val="21"/>
        </w:rPr>
      </w:pPr>
      <w:bookmarkStart w:id="264" w:name="_Toc17114"/>
      <w:bookmarkStart w:id="265" w:name="_Toc6665575"/>
      <w:bookmarkStart w:id="266" w:name="_Toc18985"/>
      <w:bookmarkStart w:id="267" w:name="_Toc19664"/>
      <w:r>
        <w:rPr>
          <w:rFonts w:asciiTheme="minorEastAsia" w:hAnsiTheme="minorEastAsia" w:eastAsiaTheme="minorEastAsia" w:cstheme="minorEastAsia"/>
          <w:sz w:val="21"/>
          <w:szCs w:val="21"/>
        </w:rPr>
        <w:t>24      计量单位</w:t>
      </w:r>
      <w:bookmarkEnd w:id="264"/>
      <w:bookmarkEnd w:id="265"/>
      <w:bookmarkEnd w:id="266"/>
      <w:bookmarkEnd w:id="267"/>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24.1    除技术规范中另有规定外,计量单位均使用国家法定计量单位。</w:t>
      </w:r>
    </w:p>
    <w:p>
      <w:pPr>
        <w:pStyle w:val="4"/>
        <w:snapToGrid w:val="0"/>
        <w:spacing w:line="360" w:lineRule="auto"/>
        <w:jc w:val="both"/>
        <w:rPr>
          <w:rFonts w:hint="default" w:asciiTheme="minorEastAsia" w:hAnsiTheme="minorEastAsia" w:eastAsiaTheme="minorEastAsia" w:cstheme="minorEastAsia"/>
          <w:sz w:val="21"/>
          <w:szCs w:val="21"/>
        </w:rPr>
      </w:pPr>
      <w:bookmarkStart w:id="268" w:name="_Toc24795"/>
      <w:bookmarkStart w:id="269" w:name="_Toc20410"/>
      <w:bookmarkStart w:id="270" w:name="_Toc6665576"/>
      <w:bookmarkStart w:id="271" w:name="_Toc15568"/>
      <w:r>
        <w:rPr>
          <w:rFonts w:asciiTheme="minorEastAsia" w:hAnsiTheme="minorEastAsia" w:eastAsiaTheme="minorEastAsia" w:cstheme="minorEastAsia"/>
          <w:sz w:val="21"/>
          <w:szCs w:val="21"/>
        </w:rPr>
        <w:t>25      适用法律</w:t>
      </w:r>
      <w:bookmarkEnd w:id="268"/>
      <w:bookmarkEnd w:id="269"/>
      <w:bookmarkEnd w:id="270"/>
      <w:bookmarkEnd w:id="271"/>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    本合同应按照中华人民共和国的法律进行解释。</w:t>
      </w:r>
    </w:p>
    <w:p>
      <w:pPr>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      合同生效和其它</w:t>
      </w:r>
    </w:p>
    <w:p>
      <w:pPr>
        <w:pStyle w:val="133"/>
        <w:tabs>
          <w:tab w:val="left" w:pos="5578"/>
        </w:tabs>
        <w:snapToGrid w:val="0"/>
        <w:spacing w:line="360" w:lineRule="auto"/>
        <w:ind w:firstLine="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26.1 政府采购项目的采购合同内容的确定应以磋商文件和响应文件为基础，不得违背其实质性内容。政府采购项目的采购合同自签订之日起七个工作日内，买方应当将合同副本报同级政府采购监督管理部门备案。合同将在双方签字盖章后开始生效。</w:t>
      </w:r>
    </w:p>
    <w:p>
      <w:pPr>
        <w:pStyle w:val="133"/>
        <w:tabs>
          <w:tab w:val="left" w:pos="5578"/>
        </w:tabs>
        <w:snapToGrid w:val="0"/>
        <w:spacing w:line="360" w:lineRule="auto"/>
        <w:ind w:firstLine="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26.2 本合同一式  8 份，具有同等法律效力。甲方执 4 份，乙方,执  2 份，采购代理机构执  2  份。</w:t>
      </w:r>
    </w:p>
    <w:p>
      <w:pPr>
        <w:pStyle w:val="133"/>
        <w:tabs>
          <w:tab w:val="left" w:pos="5578"/>
        </w:tabs>
        <w:snapToGrid w:val="0"/>
        <w:spacing w:line="345" w:lineRule="auto"/>
        <w:ind w:firstLine="0"/>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Cs w:val="21"/>
        </w:rPr>
        <w:br w:type="page"/>
      </w:r>
      <w:r>
        <w:rPr>
          <w:rFonts w:hint="eastAsia" w:asciiTheme="minorEastAsia" w:hAnsiTheme="minorEastAsia" w:eastAsiaTheme="minorEastAsia" w:cstheme="minorEastAsia"/>
          <w:b/>
          <w:sz w:val="28"/>
          <w:szCs w:val="28"/>
        </w:rPr>
        <w:t>合同特殊条款</w:t>
      </w:r>
    </w:p>
    <w:p>
      <w:pPr>
        <w:pStyle w:val="133"/>
        <w:tabs>
          <w:tab w:val="left" w:pos="5578"/>
        </w:tabs>
        <w:snapToGrid w:val="0"/>
        <w:spacing w:line="345" w:lineRule="auto"/>
        <w:ind w:firstLine="0"/>
        <w:jc w:val="center"/>
        <w:rPr>
          <w:rFonts w:asciiTheme="minorEastAsia" w:hAnsiTheme="minorEastAsia" w:eastAsiaTheme="minorEastAsia" w:cstheme="minorEastAsia"/>
          <w:b/>
          <w:sz w:val="28"/>
          <w:szCs w:val="28"/>
        </w:rPr>
      </w:pPr>
    </w:p>
    <w:p>
      <w:pPr>
        <w:pStyle w:val="133"/>
        <w:tabs>
          <w:tab w:val="left" w:pos="5578"/>
        </w:tabs>
        <w:snapToGrid w:val="0"/>
        <w:spacing w:line="480" w:lineRule="auto"/>
        <w:ind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合同特殊条款是合同一般条款的补充和修改。如果两者之间有抵触，应以特殊条款为准。合同特殊条款的序号将与合同一般条款序号相对应。</w:t>
      </w:r>
    </w:p>
    <w:p>
      <w:pPr>
        <w:snapToGrid w:val="0"/>
        <w:spacing w:before="119"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1     定义</w:t>
      </w:r>
    </w:p>
    <w:p>
      <w:pPr>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    甲方：本合同甲方系指采购人</w:t>
      </w:r>
    </w:p>
    <w:p>
      <w:pPr>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    乙方：本合同乙方系指中标人</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1.7    现场：本合同项下的货物安装和运行地点为: </w:t>
      </w:r>
    </w:p>
    <w:p>
      <w:pPr>
        <w:snapToGrid w:val="0"/>
        <w:spacing w:before="119"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6     交货方式</w:t>
      </w:r>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6.1    本合同项下的货物交货方式为：</w:t>
      </w:r>
      <w:r>
        <w:rPr>
          <w:rFonts w:hint="eastAsia" w:asciiTheme="minorEastAsia" w:hAnsiTheme="minorEastAsia" w:eastAsiaTheme="minorEastAsia" w:cstheme="minorEastAsia"/>
          <w:szCs w:val="21"/>
          <w:u w:val="single" w:color="FF0000"/>
        </w:rPr>
        <w:t xml:space="preserve"> 现场 </w:t>
      </w:r>
      <w:r>
        <w:rPr>
          <w:rFonts w:hint="eastAsia" w:asciiTheme="minorEastAsia" w:hAnsiTheme="minorEastAsia" w:eastAsiaTheme="minorEastAsia" w:cstheme="minorEastAsia"/>
          <w:szCs w:val="21"/>
        </w:rPr>
        <w:t>。</w:t>
      </w:r>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交货期：合同签订后30天内完成供货、安装、调试。</w:t>
      </w:r>
    </w:p>
    <w:p>
      <w:pPr>
        <w:snapToGrid w:val="0"/>
        <w:spacing w:before="119"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9     付款条件：</w:t>
      </w:r>
    </w:p>
    <w:p>
      <w:pPr>
        <w:snapToGrid w:val="0"/>
        <w:spacing w:before="119"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合同签订后7 个工作日内，乙方需向甲方交付合同总额5%的质量保证金，之后，甲方向乙方支付合同金额的60%预付款，安装调试结束并完成验收后甲方向乙方支付合同的剩余40%余款。质保期满后，无质量和服务问题，7个工作日内买方无息退还卖方本项目的履约保证金。</w:t>
      </w:r>
    </w:p>
    <w:p>
      <w:pPr>
        <w:snapToGrid w:val="0"/>
        <w:spacing w:before="119"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10    技术资料：</w:t>
      </w:r>
      <w:r>
        <w:rPr>
          <w:rFonts w:hint="eastAsia" w:asciiTheme="minorEastAsia" w:hAnsiTheme="minorEastAsia" w:eastAsiaTheme="minorEastAsia" w:cstheme="minorEastAsia"/>
          <w:szCs w:val="21"/>
        </w:rPr>
        <w:t xml:space="preserve"> 按合同约定 。</w:t>
      </w:r>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11    质量保证：</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    乙方在收到通知后  7  天内应免费维修或更换有缺陷的货物或部件。</w:t>
      </w:r>
    </w:p>
    <w:p>
      <w:pPr>
        <w:snapToGrid w:val="0"/>
        <w:spacing w:line="360" w:lineRule="auto"/>
        <w:ind w:left="525" w:hanging="525" w:hanging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11.4    如果乙方在收到通知后  7  天内没有弥补缺陷，甲方可采取必要的补救措施，但风险和费用将由乙方承担。</w:t>
      </w:r>
    </w:p>
    <w:p>
      <w:pPr>
        <w:snapToGrid w:val="0"/>
        <w:spacing w:line="360" w:lineRule="auto"/>
        <w:ind w:left="525" w:hanging="525" w:hanging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    合同项下货物的质量保证期为自货物通过最终验收起24个月（如果国家另有规定的按国家规定执行）。</w:t>
      </w:r>
    </w:p>
    <w:p>
      <w:pPr>
        <w:snapToGrid w:val="0"/>
        <w:spacing w:before="119"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b/>
          <w:szCs w:val="21"/>
        </w:rPr>
        <w:t>12     检验和验收：</w:t>
      </w:r>
    </w:p>
    <w:p>
      <w:pPr>
        <w:snapToGrid w:val="0"/>
        <w:spacing w:before="119" w:line="360" w:lineRule="auto"/>
        <w:rPr>
          <w:rFonts w:asciiTheme="minorEastAsia" w:hAnsiTheme="minorEastAsia" w:eastAsiaTheme="minorEastAsia" w:cstheme="minorEastAsia"/>
          <w:szCs w:val="21"/>
          <w:u w:val="single" w:color="FF0000"/>
        </w:rPr>
      </w:pPr>
      <w:r>
        <w:rPr>
          <w:rFonts w:hint="eastAsia" w:asciiTheme="minorEastAsia" w:hAnsiTheme="minorEastAsia" w:eastAsiaTheme="minorEastAsia" w:cstheme="minorEastAsia"/>
          <w:szCs w:val="21"/>
        </w:rPr>
        <w:t xml:space="preserve">12.1    按合同约定。  </w:t>
      </w:r>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13     索赔：</w:t>
      </w:r>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13.1    按合同约定</w:t>
      </w:r>
      <w:r>
        <w:rPr>
          <w:rFonts w:hint="eastAsia" w:asciiTheme="minorEastAsia" w:hAnsiTheme="minorEastAsia" w:eastAsiaTheme="minorEastAsia" w:cstheme="minorEastAsia"/>
          <w:b/>
          <w:szCs w:val="21"/>
        </w:rPr>
        <w:t>。</w:t>
      </w:r>
    </w:p>
    <w:p>
      <w:pPr>
        <w:snapToGrid w:val="0"/>
        <w:spacing w:before="119"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16     不可抗力：</w:t>
      </w:r>
    </w:p>
    <w:p>
      <w:pPr>
        <w:snapToGrid w:val="0"/>
        <w:spacing w:before="119"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16.1    不可抗力通知送达时间：事故发生后</w:t>
      </w:r>
      <w:r>
        <w:rPr>
          <w:rFonts w:hint="eastAsia" w:asciiTheme="minorEastAsia" w:hAnsiTheme="minorEastAsia" w:eastAsiaTheme="minorEastAsia" w:cstheme="minorEastAsia"/>
          <w:szCs w:val="21"/>
          <w:u w:val="single" w:color="FF0000"/>
        </w:rPr>
        <w:t xml:space="preserve">   7   </w:t>
      </w:r>
      <w:r>
        <w:rPr>
          <w:rFonts w:hint="eastAsia" w:asciiTheme="minorEastAsia" w:hAnsiTheme="minorEastAsia" w:eastAsiaTheme="minorEastAsia" w:cstheme="minorEastAsia"/>
          <w:szCs w:val="21"/>
        </w:rPr>
        <w:t>天内。</w:t>
      </w:r>
    </w:p>
    <w:p>
      <w:pPr>
        <w:rPr>
          <w:rFonts w:asciiTheme="minorEastAsia" w:hAnsiTheme="minorEastAsia" w:eastAsiaTheme="minorEastAsia" w:cstheme="minorEastAsia"/>
        </w:rPr>
        <w:sectPr>
          <w:headerReference r:id="rId12" w:type="first"/>
          <w:footerReference r:id="rId15" w:type="first"/>
          <w:headerReference r:id="rId10" w:type="default"/>
          <w:footerReference r:id="rId13" w:type="default"/>
          <w:headerReference r:id="rId11" w:type="even"/>
          <w:footerReference r:id="rId14" w:type="even"/>
          <w:pgSz w:w="11905" w:h="16837"/>
          <w:pgMar w:top="1439" w:right="1797" w:bottom="1439" w:left="1797" w:header="850" w:footer="992" w:gutter="0"/>
          <w:cols w:space="425" w:num="1"/>
        </w:sectPr>
      </w:pPr>
    </w:p>
    <w:bookmarkEnd w:id="156"/>
    <w:bookmarkEnd w:id="157"/>
    <w:p>
      <w:pPr>
        <w:widowControl/>
        <w:jc w:val="left"/>
        <w:rPr>
          <w:rFonts w:ascii="宋体" w:hAnsi="宋体"/>
          <w:sz w:val="24"/>
        </w:rPr>
      </w:pPr>
      <w:bookmarkStart w:id="272" w:name="售后服务协议"/>
      <w:bookmarkEnd w:id="272"/>
    </w:p>
    <w:p>
      <w:pPr>
        <w:spacing w:before="120" w:line="360" w:lineRule="auto"/>
        <w:jc w:val="center"/>
        <w:outlineLvl w:val="0"/>
        <w:rPr>
          <w:b/>
          <w:kern w:val="44"/>
          <w:sz w:val="28"/>
          <w:szCs w:val="28"/>
        </w:rPr>
      </w:pPr>
      <w:bookmarkStart w:id="273" w:name="_Toc6665577"/>
      <w:bookmarkStart w:id="274" w:name="_Toc46"/>
      <w:r>
        <w:rPr>
          <w:rFonts w:hint="eastAsia"/>
          <w:b/>
          <w:kern w:val="44"/>
          <w:sz w:val="28"/>
          <w:szCs w:val="28"/>
        </w:rPr>
        <w:t>第七章 投标文件格式</w:t>
      </w:r>
      <w:bookmarkEnd w:id="158"/>
      <w:bookmarkEnd w:id="273"/>
      <w:bookmarkEnd w:id="274"/>
    </w:p>
    <w:p>
      <w:pPr>
        <w:pStyle w:val="2"/>
        <w:spacing w:line="360" w:lineRule="auto"/>
        <w:jc w:val="left"/>
      </w:pPr>
      <w:bookmarkStart w:id="275" w:name="_Toc523911431"/>
      <w:bookmarkStart w:id="276" w:name="_Toc509828980"/>
      <w:bookmarkStart w:id="277" w:name="_Toc497842879"/>
      <w:bookmarkStart w:id="278" w:name="_Toc6665578"/>
      <w:bookmarkStart w:id="279" w:name="_Hlk515386850"/>
      <w:r>
        <w:rPr>
          <w:rFonts w:hint="eastAsia"/>
        </w:rPr>
        <w:t>一、</w:t>
      </w:r>
      <w:bookmarkEnd w:id="275"/>
      <w:bookmarkEnd w:id="276"/>
      <w:bookmarkEnd w:id="277"/>
      <w:r>
        <w:rPr>
          <w:rFonts w:hint="eastAsia"/>
        </w:rPr>
        <w:t>投标文件资格册</w:t>
      </w:r>
      <w:bookmarkEnd w:id="278"/>
    </w:p>
    <w:p>
      <w:pPr>
        <w:widowControl/>
        <w:spacing w:line="360" w:lineRule="auto"/>
        <w:jc w:val="left"/>
        <w:rPr>
          <w:rFonts w:ascii="宋体" w:hAnsi="宋体"/>
          <w:sz w:val="24"/>
        </w:rPr>
      </w:pPr>
      <w:r>
        <w:rPr>
          <w:rFonts w:hint="eastAsia" w:ascii="宋体" w:hAnsi="宋体"/>
          <w:sz w:val="24"/>
        </w:rPr>
        <w:t>1. 三证合一的营业执照或事业单位法人证书复印件；投标人是自然人的，应提供其有效的自然身份证明复印件</w:t>
      </w:r>
    </w:p>
    <w:p>
      <w:pPr>
        <w:widowControl/>
        <w:spacing w:line="360" w:lineRule="auto"/>
        <w:jc w:val="left"/>
        <w:rPr>
          <w:rFonts w:ascii="宋体" w:hAnsi="宋体"/>
          <w:sz w:val="24"/>
        </w:rPr>
      </w:pPr>
      <w:r>
        <w:rPr>
          <w:rFonts w:hint="eastAsia" w:ascii="宋体" w:hAnsi="宋体"/>
          <w:sz w:val="24"/>
        </w:rPr>
        <w:t>注：1）事业人单位提供《事业单位法人证书》、民办非企业单位提供《民办非企业单位登记证书》复印件。</w:t>
      </w:r>
    </w:p>
    <w:p>
      <w:pPr>
        <w:widowControl/>
        <w:numPr>
          <w:ilvl w:val="0"/>
          <w:numId w:val="7"/>
        </w:numPr>
        <w:spacing w:line="360" w:lineRule="auto"/>
        <w:ind w:firstLine="480" w:firstLineChars="200"/>
        <w:jc w:val="left"/>
        <w:rPr>
          <w:rFonts w:ascii="宋体" w:hAnsi="宋体"/>
          <w:sz w:val="24"/>
        </w:rPr>
      </w:pPr>
      <w:r>
        <w:rPr>
          <w:rFonts w:hint="eastAsia" w:ascii="宋体" w:hAnsi="宋体"/>
          <w:sz w:val="24"/>
        </w:rPr>
        <w:t>提供的复印件须加盖本单位公章。</w:t>
      </w:r>
    </w:p>
    <w:p>
      <w:pPr>
        <w:widowControl/>
        <w:numPr>
          <w:ilvl w:val="0"/>
          <w:numId w:val="8"/>
        </w:numPr>
        <w:spacing w:line="360" w:lineRule="auto"/>
        <w:jc w:val="left"/>
        <w:rPr>
          <w:rFonts w:ascii="宋体" w:hAnsi="宋体"/>
          <w:sz w:val="24"/>
        </w:rPr>
      </w:pPr>
      <w:r>
        <w:rPr>
          <w:rFonts w:hint="eastAsia" w:ascii="宋体" w:hAnsi="宋体"/>
          <w:sz w:val="24"/>
        </w:rPr>
        <w:t>法定代表人本人参与投标的，需提供法定代表人身份证明及其身份证复印件（须加盖本单位公章）；非法定代表人参与投标的，需提供法定代表人授权委托书及其授权代表的身份证复印件（须加盖本单位公章）（格式见第七章）</w:t>
      </w:r>
    </w:p>
    <w:p>
      <w:pPr>
        <w:widowControl/>
        <w:numPr>
          <w:ilvl w:val="0"/>
          <w:numId w:val="8"/>
        </w:numPr>
        <w:spacing w:line="360" w:lineRule="auto"/>
        <w:jc w:val="left"/>
        <w:rPr>
          <w:rFonts w:ascii="宋体" w:hAnsi="宋体"/>
          <w:sz w:val="24"/>
        </w:rPr>
      </w:pPr>
      <w:r>
        <w:rPr>
          <w:rFonts w:hint="eastAsia" w:ascii="宋体" w:hAnsi="宋体"/>
          <w:sz w:val="24"/>
        </w:rPr>
        <w:t>投标人提供经会计师事务所出具的2017年或2018年度财务审计报告（须包含资产负债表、利润表、现金流量表及财务报表附注）复印件（须加盖本单位公章）。如投标人无法提供2017年或2018年度的财务审计报告，则须提供银行出具的有效资信证明。</w:t>
      </w:r>
    </w:p>
    <w:p>
      <w:pPr>
        <w:widowControl/>
        <w:spacing w:line="360" w:lineRule="auto"/>
        <w:jc w:val="left"/>
        <w:rPr>
          <w:rFonts w:ascii="宋体" w:hAnsi="宋体"/>
          <w:sz w:val="24"/>
        </w:rPr>
      </w:pPr>
      <w:r>
        <w:rPr>
          <w:rFonts w:hint="eastAsia" w:ascii="宋体" w:hAnsi="宋体"/>
          <w:sz w:val="24"/>
        </w:rPr>
        <w:t>说明：1）银行资信证明是指投标人参加本次投标截止日前一年内银行出具的资信证明（成立一年内的公司可提交验资证明复印件并加盖投标人公章）,且无收受人和项目的限制，但开具银行有限制规定的除外；</w:t>
      </w:r>
    </w:p>
    <w:p>
      <w:pPr>
        <w:widowControl/>
        <w:spacing w:line="360" w:lineRule="auto"/>
        <w:ind w:firstLine="720" w:firstLineChars="300"/>
        <w:jc w:val="left"/>
        <w:rPr>
          <w:rFonts w:ascii="宋体" w:hAnsi="宋体"/>
          <w:sz w:val="24"/>
        </w:rPr>
      </w:pPr>
      <w:r>
        <w:rPr>
          <w:rFonts w:hint="eastAsia" w:ascii="宋体" w:hAnsi="宋体"/>
          <w:sz w:val="24"/>
        </w:rPr>
        <w:t>2）银行资信证明可以是复印件(须加盖投标人公章)，评标委员会保留审核原件的权利；银行资信证明的开具银行明确规定复印无效的，须提交原件；</w:t>
      </w:r>
    </w:p>
    <w:p>
      <w:pPr>
        <w:widowControl/>
        <w:spacing w:line="360" w:lineRule="auto"/>
        <w:ind w:firstLine="720" w:firstLineChars="300"/>
        <w:jc w:val="left"/>
        <w:rPr>
          <w:rFonts w:ascii="宋体" w:hAnsi="宋体"/>
          <w:sz w:val="24"/>
        </w:rPr>
      </w:pPr>
      <w:r>
        <w:rPr>
          <w:rFonts w:hint="eastAsia" w:ascii="宋体" w:hAnsi="宋体"/>
          <w:sz w:val="24"/>
        </w:rPr>
        <w:t>3）银行资信证明的开具银行明确规定背面有声明的，须提供资信证明背面复印件；</w:t>
      </w:r>
    </w:p>
    <w:p>
      <w:pPr>
        <w:widowControl/>
        <w:spacing w:line="360" w:lineRule="auto"/>
        <w:ind w:firstLine="720" w:firstLineChars="300"/>
        <w:jc w:val="left"/>
        <w:rPr>
          <w:rFonts w:ascii="宋体" w:hAnsi="宋体"/>
          <w:sz w:val="24"/>
        </w:rPr>
      </w:pPr>
      <w:r>
        <w:rPr>
          <w:rFonts w:hint="eastAsia" w:ascii="宋体" w:hAnsi="宋体"/>
          <w:sz w:val="24"/>
        </w:rPr>
        <w:t>4）银行资信证明应能说明该投标人与银行之间业务往来正常，企业信誉良好等；</w:t>
      </w:r>
    </w:p>
    <w:p>
      <w:pPr>
        <w:widowControl/>
        <w:spacing w:line="360" w:lineRule="auto"/>
        <w:ind w:firstLine="720" w:firstLineChars="300"/>
        <w:jc w:val="left"/>
        <w:rPr>
          <w:rFonts w:ascii="宋体" w:hAnsi="宋体"/>
          <w:sz w:val="24"/>
        </w:rPr>
      </w:pPr>
      <w:r>
        <w:rPr>
          <w:rFonts w:hint="eastAsia" w:ascii="宋体" w:hAnsi="宋体"/>
          <w:sz w:val="24"/>
        </w:rPr>
        <w:t>5）银行出具的存款证明不能替代银行资信证明，存款证明无效。</w:t>
      </w:r>
    </w:p>
    <w:p>
      <w:pPr>
        <w:widowControl/>
        <w:spacing w:line="360" w:lineRule="auto"/>
        <w:jc w:val="left"/>
        <w:rPr>
          <w:rFonts w:ascii="宋体" w:hAnsi="宋体"/>
          <w:sz w:val="24"/>
        </w:rPr>
      </w:pPr>
      <w:r>
        <w:rPr>
          <w:rFonts w:hint="eastAsia" w:ascii="宋体" w:hAnsi="宋体"/>
          <w:sz w:val="24"/>
        </w:rPr>
        <w:t>4. 有依法缴纳社会保障资金的良好记录（投标人逐月交纳社会保障资金的，须提供参加本次政府采购活动近三个月由银行出具的社会保障资金缴费凭证复印件（须加盖本单位公章）；投标人逐年缴纳社会保障资金的，须提供参加本次政府采购活动上年度由银行出具的社会保障资金缴费凭证复印件（须加盖本单位公章）。</w:t>
      </w:r>
    </w:p>
    <w:p>
      <w:pPr>
        <w:widowControl/>
        <w:spacing w:line="360" w:lineRule="auto"/>
        <w:jc w:val="left"/>
        <w:rPr>
          <w:rFonts w:ascii="宋体" w:hAnsi="宋体"/>
          <w:sz w:val="24"/>
        </w:rPr>
      </w:pPr>
      <w:r>
        <w:rPr>
          <w:rFonts w:hint="eastAsia" w:ascii="宋体" w:hAnsi="宋体"/>
          <w:sz w:val="24"/>
        </w:rPr>
        <w:t>注：依法不需要缴纳社会保障资金的投标人，须提供相应文件证明。</w:t>
      </w:r>
    </w:p>
    <w:p>
      <w:pPr>
        <w:widowControl/>
        <w:spacing w:line="360" w:lineRule="auto"/>
        <w:jc w:val="left"/>
        <w:rPr>
          <w:rFonts w:ascii="宋体" w:hAnsi="宋体"/>
          <w:sz w:val="24"/>
        </w:rPr>
      </w:pPr>
      <w:r>
        <w:rPr>
          <w:rFonts w:hint="eastAsia" w:ascii="宋体" w:hAnsi="宋体"/>
          <w:sz w:val="24"/>
        </w:rPr>
        <w:t>5. 有依法缴纳税收的良好记录（投标人提供参加本次政府采购活动近三个月由银行出具的缴纳凭证复印件（须加盖本单位公章）</w:t>
      </w:r>
    </w:p>
    <w:p>
      <w:pPr>
        <w:widowControl/>
        <w:spacing w:line="360" w:lineRule="auto"/>
        <w:jc w:val="left"/>
        <w:rPr>
          <w:rFonts w:ascii="宋体" w:hAnsi="宋体"/>
          <w:sz w:val="24"/>
        </w:rPr>
      </w:pPr>
      <w:r>
        <w:rPr>
          <w:rFonts w:hint="eastAsia" w:ascii="宋体" w:hAnsi="宋体"/>
          <w:sz w:val="24"/>
        </w:rPr>
        <w:t>注：依法免税或零报税的投标人，须提供相应文件证明。</w:t>
      </w:r>
    </w:p>
    <w:p>
      <w:pPr>
        <w:widowControl/>
        <w:numPr>
          <w:ilvl w:val="0"/>
          <w:numId w:val="9"/>
        </w:numPr>
        <w:spacing w:line="360" w:lineRule="auto"/>
        <w:jc w:val="left"/>
        <w:rPr>
          <w:rFonts w:ascii="宋体" w:hAnsi="宋体"/>
          <w:sz w:val="24"/>
        </w:rPr>
      </w:pPr>
      <w:r>
        <w:rPr>
          <w:rFonts w:hint="eastAsia" w:ascii="宋体" w:hAnsi="宋体"/>
          <w:sz w:val="24"/>
        </w:rPr>
        <w:t>参加本次政府采购活动前三年内，在经营活动中没有重大违法记录的声明（投标人须提供此声明，法定代表人或其授权代表签字，并加盖本单位公章）</w:t>
      </w:r>
    </w:p>
    <w:p>
      <w:pPr>
        <w:widowControl/>
        <w:numPr>
          <w:ilvl w:val="0"/>
          <w:numId w:val="9"/>
        </w:numPr>
        <w:spacing w:line="360" w:lineRule="auto"/>
        <w:jc w:val="left"/>
        <w:rPr>
          <w:rFonts w:ascii="宋体" w:hAnsi="宋体"/>
          <w:sz w:val="24"/>
        </w:rPr>
      </w:pPr>
      <w:r>
        <w:rPr>
          <w:rFonts w:hint="eastAsia" w:asciiTheme="minorEastAsia" w:hAnsiTheme="minorEastAsia" w:eastAsiaTheme="minorEastAsia"/>
          <w:sz w:val="24"/>
        </w:rPr>
        <w:t>制造商须具备国家质量监督检验检疫总局颁发的《中华人民共和国特种设备制造许可证》自动扶梯C级（含）以上资质复印件（须加盖本单位公章）；代理商需具备国家质量监督检验检疫总局颁发的《中华人民共和国特种设备安装改造维修许可证》（安装、维修）电梯C级(含)以上资质复印件（须加盖本单位公章）。</w:t>
      </w:r>
    </w:p>
    <w:p>
      <w:pPr>
        <w:widowControl/>
        <w:numPr>
          <w:ilvl w:val="0"/>
          <w:numId w:val="9"/>
        </w:numPr>
        <w:spacing w:line="360" w:lineRule="auto"/>
        <w:jc w:val="left"/>
        <w:rPr>
          <w:rFonts w:ascii="宋体" w:hAnsi="宋体"/>
          <w:sz w:val="24"/>
        </w:rPr>
      </w:pPr>
      <w:r>
        <w:rPr>
          <w:rFonts w:hint="eastAsia" w:ascii="宋体" w:hAnsi="宋体"/>
          <w:sz w:val="24"/>
        </w:rPr>
        <w:t>投标人须提供前三年内（2016年4月1日至投标文件递交截止之日前）未被列入“信用中国”网站（网站（www.creditchina.gov.cn）、中国）、中国政府采购网（购网（www.ccgp.gov.cn）信用记）信用记录失信被执行人、重大税收违法案件当事人名单、政府采购严重违法失信行为记录名单，打印查询结果页面并加盖本单位公章。</w:t>
      </w:r>
    </w:p>
    <w:p>
      <w:pPr>
        <w:widowControl/>
        <w:numPr>
          <w:ilvl w:val="0"/>
          <w:numId w:val="9"/>
        </w:numPr>
        <w:spacing w:line="360" w:lineRule="auto"/>
        <w:jc w:val="left"/>
        <w:rPr>
          <w:rFonts w:ascii="宋体" w:hAnsi="宋体"/>
          <w:sz w:val="24"/>
        </w:rPr>
      </w:pPr>
      <w:r>
        <w:rPr>
          <w:rFonts w:hint="eastAsia" w:ascii="宋体" w:hAnsi="宋体"/>
          <w:sz w:val="24"/>
        </w:rPr>
        <w:t>投标人须承诺不同投标人的法人、单位负责人不是同一人也不存在直接控股、管理关系，须加盖本单位公章（格式自拟）</w:t>
      </w:r>
    </w:p>
    <w:p>
      <w:pPr>
        <w:widowControl/>
        <w:numPr>
          <w:ilvl w:val="0"/>
          <w:numId w:val="9"/>
        </w:numPr>
        <w:spacing w:line="360" w:lineRule="auto"/>
        <w:jc w:val="left"/>
        <w:rPr>
          <w:rFonts w:ascii="宋体" w:hAnsi="宋体"/>
          <w:sz w:val="24"/>
        </w:rPr>
      </w:pPr>
      <w:r>
        <w:rPr>
          <w:rFonts w:hint="eastAsia" w:ascii="宋体" w:hAnsi="宋体"/>
          <w:sz w:val="24"/>
        </w:rPr>
        <w:t>投标人须承诺已向采购代理机构购买招标文件并登记备案，须加盖本单位公章（格式自拟）</w:t>
      </w:r>
      <w:r>
        <w:rPr>
          <w:rFonts w:ascii="宋体" w:hAnsi="宋体"/>
          <w:sz w:val="24"/>
        </w:rPr>
        <w:br w:type="page"/>
      </w:r>
    </w:p>
    <w:p>
      <w:pPr>
        <w:rPr>
          <w:rFonts w:ascii="宋体" w:hAnsi="宋体"/>
          <w:b/>
          <w:sz w:val="24"/>
        </w:rPr>
      </w:pPr>
    </w:p>
    <w:p>
      <w:pPr>
        <w:spacing w:line="360" w:lineRule="auto"/>
        <w:jc w:val="center"/>
        <w:rPr>
          <w:rFonts w:ascii="宋体" w:hAnsi="宋体"/>
          <w:sz w:val="24"/>
        </w:rPr>
      </w:pPr>
      <w:r>
        <w:rPr>
          <w:rFonts w:hint="eastAsia" w:ascii="宋体" w:hAnsi="宋体"/>
          <w:sz w:val="24"/>
        </w:rPr>
        <w:t>2法定代表人授权书（格式）</w:t>
      </w:r>
    </w:p>
    <w:p>
      <w:pPr>
        <w:pStyle w:val="20"/>
        <w:spacing w:line="360" w:lineRule="auto"/>
        <w:ind w:left="840" w:firstLine="480"/>
        <w:jc w:val="center"/>
        <w:rPr>
          <w:rFonts w:hAnsi="宋体"/>
          <w:sz w:val="24"/>
          <w:u w:val="single"/>
        </w:rPr>
      </w:pPr>
    </w:p>
    <w:p>
      <w:pPr>
        <w:pStyle w:val="20"/>
        <w:spacing w:line="360" w:lineRule="auto"/>
        <w:ind w:firstLine="480" w:firstLineChars="200"/>
        <w:rPr>
          <w:rFonts w:hAnsi="宋体"/>
          <w:sz w:val="24"/>
        </w:rPr>
      </w:pPr>
      <w:r>
        <w:rPr>
          <w:rFonts w:hint="eastAsia" w:hAnsi="宋体"/>
          <w:sz w:val="24"/>
        </w:rPr>
        <w:t>本授权书声明：注册于</w:t>
      </w:r>
      <w:r>
        <w:rPr>
          <w:rFonts w:hint="eastAsia" w:hAnsi="宋体"/>
          <w:i/>
          <w:sz w:val="24"/>
          <w:u w:val="single"/>
        </w:rPr>
        <w:t>（国家或地区的名称）</w:t>
      </w:r>
      <w:r>
        <w:rPr>
          <w:rFonts w:hint="eastAsia" w:hAnsi="宋体"/>
          <w:sz w:val="24"/>
        </w:rPr>
        <w:t>的</w:t>
      </w:r>
      <w:r>
        <w:rPr>
          <w:rFonts w:hint="eastAsia" w:hAnsi="宋体"/>
          <w:i/>
          <w:sz w:val="24"/>
          <w:u w:val="single"/>
        </w:rPr>
        <w:t>（公司名称）</w:t>
      </w:r>
      <w:r>
        <w:rPr>
          <w:rFonts w:hint="eastAsia" w:hAnsi="宋体"/>
          <w:sz w:val="24"/>
        </w:rPr>
        <w:t>的在下面签字的（</w:t>
      </w:r>
      <w:r>
        <w:rPr>
          <w:rFonts w:hint="eastAsia" w:hAnsi="宋体"/>
          <w:i/>
          <w:sz w:val="24"/>
          <w:u w:val="single"/>
        </w:rPr>
        <w:t>法定代表人姓名、职务</w:t>
      </w:r>
      <w:r>
        <w:rPr>
          <w:rFonts w:hint="eastAsia" w:hAnsi="宋体"/>
          <w:sz w:val="24"/>
        </w:rPr>
        <w:t>）代表本公司授权</w:t>
      </w:r>
      <w:r>
        <w:rPr>
          <w:rFonts w:hint="eastAsia" w:hAnsi="宋体"/>
          <w:i/>
          <w:sz w:val="24"/>
          <w:u w:val="single"/>
        </w:rPr>
        <w:t>（单位名称）</w:t>
      </w:r>
      <w:r>
        <w:rPr>
          <w:rFonts w:hint="eastAsia" w:hAnsi="宋体"/>
          <w:sz w:val="24"/>
        </w:rPr>
        <w:t>的在下面签字的</w:t>
      </w:r>
      <w:r>
        <w:rPr>
          <w:rFonts w:hint="eastAsia" w:hAnsi="宋体"/>
          <w:i/>
          <w:sz w:val="24"/>
          <w:u w:val="single"/>
        </w:rPr>
        <w:t>（</w:t>
      </w:r>
      <w:r>
        <w:rPr>
          <w:rFonts w:hint="eastAsia" w:hAnsi="宋体"/>
          <w:i/>
          <w:sz w:val="24"/>
          <w:u w:val="single"/>
          <w:lang w:val="en-US"/>
        </w:rPr>
        <w:t>授权代表</w:t>
      </w:r>
      <w:r>
        <w:rPr>
          <w:rFonts w:hint="eastAsia" w:hAnsi="宋体"/>
          <w:i/>
          <w:sz w:val="24"/>
          <w:u w:val="single"/>
        </w:rPr>
        <w:t>姓名、职务）</w:t>
      </w:r>
      <w:r>
        <w:rPr>
          <w:rFonts w:hint="eastAsia" w:hAnsi="宋体"/>
          <w:sz w:val="24"/>
        </w:rPr>
        <w:t>为本公司的合法代理人，就</w:t>
      </w:r>
      <w:r>
        <w:rPr>
          <w:rFonts w:hint="eastAsia" w:hAnsi="宋体"/>
          <w:i/>
          <w:sz w:val="24"/>
          <w:u w:val="single"/>
        </w:rPr>
        <w:t>（项目名称）</w:t>
      </w:r>
      <w:r>
        <w:rPr>
          <w:rFonts w:hint="eastAsia" w:hAnsi="宋体"/>
          <w:sz w:val="24"/>
        </w:rPr>
        <w:t>投标，以本公司名义处理一切与之有关的事务。　　</w:t>
      </w:r>
    </w:p>
    <w:p>
      <w:pPr>
        <w:pStyle w:val="20"/>
        <w:tabs>
          <w:tab w:val="left" w:pos="5580"/>
        </w:tabs>
        <w:spacing w:line="360" w:lineRule="auto"/>
        <w:ind w:left="840" w:firstLine="480"/>
        <w:rPr>
          <w:rFonts w:hAnsi="宋体"/>
          <w:sz w:val="24"/>
        </w:rPr>
      </w:pPr>
      <w:r>
        <w:rPr>
          <w:rFonts w:hint="eastAsia" w:hAnsi="宋体"/>
          <w:sz w:val="24"/>
        </w:rPr>
        <w:t>本授权书于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日生效，特此声明。</w:t>
      </w:r>
    </w:p>
    <w:p>
      <w:pPr>
        <w:pStyle w:val="20"/>
        <w:tabs>
          <w:tab w:val="left" w:pos="5580"/>
        </w:tabs>
        <w:spacing w:line="360" w:lineRule="auto"/>
        <w:ind w:left="840" w:firstLine="480"/>
        <w:rPr>
          <w:rFonts w:hAnsi="宋体"/>
          <w:sz w:val="24"/>
        </w:rPr>
      </w:pPr>
    </w:p>
    <w:p>
      <w:pPr>
        <w:spacing w:line="360" w:lineRule="auto"/>
        <w:rPr>
          <w:rFonts w:ascii="宋体" w:hAnsi="宋体"/>
          <w:b/>
          <w:sz w:val="24"/>
        </w:rPr>
      </w:pPr>
    </w:p>
    <w:p>
      <w:pPr>
        <w:pStyle w:val="20"/>
        <w:tabs>
          <w:tab w:val="left" w:pos="5580"/>
        </w:tabs>
        <w:spacing w:line="480" w:lineRule="auto"/>
        <w:ind w:left="840" w:firstLine="480"/>
        <w:rPr>
          <w:rFonts w:hAnsi="宋体"/>
          <w:sz w:val="24"/>
        </w:rPr>
      </w:pPr>
      <w:r>
        <w:rPr>
          <w:rFonts w:hint="eastAsia" w:hAnsi="宋体"/>
          <w:sz w:val="24"/>
        </w:rPr>
        <w:t>法定代表人签字或盖章：</w:t>
      </w:r>
    </w:p>
    <w:p>
      <w:pPr>
        <w:pStyle w:val="20"/>
        <w:tabs>
          <w:tab w:val="left" w:pos="5580"/>
        </w:tabs>
        <w:spacing w:line="480" w:lineRule="auto"/>
        <w:ind w:left="840" w:firstLine="480"/>
        <w:rPr>
          <w:rFonts w:hAnsi="宋体"/>
          <w:sz w:val="24"/>
        </w:rPr>
      </w:pPr>
      <w:r>
        <w:rPr>
          <w:rFonts w:hint="eastAsia" w:hAnsi="宋体"/>
          <w:sz w:val="24"/>
        </w:rPr>
        <w:t>授权代表签字：</w:t>
      </w:r>
    </w:p>
    <w:p>
      <w:pPr>
        <w:pStyle w:val="20"/>
        <w:tabs>
          <w:tab w:val="left" w:pos="5580"/>
        </w:tabs>
        <w:spacing w:line="480" w:lineRule="auto"/>
        <w:ind w:left="840" w:firstLine="480"/>
        <w:rPr>
          <w:rFonts w:hAnsi="宋体"/>
          <w:sz w:val="24"/>
        </w:rPr>
      </w:pPr>
      <w:r>
        <w:rPr>
          <w:rFonts w:hint="eastAsia" w:hAnsi="宋体"/>
          <w:sz w:val="24"/>
        </w:rPr>
        <w:t>投标人(盖章)</w:t>
      </w: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sz w:val="24"/>
        </w:rPr>
      </w:pPr>
    </w:p>
    <w:p>
      <w:pPr>
        <w:widowControl/>
        <w:spacing w:line="360" w:lineRule="auto"/>
        <w:jc w:val="center"/>
        <w:rPr>
          <w:rFonts w:ascii="宋体" w:hAnsi="宋体"/>
          <w:sz w:val="24"/>
        </w:rPr>
      </w:pPr>
    </w:p>
    <w:p>
      <w:pPr>
        <w:widowControl/>
        <w:spacing w:line="360" w:lineRule="auto"/>
        <w:jc w:val="center"/>
        <w:rPr>
          <w:rFonts w:ascii="宋体" w:hAnsi="宋体"/>
          <w:sz w:val="24"/>
        </w:rPr>
      </w:pPr>
    </w:p>
    <w:p>
      <w:pPr>
        <w:widowControl/>
        <w:spacing w:line="360" w:lineRule="auto"/>
        <w:jc w:val="center"/>
        <w:rPr>
          <w:rFonts w:ascii="宋体" w:hAnsi="宋体"/>
          <w:sz w:val="24"/>
        </w:rPr>
      </w:pPr>
      <w:r>
        <w:rPr>
          <w:rFonts w:hint="eastAsia" w:ascii="宋体" w:hAnsi="宋体"/>
          <w:sz w:val="24"/>
        </w:rPr>
        <w:t>6参加本次政府采购活动前三年内，在经营活动中没有重大违法记录的声明（投标人须提供此声明，法定代表人或其授权代表签字，并加盖本单位公章）</w:t>
      </w:r>
    </w:p>
    <w:p>
      <w:pPr>
        <w:spacing w:line="360" w:lineRule="auto"/>
        <w:jc w:val="center"/>
        <w:rPr>
          <w:rFonts w:ascii="宋体" w:hAnsi="宋体"/>
          <w:sz w:val="24"/>
        </w:rPr>
      </w:pPr>
    </w:p>
    <w:p>
      <w:pPr>
        <w:spacing w:line="360" w:lineRule="auto"/>
        <w:ind w:left="1044" w:leftChars="97" w:hanging="840" w:hangingChars="400"/>
        <w:rPr>
          <w:rFonts w:ascii="宋体" w:hAnsi="宋体"/>
        </w:rPr>
      </w:pPr>
    </w:p>
    <w:p>
      <w:pPr>
        <w:pStyle w:val="8"/>
        <w:spacing w:line="360" w:lineRule="auto"/>
        <w:ind w:firstLine="480"/>
        <w:rPr>
          <w:rFonts w:hAnsi="宋体"/>
        </w:rPr>
      </w:pPr>
      <w:r>
        <w:rPr>
          <w:rFonts w:hAnsi="宋体"/>
        </w:rPr>
        <w:t>致：</w:t>
      </w:r>
      <w:r>
        <w:rPr>
          <w:rFonts w:hint="eastAsia" w:hAnsi="宋体"/>
        </w:rPr>
        <w:t>（采购人）</w:t>
      </w:r>
    </w:p>
    <w:p>
      <w:pPr>
        <w:pStyle w:val="8"/>
        <w:spacing w:line="360" w:lineRule="auto"/>
        <w:ind w:firstLine="480" w:firstLineChars="200"/>
        <w:rPr>
          <w:rFonts w:hAnsi="宋体"/>
        </w:rPr>
      </w:pPr>
    </w:p>
    <w:p>
      <w:pPr>
        <w:pStyle w:val="8"/>
        <w:spacing w:line="360" w:lineRule="auto"/>
        <w:ind w:firstLine="480" w:firstLineChars="200"/>
        <w:rPr>
          <w:rFonts w:hAnsi="宋体"/>
        </w:rPr>
      </w:pPr>
      <w:r>
        <w:rPr>
          <w:rFonts w:hAnsi="宋体"/>
        </w:rPr>
        <w:t>我公司在参加本次</w:t>
      </w:r>
      <w:r>
        <w:rPr>
          <w:rFonts w:hint="eastAsia" w:hAnsi="宋体"/>
          <w:lang w:val="en-US"/>
        </w:rPr>
        <w:t>政府</w:t>
      </w:r>
      <w:r>
        <w:rPr>
          <w:rFonts w:hAnsi="宋体"/>
        </w:rPr>
        <w:t>采购活动前三年内，在经营活动中没有重大违法记录。</w:t>
      </w:r>
    </w:p>
    <w:p>
      <w:pPr>
        <w:pStyle w:val="8"/>
        <w:spacing w:line="360" w:lineRule="auto"/>
        <w:ind w:firstLine="480" w:firstLineChars="200"/>
        <w:rPr>
          <w:rFonts w:hAnsi="宋体"/>
        </w:rPr>
      </w:pPr>
      <w:r>
        <w:rPr>
          <w:rFonts w:hAnsi="宋体"/>
        </w:rPr>
        <w:t>特此声明。</w:t>
      </w:r>
    </w:p>
    <w:p>
      <w:pPr>
        <w:pStyle w:val="8"/>
        <w:spacing w:line="360" w:lineRule="auto"/>
        <w:ind w:firstLine="480" w:firstLineChars="200"/>
        <w:rPr>
          <w:rFonts w:hAnsi="宋体"/>
        </w:rPr>
      </w:pPr>
    </w:p>
    <w:p>
      <w:pPr>
        <w:pStyle w:val="8"/>
        <w:spacing w:line="360" w:lineRule="auto"/>
        <w:ind w:firstLine="480" w:firstLineChars="200"/>
        <w:rPr>
          <w:rFonts w:hAnsi="宋体"/>
        </w:rPr>
      </w:pPr>
    </w:p>
    <w:p>
      <w:pPr>
        <w:pStyle w:val="8"/>
        <w:spacing w:line="360" w:lineRule="auto"/>
        <w:ind w:firstLine="480" w:firstLineChars="200"/>
        <w:rPr>
          <w:rFonts w:hAnsi="宋体"/>
        </w:rPr>
      </w:pPr>
    </w:p>
    <w:p>
      <w:pPr>
        <w:pStyle w:val="8"/>
        <w:spacing w:line="360" w:lineRule="auto"/>
        <w:ind w:firstLine="480" w:firstLineChars="200"/>
        <w:rPr>
          <w:rFonts w:hAnsi="宋体"/>
        </w:rPr>
      </w:pPr>
      <w:r>
        <w:rPr>
          <w:rFonts w:hAnsi="宋体"/>
        </w:rPr>
        <w:t xml:space="preserve">                                  </w:t>
      </w:r>
      <w:r>
        <w:rPr>
          <w:rFonts w:hint="eastAsia" w:hAnsi="宋体"/>
        </w:rPr>
        <w:t>授权代表</w:t>
      </w:r>
      <w:r>
        <w:rPr>
          <w:rFonts w:hAnsi="宋体"/>
        </w:rPr>
        <w:t>签字：</w:t>
      </w:r>
    </w:p>
    <w:p>
      <w:pPr>
        <w:pStyle w:val="8"/>
        <w:spacing w:line="360" w:lineRule="auto"/>
        <w:ind w:firstLine="480" w:firstLineChars="200"/>
        <w:rPr>
          <w:rFonts w:hAnsi="宋体"/>
        </w:rPr>
      </w:pPr>
      <w:r>
        <w:rPr>
          <w:rFonts w:hAnsi="宋体"/>
        </w:rPr>
        <w:t xml:space="preserve">                                  投标人公章</w:t>
      </w:r>
    </w:p>
    <w:p>
      <w:pPr>
        <w:pStyle w:val="8"/>
        <w:spacing w:line="360" w:lineRule="auto"/>
        <w:ind w:firstLine="4560" w:firstLineChars="1900"/>
        <w:rPr>
          <w:rFonts w:hAnsi="宋体"/>
        </w:rPr>
      </w:pPr>
      <w:r>
        <w:rPr>
          <w:rFonts w:hAnsi="宋体"/>
        </w:rPr>
        <w:t>年   月    日</w:t>
      </w:r>
      <w:bookmarkEnd w:id="279"/>
    </w:p>
    <w:p>
      <w:pPr>
        <w:widowControl/>
        <w:jc w:val="left"/>
        <w:rPr>
          <w:b/>
          <w:kern w:val="44"/>
          <w:sz w:val="28"/>
          <w:szCs w:val="28"/>
        </w:rPr>
      </w:pPr>
      <w:r>
        <w:rPr>
          <w:b/>
          <w:kern w:val="44"/>
          <w:sz w:val="28"/>
          <w:szCs w:val="28"/>
        </w:rPr>
        <w:br w:type="page"/>
      </w:r>
    </w:p>
    <w:p>
      <w:pPr>
        <w:spacing w:before="120" w:line="360" w:lineRule="auto"/>
        <w:jc w:val="left"/>
        <w:outlineLvl w:val="0"/>
        <w:rPr>
          <w:b/>
          <w:kern w:val="44"/>
          <w:sz w:val="28"/>
          <w:szCs w:val="28"/>
        </w:rPr>
      </w:pPr>
      <w:bookmarkStart w:id="280" w:name="_Toc523911432"/>
      <w:bookmarkStart w:id="281" w:name="_Toc6665579"/>
      <w:r>
        <w:rPr>
          <w:rFonts w:hint="eastAsia"/>
          <w:b/>
          <w:kern w:val="44"/>
          <w:sz w:val="28"/>
          <w:szCs w:val="28"/>
        </w:rPr>
        <w:t>二、投标文件商务技术册</w:t>
      </w:r>
      <w:bookmarkEnd w:id="280"/>
      <w:bookmarkEnd w:id="281"/>
    </w:p>
    <w:p>
      <w:pPr>
        <w:pStyle w:val="4"/>
        <w:tabs>
          <w:tab w:val="left" w:pos="900"/>
        </w:tabs>
        <w:spacing w:line="360" w:lineRule="auto"/>
        <w:jc w:val="center"/>
        <w:rPr>
          <w:rFonts w:hint="default"/>
          <w:sz w:val="24"/>
        </w:rPr>
      </w:pPr>
      <w:bookmarkStart w:id="282" w:name="_Toc6665580"/>
      <w:bookmarkStart w:id="283" w:name="_Toc310195762"/>
      <w:bookmarkStart w:id="284" w:name="_Toc523911433"/>
      <w:r>
        <w:rPr>
          <w:sz w:val="24"/>
        </w:rPr>
        <w:t>1 投 标 函</w:t>
      </w:r>
      <w:bookmarkEnd w:id="282"/>
      <w:bookmarkEnd w:id="283"/>
      <w:bookmarkEnd w:id="284"/>
    </w:p>
    <w:p>
      <w:pPr>
        <w:tabs>
          <w:tab w:val="left" w:pos="5580"/>
        </w:tabs>
        <w:spacing w:before="120" w:line="360" w:lineRule="auto"/>
        <w:jc w:val="center"/>
        <w:rPr>
          <w:rFonts w:ascii="宋体" w:hAnsi="宋体"/>
          <w:b/>
          <w:sz w:val="24"/>
        </w:rPr>
      </w:pP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致：（采购代理机构）</w:t>
      </w:r>
    </w:p>
    <w:p>
      <w:pPr>
        <w:pStyle w:val="20"/>
        <w:tabs>
          <w:tab w:val="left" w:pos="5580"/>
        </w:tabs>
        <w:spacing w:line="360" w:lineRule="auto"/>
        <w:ind w:firstLine="720" w:firstLineChars="300"/>
        <w:jc w:val="left"/>
        <w:rPr>
          <w:rFonts w:hAnsi="宋体" w:cs="宋体"/>
          <w:sz w:val="24"/>
          <w:szCs w:val="24"/>
          <w:u w:val="single"/>
          <w:lang w:val="en-US"/>
        </w:rPr>
      </w:pPr>
      <w:r>
        <w:rPr>
          <w:rFonts w:hint="eastAsia" w:hAnsi="宋体" w:cs="宋体"/>
          <w:sz w:val="24"/>
          <w:szCs w:val="24"/>
          <w:lang w:val="en-US"/>
        </w:rPr>
        <w:t>根据贵方为</w:t>
      </w:r>
      <w:r>
        <w:rPr>
          <w:rFonts w:hint="eastAsia" w:hAnsi="宋体" w:cs="宋体"/>
          <w:sz w:val="24"/>
          <w:szCs w:val="24"/>
          <w:u w:val="single"/>
          <w:lang w:val="en-US"/>
        </w:rPr>
        <w:t>(项目名称)</w:t>
      </w:r>
      <w:r>
        <w:rPr>
          <w:rFonts w:hint="eastAsia" w:hAnsi="宋体" w:cs="宋体"/>
          <w:sz w:val="24"/>
          <w:szCs w:val="24"/>
          <w:lang w:val="en-US"/>
        </w:rPr>
        <w:t>招标采购货物</w:t>
      </w:r>
      <w:r>
        <w:rPr>
          <w:rFonts w:hint="eastAsia" w:hAnsi="宋体" w:cs="宋体"/>
          <w:sz w:val="24"/>
          <w:szCs w:val="24"/>
          <w:u w:val="single"/>
          <w:lang w:val="en-US"/>
        </w:rPr>
        <w:t>(项目代理编号)</w:t>
      </w:r>
      <w:r>
        <w:rPr>
          <w:rFonts w:hint="eastAsia" w:hAnsi="宋体" w:cs="宋体"/>
          <w:sz w:val="24"/>
          <w:szCs w:val="24"/>
          <w:lang w:val="en-US"/>
        </w:rPr>
        <w:t>的投标邀请,签字代表 (姓名、职务)经正式授权并代表投标人（投标人名称、地址）提交下述文件正本</w:t>
      </w:r>
      <w:r>
        <w:rPr>
          <w:rFonts w:hint="eastAsia" w:hAnsi="宋体" w:cs="宋体"/>
          <w:sz w:val="24"/>
          <w:szCs w:val="24"/>
          <w:u w:val="single"/>
          <w:lang w:val="en-US"/>
        </w:rPr>
        <w:t xml:space="preserve">  </w:t>
      </w:r>
      <w:r>
        <w:rPr>
          <w:rFonts w:hint="eastAsia" w:hAnsi="宋体" w:cs="宋体"/>
          <w:sz w:val="24"/>
          <w:szCs w:val="24"/>
          <w:lang w:val="en-US"/>
        </w:rPr>
        <w:t>份及副本</w:t>
      </w:r>
      <w:r>
        <w:rPr>
          <w:rFonts w:hint="eastAsia" w:hAnsi="宋体" w:cs="宋体"/>
          <w:sz w:val="24"/>
          <w:szCs w:val="24"/>
          <w:u w:val="single"/>
          <w:lang w:val="en-US"/>
        </w:rPr>
        <w:t xml:space="preserve">  </w:t>
      </w:r>
      <w:r>
        <w:rPr>
          <w:rFonts w:hint="eastAsia" w:hAnsi="宋体" w:cs="宋体"/>
          <w:sz w:val="24"/>
          <w:szCs w:val="24"/>
          <w:lang w:val="en-US"/>
        </w:rPr>
        <w:t>份及电子文档____套：</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1.投标函</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2.开标一览表</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3.投标分项报价表</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4.货物说明一览表</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5.技术规格偏离表</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6.商务条款偏离表</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7.业绩案例一览表</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8 投标人基本情况表</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9 实施方案</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10 售后服务及培训计划</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11提交投标保证金的证明材料（如适用）</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12 中标服务费承诺书</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13 投标人企业类型声明函（如适用）</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14残疾人福利性单位声明函（如适用）</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15 监狱、戒毒企业声明函（如适用）</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16投标人认为必要的其他证明文件</w:t>
      </w:r>
    </w:p>
    <w:p>
      <w:pPr>
        <w:pStyle w:val="20"/>
        <w:tabs>
          <w:tab w:val="left" w:pos="5580"/>
        </w:tabs>
        <w:spacing w:line="360" w:lineRule="auto"/>
        <w:ind w:left="840"/>
        <w:jc w:val="left"/>
        <w:rPr>
          <w:rFonts w:hAnsi="宋体" w:cs="宋体"/>
          <w:sz w:val="24"/>
          <w:szCs w:val="24"/>
          <w:lang w:val="en-US"/>
        </w:rPr>
      </w:pP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在此，授权代表宣布同意如下：</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1）所附投标价格表中规定的应提交和交付的货物投标总价为人民币（用文字和数字表示的投标总价）。</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2）投标人将按招标文件的规定履行合同责任和义务。</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3）投标人已详细审查全部招标文件。我们完全理解并同意放弃对这方面有不明及误解的权利。</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4）本投标有效期为自开标之日起</w:t>
      </w:r>
      <w:r>
        <w:rPr>
          <w:rFonts w:hint="eastAsia" w:hAnsi="宋体" w:cs="宋体"/>
          <w:sz w:val="24"/>
          <w:szCs w:val="24"/>
          <w:u w:val="single"/>
          <w:lang w:val="en-US"/>
        </w:rPr>
        <w:t xml:space="preserve"> 90</w:t>
      </w:r>
      <w:r>
        <w:rPr>
          <w:rFonts w:hint="eastAsia" w:hAnsi="宋体" w:cs="宋体"/>
          <w:sz w:val="24"/>
          <w:szCs w:val="24"/>
          <w:lang w:val="en-US"/>
        </w:rPr>
        <w:t>个日历日。</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5）在规定的开标时间后，投标人保证遵守招标文件中有关保证金的规定。</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6）我方与甲方聘请的为此项目提供咨询服务的公司及任何附属机构均无关联，我方不是甲方的附属机构。</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7）投标人同意提供按照贵方可能要求的与其投标有关的一切数据或资料，完全理解贵方不一定接受最低价的投标。</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8）与本投标有关的一切正式往来信函请寄：</w:t>
      </w:r>
    </w:p>
    <w:p>
      <w:pPr>
        <w:pStyle w:val="20"/>
        <w:tabs>
          <w:tab w:val="left" w:pos="5580"/>
        </w:tabs>
        <w:spacing w:line="360" w:lineRule="auto"/>
        <w:ind w:left="840"/>
        <w:jc w:val="left"/>
        <w:rPr>
          <w:rFonts w:hAnsi="宋体" w:cs="宋体"/>
          <w:sz w:val="24"/>
          <w:szCs w:val="24"/>
          <w:lang w:val="en-US"/>
        </w:rPr>
      </w:pP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地址：_________________________     传真：____________________________</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电话：_________________________     电子函件：________________________</w:t>
      </w:r>
    </w:p>
    <w:p>
      <w:pPr>
        <w:pStyle w:val="20"/>
        <w:tabs>
          <w:tab w:val="left" w:pos="5580"/>
        </w:tabs>
        <w:spacing w:line="360" w:lineRule="auto"/>
        <w:ind w:left="840"/>
        <w:jc w:val="left"/>
        <w:rPr>
          <w:rFonts w:hAnsi="宋体" w:cs="宋体"/>
          <w:sz w:val="24"/>
          <w:szCs w:val="24"/>
          <w:lang w:val="en-US"/>
        </w:rPr>
      </w:pP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授权代表签字：_______________</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投标人名称：_______________________</w:t>
      </w:r>
    </w:p>
    <w:p>
      <w:pPr>
        <w:pStyle w:val="20"/>
        <w:tabs>
          <w:tab w:val="left" w:pos="5580"/>
        </w:tabs>
        <w:spacing w:line="360" w:lineRule="auto"/>
        <w:ind w:left="840"/>
        <w:jc w:val="left"/>
        <w:rPr>
          <w:rFonts w:hAnsi="宋体" w:cs="宋体"/>
          <w:sz w:val="24"/>
          <w:szCs w:val="24"/>
          <w:lang w:val="en-US"/>
        </w:rPr>
      </w:pP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开户名全称：</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开户银行：</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银行账号：</w:t>
      </w:r>
    </w:p>
    <w:p>
      <w:pPr>
        <w:pStyle w:val="20"/>
        <w:tabs>
          <w:tab w:val="left" w:pos="5580"/>
        </w:tabs>
        <w:spacing w:line="360" w:lineRule="auto"/>
        <w:ind w:left="840"/>
        <w:jc w:val="left"/>
        <w:rPr>
          <w:rFonts w:hAnsi="宋体" w:cs="宋体"/>
          <w:sz w:val="24"/>
          <w:szCs w:val="24"/>
          <w:lang w:val="en-US"/>
        </w:rPr>
      </w:pPr>
      <w:r>
        <w:rPr>
          <w:rFonts w:hint="eastAsia" w:hAnsi="宋体" w:cs="宋体"/>
          <w:sz w:val="24"/>
          <w:szCs w:val="24"/>
          <w:lang w:val="en-US"/>
        </w:rPr>
        <w:t>公    章：</w:t>
      </w:r>
    </w:p>
    <w:p>
      <w:pPr>
        <w:pStyle w:val="20"/>
        <w:tabs>
          <w:tab w:val="left" w:pos="5580"/>
        </w:tabs>
        <w:spacing w:line="360" w:lineRule="auto"/>
        <w:ind w:left="840"/>
        <w:jc w:val="left"/>
        <w:rPr>
          <w:rFonts w:hAnsi="宋体"/>
          <w:sz w:val="24"/>
          <w:u w:val="single"/>
        </w:rPr>
        <w:sectPr>
          <w:headerReference r:id="rId16" w:type="first"/>
          <w:footerReference r:id="rId17" w:type="first"/>
          <w:pgSz w:w="11907" w:h="16840"/>
          <w:pgMar w:top="1089" w:right="1418" w:bottom="1400" w:left="1418" w:header="851" w:footer="851" w:gutter="0"/>
          <w:cols w:space="720" w:num="1"/>
          <w:docGrid w:linePitch="462" w:charSpace="0"/>
        </w:sectPr>
      </w:pPr>
      <w:r>
        <w:rPr>
          <w:rFonts w:hint="eastAsia" w:hAnsi="宋体" w:cs="宋体"/>
          <w:sz w:val="24"/>
          <w:szCs w:val="24"/>
          <w:lang w:val="en-US"/>
        </w:rPr>
        <w:t>日    期：</w:t>
      </w:r>
    </w:p>
    <w:p>
      <w:pPr>
        <w:pStyle w:val="4"/>
        <w:tabs>
          <w:tab w:val="left" w:pos="900"/>
        </w:tabs>
        <w:spacing w:line="360" w:lineRule="auto"/>
        <w:jc w:val="center"/>
        <w:rPr>
          <w:rFonts w:hint="default"/>
          <w:sz w:val="24"/>
        </w:rPr>
      </w:pPr>
      <w:bookmarkStart w:id="285" w:name="_Ref467988705"/>
      <w:bookmarkStart w:id="286" w:name="_Toc236642991"/>
      <w:bookmarkStart w:id="287" w:name="_Toc523911434"/>
      <w:bookmarkStart w:id="288" w:name="_Toc480942350"/>
      <w:bookmarkStart w:id="289" w:name="_Toc520356218"/>
      <w:bookmarkStart w:id="290" w:name="_Toc310195763"/>
      <w:bookmarkStart w:id="291" w:name="_Toc6665581"/>
      <w:r>
        <w:rPr>
          <w:sz w:val="24"/>
        </w:rPr>
        <w:t xml:space="preserve">2 </w:t>
      </w:r>
      <w:bookmarkEnd w:id="285"/>
      <w:bookmarkEnd w:id="286"/>
      <w:bookmarkEnd w:id="287"/>
      <w:bookmarkEnd w:id="288"/>
      <w:bookmarkEnd w:id="289"/>
      <w:bookmarkEnd w:id="290"/>
      <w:r>
        <w:rPr>
          <w:sz w:val="24"/>
        </w:rPr>
        <w:t>开标一览表</w:t>
      </w:r>
      <w:bookmarkEnd w:id="291"/>
    </w:p>
    <w:p>
      <w:pPr>
        <w:tabs>
          <w:tab w:val="left" w:pos="1800"/>
          <w:tab w:val="left" w:pos="5580"/>
        </w:tabs>
        <w:spacing w:line="360" w:lineRule="auto"/>
        <w:jc w:val="left"/>
        <w:rPr>
          <w:rFonts w:ascii="宋体" w:hAnsi="宋体"/>
          <w:sz w:val="24"/>
        </w:rPr>
      </w:pPr>
      <w:r>
        <w:rPr>
          <w:rFonts w:hint="eastAsia" w:ascii="宋体" w:hAnsi="宋体"/>
          <w:sz w:val="24"/>
        </w:rPr>
        <w:t xml:space="preserve"> </w:t>
      </w:r>
    </w:p>
    <w:p>
      <w:pPr>
        <w:tabs>
          <w:tab w:val="left" w:pos="1800"/>
          <w:tab w:val="left" w:pos="5580"/>
        </w:tabs>
        <w:spacing w:line="360" w:lineRule="auto"/>
        <w:ind w:firstLine="600" w:firstLineChars="250"/>
        <w:jc w:val="left"/>
        <w:rPr>
          <w:rFonts w:ascii="宋体" w:hAnsi="宋体"/>
          <w:sz w:val="24"/>
        </w:rPr>
      </w:pPr>
      <w:r>
        <w:rPr>
          <w:rFonts w:hint="eastAsia" w:ascii="宋体" w:hAnsi="宋体"/>
          <w:sz w:val="24"/>
        </w:rPr>
        <w:t>项目名称：                                 项目代理编号：</w:t>
      </w:r>
      <w:r>
        <w:rPr>
          <w:rFonts w:ascii="宋体" w:hAnsi="宋体"/>
          <w:sz w:val="24"/>
        </w:rPr>
        <w:t xml:space="preserve">            </w:t>
      </w:r>
      <w:r>
        <w:rPr>
          <w:rFonts w:hint="eastAsia" w:ascii="宋体" w:hAnsi="宋体"/>
          <w:sz w:val="24"/>
        </w:rPr>
        <w:t xml:space="preserve">          </w:t>
      </w:r>
      <w:r>
        <w:rPr>
          <w:rFonts w:ascii="宋体" w:hAnsi="宋体"/>
          <w:sz w:val="24"/>
        </w:rPr>
        <w:t xml:space="preserve">  </w:t>
      </w:r>
    </w:p>
    <w:p>
      <w:pPr>
        <w:tabs>
          <w:tab w:val="left" w:pos="1800"/>
          <w:tab w:val="left" w:pos="5580"/>
        </w:tabs>
        <w:spacing w:line="360" w:lineRule="auto"/>
        <w:jc w:val="left"/>
        <w:rPr>
          <w:rFonts w:ascii="宋体" w:hAnsi="宋体"/>
          <w:sz w:val="24"/>
        </w:rPr>
      </w:pPr>
    </w:p>
    <w:tbl>
      <w:tblPr>
        <w:tblStyle w:val="47"/>
        <w:tblW w:w="1361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51"/>
        <w:gridCol w:w="1985"/>
        <w:gridCol w:w="1985"/>
        <w:gridCol w:w="1985"/>
        <w:gridCol w:w="2268"/>
        <w:gridCol w:w="2268"/>
        <w:gridCol w:w="2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51" w:type="dxa"/>
            <w:tcBorders>
              <w:top w:val="single" w:color="auto" w:sz="12" w:space="0"/>
            </w:tcBorders>
            <w:vAlign w:val="center"/>
          </w:tcPr>
          <w:p>
            <w:pPr>
              <w:tabs>
                <w:tab w:val="left" w:pos="5580"/>
              </w:tabs>
              <w:jc w:val="center"/>
              <w:rPr>
                <w:rFonts w:ascii="宋体" w:hAnsi="宋体"/>
                <w:sz w:val="24"/>
              </w:rPr>
            </w:pPr>
            <w:r>
              <w:rPr>
                <w:rFonts w:hint="eastAsia" w:ascii="宋体" w:hAnsi="宋体"/>
                <w:sz w:val="24"/>
              </w:rPr>
              <w:t>序号</w:t>
            </w:r>
          </w:p>
        </w:tc>
        <w:tc>
          <w:tcPr>
            <w:tcW w:w="1985" w:type="dxa"/>
            <w:tcBorders>
              <w:top w:val="single" w:color="auto" w:sz="12" w:space="0"/>
            </w:tcBorders>
            <w:vAlign w:val="center"/>
          </w:tcPr>
          <w:p>
            <w:pPr>
              <w:tabs>
                <w:tab w:val="left" w:pos="5580"/>
              </w:tabs>
              <w:jc w:val="center"/>
              <w:rPr>
                <w:rFonts w:ascii="宋体" w:hAnsi="宋体"/>
                <w:sz w:val="24"/>
              </w:rPr>
            </w:pPr>
            <w:r>
              <w:rPr>
                <w:rFonts w:hint="eastAsia" w:ascii="宋体" w:hAnsi="宋体"/>
                <w:sz w:val="24"/>
              </w:rPr>
              <w:t>货物名称</w:t>
            </w:r>
          </w:p>
        </w:tc>
        <w:tc>
          <w:tcPr>
            <w:tcW w:w="1985" w:type="dxa"/>
            <w:tcBorders>
              <w:top w:val="single" w:color="auto" w:sz="12" w:space="0"/>
            </w:tcBorders>
            <w:vAlign w:val="center"/>
          </w:tcPr>
          <w:p>
            <w:pPr>
              <w:tabs>
                <w:tab w:val="left" w:pos="5580"/>
              </w:tabs>
              <w:ind w:left="163" w:hanging="163"/>
              <w:jc w:val="center"/>
              <w:rPr>
                <w:rFonts w:ascii="宋体" w:hAnsi="宋体"/>
                <w:sz w:val="24"/>
              </w:rPr>
            </w:pPr>
            <w:r>
              <w:rPr>
                <w:rFonts w:hint="eastAsia" w:ascii="宋体" w:hAnsi="宋体"/>
                <w:sz w:val="24"/>
              </w:rPr>
              <w:t>投标总价</w:t>
            </w:r>
          </w:p>
          <w:p>
            <w:pPr>
              <w:tabs>
                <w:tab w:val="left" w:pos="5580"/>
              </w:tabs>
              <w:jc w:val="center"/>
              <w:rPr>
                <w:rFonts w:ascii="宋体" w:hAnsi="宋体"/>
                <w:sz w:val="24"/>
              </w:rPr>
            </w:pPr>
            <w:r>
              <w:rPr>
                <w:rFonts w:hint="eastAsia" w:ascii="宋体" w:hAnsi="宋体"/>
                <w:sz w:val="24"/>
              </w:rPr>
              <w:t>（元）</w:t>
            </w:r>
          </w:p>
        </w:tc>
        <w:tc>
          <w:tcPr>
            <w:tcW w:w="1985" w:type="dxa"/>
            <w:tcBorders>
              <w:top w:val="single" w:color="auto" w:sz="12" w:space="0"/>
            </w:tcBorders>
            <w:vAlign w:val="center"/>
          </w:tcPr>
          <w:p>
            <w:pPr>
              <w:tabs>
                <w:tab w:val="left" w:pos="5580"/>
              </w:tabs>
              <w:jc w:val="center"/>
              <w:rPr>
                <w:rFonts w:ascii="宋体" w:hAnsi="宋体"/>
                <w:sz w:val="24"/>
              </w:rPr>
            </w:pPr>
            <w:r>
              <w:rPr>
                <w:rFonts w:hint="eastAsia" w:ascii="宋体" w:hAnsi="宋体"/>
                <w:sz w:val="24"/>
              </w:rPr>
              <w:t>投标保证金</w:t>
            </w:r>
          </w:p>
          <w:p>
            <w:pPr>
              <w:tabs>
                <w:tab w:val="left" w:pos="5580"/>
              </w:tabs>
              <w:jc w:val="center"/>
              <w:rPr>
                <w:rFonts w:ascii="宋体" w:hAnsi="宋体"/>
                <w:sz w:val="24"/>
              </w:rPr>
            </w:pPr>
            <w:r>
              <w:rPr>
                <w:rFonts w:hint="eastAsia" w:ascii="宋体" w:hAnsi="宋体"/>
                <w:sz w:val="24"/>
              </w:rPr>
              <w:t>（有/无）</w:t>
            </w:r>
          </w:p>
        </w:tc>
        <w:tc>
          <w:tcPr>
            <w:tcW w:w="2268" w:type="dxa"/>
            <w:tcBorders>
              <w:top w:val="single" w:color="auto" w:sz="12" w:space="0"/>
            </w:tcBorders>
            <w:vAlign w:val="center"/>
          </w:tcPr>
          <w:p>
            <w:pPr>
              <w:tabs>
                <w:tab w:val="left" w:pos="5580"/>
              </w:tabs>
              <w:jc w:val="center"/>
              <w:rPr>
                <w:rFonts w:ascii="宋体" w:hAnsi="宋体"/>
                <w:sz w:val="24"/>
              </w:rPr>
            </w:pPr>
            <w:r>
              <w:rPr>
                <w:rFonts w:hint="eastAsia" w:ascii="宋体" w:hAnsi="宋体"/>
                <w:sz w:val="24"/>
              </w:rPr>
              <w:t>交货方式</w:t>
            </w:r>
          </w:p>
        </w:tc>
        <w:tc>
          <w:tcPr>
            <w:tcW w:w="2268" w:type="dxa"/>
            <w:tcBorders>
              <w:top w:val="single" w:color="auto" w:sz="12" w:space="0"/>
            </w:tcBorders>
            <w:vAlign w:val="center"/>
          </w:tcPr>
          <w:p>
            <w:pPr>
              <w:tabs>
                <w:tab w:val="left" w:pos="5580"/>
              </w:tabs>
              <w:jc w:val="center"/>
              <w:rPr>
                <w:rFonts w:ascii="宋体" w:hAnsi="宋体"/>
                <w:sz w:val="24"/>
              </w:rPr>
            </w:pPr>
            <w:r>
              <w:rPr>
                <w:rFonts w:hint="eastAsia" w:ascii="宋体" w:hAnsi="宋体"/>
                <w:sz w:val="24"/>
              </w:rPr>
              <w:t>交货地点</w:t>
            </w:r>
          </w:p>
        </w:tc>
        <w:tc>
          <w:tcPr>
            <w:tcW w:w="2268" w:type="dxa"/>
            <w:tcBorders>
              <w:top w:val="single" w:color="auto" w:sz="12" w:space="0"/>
            </w:tcBorders>
            <w:vAlign w:val="center"/>
          </w:tcPr>
          <w:p>
            <w:pPr>
              <w:tabs>
                <w:tab w:val="left" w:pos="5580"/>
              </w:tabs>
              <w:jc w:val="center"/>
              <w:rPr>
                <w:rFonts w:ascii="宋体" w:hAnsi="宋体"/>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51" w:type="dxa"/>
            <w:vAlign w:val="center"/>
          </w:tcPr>
          <w:p>
            <w:pPr>
              <w:tabs>
                <w:tab w:val="left" w:pos="5580"/>
              </w:tabs>
              <w:jc w:val="center"/>
              <w:rPr>
                <w:rFonts w:ascii="宋体" w:hAnsi="宋体"/>
                <w:sz w:val="24"/>
              </w:rPr>
            </w:pPr>
          </w:p>
        </w:tc>
        <w:tc>
          <w:tcPr>
            <w:tcW w:w="1985" w:type="dxa"/>
            <w:vAlign w:val="center"/>
          </w:tcPr>
          <w:p>
            <w:pPr>
              <w:tabs>
                <w:tab w:val="left" w:pos="5580"/>
              </w:tabs>
              <w:jc w:val="center"/>
              <w:rPr>
                <w:rFonts w:ascii="宋体" w:hAnsi="宋体"/>
                <w:sz w:val="24"/>
              </w:rPr>
            </w:pPr>
          </w:p>
        </w:tc>
        <w:tc>
          <w:tcPr>
            <w:tcW w:w="1985" w:type="dxa"/>
            <w:vAlign w:val="center"/>
          </w:tcPr>
          <w:p>
            <w:pPr>
              <w:tabs>
                <w:tab w:val="left" w:pos="5580"/>
              </w:tabs>
              <w:jc w:val="center"/>
              <w:rPr>
                <w:rFonts w:ascii="宋体" w:hAnsi="宋体"/>
                <w:sz w:val="24"/>
              </w:rPr>
            </w:pPr>
          </w:p>
        </w:tc>
        <w:tc>
          <w:tcPr>
            <w:tcW w:w="1985" w:type="dxa"/>
            <w:vAlign w:val="center"/>
          </w:tcPr>
          <w:p>
            <w:pPr>
              <w:tabs>
                <w:tab w:val="left" w:pos="5580"/>
              </w:tabs>
              <w:jc w:val="center"/>
              <w:rPr>
                <w:rFonts w:ascii="宋体" w:hAnsi="宋体"/>
                <w:sz w:val="24"/>
              </w:rPr>
            </w:pPr>
          </w:p>
        </w:tc>
        <w:tc>
          <w:tcPr>
            <w:tcW w:w="2268" w:type="dxa"/>
            <w:vAlign w:val="center"/>
          </w:tcPr>
          <w:p>
            <w:pPr>
              <w:tabs>
                <w:tab w:val="left" w:pos="5580"/>
              </w:tabs>
              <w:jc w:val="center"/>
              <w:rPr>
                <w:rFonts w:ascii="宋体" w:hAnsi="宋体"/>
                <w:sz w:val="24"/>
              </w:rPr>
            </w:pPr>
          </w:p>
        </w:tc>
        <w:tc>
          <w:tcPr>
            <w:tcW w:w="2268" w:type="dxa"/>
            <w:vAlign w:val="center"/>
          </w:tcPr>
          <w:p>
            <w:pPr>
              <w:tabs>
                <w:tab w:val="left" w:pos="5580"/>
              </w:tabs>
              <w:jc w:val="center"/>
              <w:rPr>
                <w:rFonts w:ascii="宋体" w:hAnsi="宋体"/>
                <w:sz w:val="24"/>
              </w:rPr>
            </w:pPr>
          </w:p>
        </w:tc>
        <w:tc>
          <w:tcPr>
            <w:tcW w:w="2268" w:type="dxa"/>
            <w:vAlign w:val="center"/>
          </w:tcPr>
          <w:p>
            <w:pPr>
              <w:tabs>
                <w:tab w:val="left" w:pos="5580"/>
              </w:tabs>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836" w:type="dxa"/>
            <w:gridSpan w:val="2"/>
            <w:tcBorders>
              <w:bottom w:val="single" w:color="auto" w:sz="12" w:space="0"/>
            </w:tcBorders>
            <w:vAlign w:val="center"/>
          </w:tcPr>
          <w:p>
            <w:pPr>
              <w:tabs>
                <w:tab w:val="left" w:pos="5580"/>
              </w:tabs>
              <w:jc w:val="center"/>
              <w:rPr>
                <w:rFonts w:ascii="宋体" w:hAnsi="宋体"/>
                <w:sz w:val="24"/>
              </w:rPr>
            </w:pPr>
            <w:r>
              <w:rPr>
                <w:rFonts w:hint="eastAsia" w:ascii="宋体" w:hAnsi="宋体"/>
                <w:sz w:val="24"/>
              </w:rPr>
              <w:t>合计</w:t>
            </w:r>
          </w:p>
        </w:tc>
        <w:tc>
          <w:tcPr>
            <w:tcW w:w="10774" w:type="dxa"/>
            <w:gridSpan w:val="5"/>
            <w:tcBorders>
              <w:bottom w:val="single" w:color="auto" w:sz="12" w:space="0"/>
            </w:tcBorders>
            <w:vAlign w:val="center"/>
          </w:tcPr>
          <w:p>
            <w:pPr>
              <w:tabs>
                <w:tab w:val="left" w:pos="5580"/>
              </w:tabs>
              <w:jc w:val="center"/>
              <w:rPr>
                <w:rFonts w:ascii="宋体" w:hAnsi="宋体"/>
                <w:sz w:val="24"/>
              </w:rPr>
            </w:pPr>
          </w:p>
        </w:tc>
      </w:tr>
    </w:tbl>
    <w:p>
      <w:pPr>
        <w:pStyle w:val="20"/>
        <w:tabs>
          <w:tab w:val="left" w:pos="5580"/>
        </w:tabs>
        <w:spacing w:before="120" w:line="360" w:lineRule="auto"/>
        <w:ind w:left="840"/>
        <w:rPr>
          <w:rFonts w:hAnsi="宋体"/>
          <w:sz w:val="24"/>
        </w:rPr>
      </w:pPr>
    </w:p>
    <w:p>
      <w:pPr>
        <w:spacing w:line="360" w:lineRule="auto"/>
        <w:rPr>
          <w:rFonts w:ascii="宋体" w:hAnsi="宋体"/>
          <w:sz w:val="24"/>
          <w:szCs w:val="21"/>
          <w:lang w:val="zh-CN"/>
        </w:rPr>
      </w:pPr>
      <w:r>
        <w:rPr>
          <w:rFonts w:hint="eastAsia" w:ascii="宋体" w:hAnsi="宋体"/>
          <w:sz w:val="24"/>
          <w:szCs w:val="21"/>
          <w:lang w:val="zh-CN"/>
        </w:rPr>
        <w:t>投标人名称（盖章）：</w:t>
      </w:r>
    </w:p>
    <w:p>
      <w:pPr>
        <w:spacing w:line="360" w:lineRule="auto"/>
        <w:rPr>
          <w:rFonts w:ascii="宋体" w:hAnsi="宋体"/>
          <w:sz w:val="24"/>
          <w:szCs w:val="21"/>
          <w:lang w:val="zh-CN"/>
        </w:rPr>
      </w:pPr>
      <w:r>
        <w:rPr>
          <w:rFonts w:hint="eastAsia" w:ascii="宋体" w:hAnsi="宋体"/>
          <w:sz w:val="24"/>
          <w:szCs w:val="21"/>
          <w:lang w:val="zh-CN"/>
        </w:rPr>
        <w:t>授权代表（签字）：</w:t>
      </w:r>
    </w:p>
    <w:p>
      <w:pPr>
        <w:rPr>
          <w:rFonts w:ascii="宋体" w:hAnsi="宋体"/>
          <w:sz w:val="24"/>
        </w:rPr>
      </w:pPr>
      <w:r>
        <w:rPr>
          <w:rFonts w:hint="eastAsia" w:ascii="宋体" w:hAnsi="宋体"/>
          <w:sz w:val="24"/>
          <w:szCs w:val="21"/>
          <w:lang w:val="zh-CN"/>
        </w:rPr>
        <w:t>注:1、此表应按投标人须知的规定密封标记并单独递交。</w:t>
      </w:r>
    </w:p>
    <w:p>
      <w:pPr>
        <w:ind w:firstLine="240" w:firstLineChars="100"/>
        <w:rPr>
          <w:rFonts w:ascii="宋体" w:hAnsi="宋体"/>
          <w:sz w:val="24"/>
        </w:rPr>
        <w:sectPr>
          <w:footerReference r:id="rId18" w:type="default"/>
          <w:pgSz w:w="16840" w:h="11907" w:orient="landscape"/>
          <w:pgMar w:top="1418" w:right="1400" w:bottom="1418" w:left="1089" w:header="851" w:footer="992" w:gutter="0"/>
          <w:cols w:space="720" w:num="1"/>
          <w:docGrid w:linePitch="312" w:charSpace="0"/>
        </w:sectPr>
      </w:pPr>
      <w:r>
        <w:rPr>
          <w:rFonts w:hint="eastAsia" w:ascii="宋体" w:hAnsi="宋体"/>
          <w:sz w:val="24"/>
        </w:rPr>
        <w:t>2、此表中，投标总价应和“3投标分项报价表” 中的总价相一致。</w:t>
      </w:r>
    </w:p>
    <w:p>
      <w:pPr>
        <w:spacing w:line="360" w:lineRule="auto"/>
        <w:rPr>
          <w:rFonts w:ascii="宋体" w:hAnsi="宋体"/>
          <w:sz w:val="24"/>
          <w:szCs w:val="21"/>
          <w:lang w:val="zh-CN"/>
        </w:rPr>
      </w:pPr>
    </w:p>
    <w:p>
      <w:pPr>
        <w:pStyle w:val="4"/>
        <w:tabs>
          <w:tab w:val="left" w:pos="900"/>
        </w:tabs>
        <w:spacing w:line="360" w:lineRule="auto"/>
        <w:jc w:val="center"/>
        <w:rPr>
          <w:rFonts w:hint="default"/>
          <w:sz w:val="24"/>
          <w:lang w:val="en-US"/>
        </w:rPr>
      </w:pPr>
      <w:bookmarkStart w:id="292" w:name="_Toc310195764"/>
      <w:bookmarkStart w:id="293" w:name="_Toc366858502"/>
      <w:bookmarkStart w:id="294" w:name="_Toc523911435"/>
      <w:bookmarkStart w:id="295" w:name="_Toc6665582"/>
      <w:bookmarkStart w:id="296" w:name="_Toc236642992"/>
      <w:bookmarkStart w:id="297" w:name="_Toc310195765"/>
      <w:r>
        <w:rPr>
          <w:sz w:val="24"/>
        </w:rPr>
        <w:t>3 投标分项报价表</w:t>
      </w:r>
      <w:bookmarkEnd w:id="292"/>
      <w:bookmarkEnd w:id="293"/>
      <w:bookmarkEnd w:id="294"/>
      <w:bookmarkEnd w:id="295"/>
      <w:r>
        <w:rPr>
          <w:sz w:val="24"/>
          <w:lang w:val="en-US"/>
        </w:rPr>
        <w:t xml:space="preserve"> </w:t>
      </w:r>
    </w:p>
    <w:p>
      <w:pPr>
        <w:pStyle w:val="8"/>
        <w:ind w:firstLine="5262" w:firstLineChars="2184"/>
        <w:rPr>
          <w:rFonts w:hAnsi="宋体"/>
          <w:b/>
          <w:szCs w:val="24"/>
        </w:rPr>
      </w:pPr>
    </w:p>
    <w:p>
      <w:pPr>
        <w:pStyle w:val="20"/>
        <w:spacing w:line="360" w:lineRule="auto"/>
        <w:ind w:left="840"/>
        <w:rPr>
          <w:rFonts w:hint="eastAsia" w:hAnsi="宋体"/>
          <w:sz w:val="24"/>
          <w:szCs w:val="24"/>
          <w:lang w:val="en-US"/>
        </w:rPr>
      </w:pPr>
      <w:r>
        <w:rPr>
          <w:rFonts w:hint="eastAsia" w:hAnsi="宋体"/>
          <w:sz w:val="24"/>
          <w:szCs w:val="24"/>
        </w:rPr>
        <w:t xml:space="preserve">投标人名称：___________                   项目代理编号：_______________ </w:t>
      </w:r>
      <w:r>
        <w:rPr>
          <w:rFonts w:hAnsi="宋体"/>
          <w:sz w:val="24"/>
          <w:szCs w:val="24"/>
        </w:rPr>
        <w:t xml:space="preserve"> </w:t>
      </w:r>
      <w:r>
        <w:rPr>
          <w:rFonts w:hint="eastAsia" w:hAnsi="宋体"/>
          <w:sz w:val="24"/>
          <w:szCs w:val="24"/>
          <w:lang w:val="en-US"/>
        </w:rPr>
        <w:t xml:space="preserve">       </w:t>
      </w:r>
    </w:p>
    <w:p>
      <w:pPr>
        <w:pStyle w:val="20"/>
        <w:spacing w:line="360" w:lineRule="auto"/>
        <w:ind w:left="840"/>
        <w:rPr>
          <w:rFonts w:hAnsi="宋体"/>
          <w:sz w:val="24"/>
          <w:szCs w:val="24"/>
          <w:u w:val="single"/>
          <w:lang w:val="en-US"/>
        </w:rPr>
      </w:pPr>
    </w:p>
    <w:tbl>
      <w:tblPr>
        <w:tblStyle w:val="47"/>
        <w:tblW w:w="1407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037"/>
        <w:gridCol w:w="1596"/>
        <w:gridCol w:w="1449"/>
        <w:gridCol w:w="2556"/>
        <w:gridCol w:w="2169"/>
        <w:gridCol w:w="24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1" w:type="dxa"/>
            <w:tcBorders>
              <w:top w:val="single" w:color="auto" w:sz="12" w:space="0"/>
            </w:tcBorders>
            <w:vAlign w:val="center"/>
          </w:tcPr>
          <w:p>
            <w:pPr>
              <w:pStyle w:val="20"/>
              <w:jc w:val="center"/>
              <w:rPr>
                <w:rFonts w:hAnsi="宋体" w:cs="Courier New"/>
                <w:sz w:val="24"/>
                <w:szCs w:val="24"/>
              </w:rPr>
            </w:pPr>
            <w:r>
              <w:rPr>
                <w:rFonts w:hint="eastAsia" w:hAnsi="宋体" w:cs="Courier New"/>
                <w:sz w:val="24"/>
                <w:szCs w:val="24"/>
              </w:rPr>
              <w:t>序号</w:t>
            </w:r>
          </w:p>
        </w:tc>
        <w:tc>
          <w:tcPr>
            <w:tcW w:w="3037" w:type="dxa"/>
            <w:tcBorders>
              <w:top w:val="single" w:color="auto" w:sz="12" w:space="0"/>
            </w:tcBorders>
            <w:vAlign w:val="center"/>
          </w:tcPr>
          <w:p>
            <w:pPr>
              <w:pStyle w:val="20"/>
              <w:jc w:val="center"/>
              <w:rPr>
                <w:rFonts w:hAnsi="宋体" w:cs="Courier New"/>
                <w:sz w:val="24"/>
                <w:szCs w:val="24"/>
              </w:rPr>
            </w:pPr>
            <w:r>
              <w:rPr>
                <w:rFonts w:hint="eastAsia" w:hAnsi="宋体" w:cs="Courier New"/>
                <w:sz w:val="24"/>
                <w:szCs w:val="24"/>
              </w:rPr>
              <w:t>名称</w:t>
            </w:r>
          </w:p>
        </w:tc>
        <w:tc>
          <w:tcPr>
            <w:tcW w:w="1596" w:type="dxa"/>
            <w:tcBorders>
              <w:top w:val="single" w:color="auto" w:sz="12" w:space="0"/>
            </w:tcBorders>
            <w:vAlign w:val="center"/>
          </w:tcPr>
          <w:p>
            <w:pPr>
              <w:pStyle w:val="20"/>
              <w:jc w:val="center"/>
              <w:rPr>
                <w:rFonts w:hAnsi="宋体" w:cs="Courier New"/>
                <w:sz w:val="24"/>
                <w:szCs w:val="24"/>
              </w:rPr>
            </w:pPr>
            <w:r>
              <w:rPr>
                <w:rFonts w:hint="eastAsia" w:hAnsi="宋体" w:cs="Courier New"/>
                <w:sz w:val="24"/>
                <w:szCs w:val="24"/>
              </w:rPr>
              <w:t>型号和规格</w:t>
            </w:r>
          </w:p>
        </w:tc>
        <w:tc>
          <w:tcPr>
            <w:tcW w:w="1449" w:type="dxa"/>
            <w:tcBorders>
              <w:top w:val="single" w:color="auto" w:sz="12" w:space="0"/>
            </w:tcBorders>
            <w:vAlign w:val="center"/>
          </w:tcPr>
          <w:p>
            <w:pPr>
              <w:pStyle w:val="20"/>
              <w:jc w:val="center"/>
              <w:rPr>
                <w:rFonts w:hAnsi="宋体" w:cs="Courier New"/>
                <w:sz w:val="24"/>
                <w:szCs w:val="24"/>
              </w:rPr>
            </w:pPr>
            <w:r>
              <w:rPr>
                <w:rFonts w:hint="eastAsia" w:hAnsi="宋体" w:cs="Courier New"/>
                <w:sz w:val="24"/>
                <w:szCs w:val="24"/>
              </w:rPr>
              <w:t>数量</w:t>
            </w:r>
          </w:p>
        </w:tc>
        <w:tc>
          <w:tcPr>
            <w:tcW w:w="2556" w:type="dxa"/>
            <w:tcBorders>
              <w:top w:val="single" w:color="auto" w:sz="12" w:space="0"/>
            </w:tcBorders>
            <w:vAlign w:val="center"/>
          </w:tcPr>
          <w:p>
            <w:pPr>
              <w:pStyle w:val="20"/>
              <w:jc w:val="center"/>
              <w:rPr>
                <w:rFonts w:hAnsi="宋体" w:cs="Courier New"/>
                <w:sz w:val="24"/>
                <w:szCs w:val="24"/>
              </w:rPr>
            </w:pPr>
            <w:r>
              <w:rPr>
                <w:rFonts w:hint="eastAsia" w:hAnsi="宋体" w:cs="Courier New"/>
                <w:sz w:val="24"/>
                <w:szCs w:val="24"/>
              </w:rPr>
              <w:t>原产地和制造商名称</w:t>
            </w:r>
          </w:p>
        </w:tc>
        <w:tc>
          <w:tcPr>
            <w:tcW w:w="2169" w:type="dxa"/>
            <w:tcBorders>
              <w:top w:val="single" w:color="auto" w:sz="12" w:space="0"/>
            </w:tcBorders>
            <w:vAlign w:val="center"/>
          </w:tcPr>
          <w:p>
            <w:pPr>
              <w:pStyle w:val="20"/>
              <w:jc w:val="center"/>
              <w:rPr>
                <w:rFonts w:hAnsi="宋体" w:cs="Courier New"/>
                <w:sz w:val="24"/>
                <w:szCs w:val="24"/>
              </w:rPr>
            </w:pPr>
            <w:r>
              <w:rPr>
                <w:rFonts w:hint="eastAsia" w:hAnsi="宋体" w:cs="Courier New"/>
                <w:sz w:val="24"/>
                <w:szCs w:val="24"/>
              </w:rPr>
              <w:t>单价</w:t>
            </w:r>
          </w:p>
        </w:tc>
        <w:tc>
          <w:tcPr>
            <w:tcW w:w="2415" w:type="dxa"/>
            <w:tcBorders>
              <w:top w:val="single" w:color="auto" w:sz="12" w:space="0"/>
            </w:tcBorders>
            <w:vAlign w:val="center"/>
          </w:tcPr>
          <w:p>
            <w:pPr>
              <w:pStyle w:val="20"/>
              <w:jc w:val="center"/>
              <w:rPr>
                <w:rFonts w:hAnsi="宋体" w:cs="Courier New"/>
                <w:sz w:val="24"/>
                <w:szCs w:val="24"/>
              </w:rPr>
            </w:pPr>
            <w:r>
              <w:rPr>
                <w:rFonts w:hint="eastAsia" w:hAnsi="宋体" w:cs="Courier New"/>
                <w:sz w:val="24"/>
                <w:szCs w:val="24"/>
              </w:rPr>
              <w:t>总价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1" w:type="dxa"/>
            <w:vAlign w:val="center"/>
          </w:tcPr>
          <w:p>
            <w:pPr>
              <w:pStyle w:val="20"/>
              <w:jc w:val="center"/>
              <w:rPr>
                <w:rFonts w:hAnsi="宋体" w:cs="Courier New"/>
                <w:sz w:val="24"/>
                <w:szCs w:val="24"/>
              </w:rPr>
            </w:pPr>
            <w:r>
              <w:rPr>
                <w:rFonts w:hint="eastAsia" w:hAnsi="宋体" w:cs="Courier New"/>
                <w:sz w:val="24"/>
                <w:szCs w:val="24"/>
              </w:rPr>
              <w:t>1.</w:t>
            </w:r>
          </w:p>
        </w:tc>
        <w:tc>
          <w:tcPr>
            <w:tcW w:w="3037" w:type="dxa"/>
            <w:vAlign w:val="center"/>
          </w:tcPr>
          <w:p>
            <w:pPr>
              <w:pStyle w:val="20"/>
              <w:rPr>
                <w:rFonts w:hAnsi="宋体" w:cs="Courier New"/>
                <w:sz w:val="24"/>
                <w:szCs w:val="24"/>
              </w:rPr>
            </w:pPr>
          </w:p>
        </w:tc>
        <w:tc>
          <w:tcPr>
            <w:tcW w:w="1596" w:type="dxa"/>
            <w:vAlign w:val="center"/>
          </w:tcPr>
          <w:p>
            <w:pPr>
              <w:pStyle w:val="20"/>
              <w:jc w:val="center"/>
              <w:rPr>
                <w:rFonts w:hAnsi="宋体" w:cs="Courier New"/>
                <w:sz w:val="24"/>
                <w:szCs w:val="24"/>
              </w:rPr>
            </w:pPr>
          </w:p>
        </w:tc>
        <w:tc>
          <w:tcPr>
            <w:tcW w:w="1449" w:type="dxa"/>
            <w:vAlign w:val="center"/>
          </w:tcPr>
          <w:p>
            <w:pPr>
              <w:pStyle w:val="20"/>
              <w:jc w:val="center"/>
              <w:rPr>
                <w:rFonts w:hAnsi="宋体" w:cs="Courier New"/>
                <w:sz w:val="24"/>
                <w:szCs w:val="24"/>
              </w:rPr>
            </w:pPr>
          </w:p>
        </w:tc>
        <w:tc>
          <w:tcPr>
            <w:tcW w:w="2556" w:type="dxa"/>
            <w:vAlign w:val="center"/>
          </w:tcPr>
          <w:p>
            <w:pPr>
              <w:pStyle w:val="20"/>
              <w:jc w:val="center"/>
              <w:rPr>
                <w:rFonts w:hAnsi="宋体" w:cs="Courier New"/>
                <w:sz w:val="24"/>
                <w:szCs w:val="24"/>
              </w:rPr>
            </w:pPr>
          </w:p>
        </w:tc>
        <w:tc>
          <w:tcPr>
            <w:tcW w:w="2169" w:type="dxa"/>
            <w:vAlign w:val="center"/>
          </w:tcPr>
          <w:p>
            <w:pPr>
              <w:pStyle w:val="20"/>
              <w:jc w:val="center"/>
              <w:rPr>
                <w:rFonts w:hAnsi="宋体" w:cs="Courier New"/>
                <w:sz w:val="24"/>
                <w:szCs w:val="24"/>
              </w:rPr>
            </w:pPr>
          </w:p>
        </w:tc>
        <w:tc>
          <w:tcPr>
            <w:tcW w:w="2415" w:type="dxa"/>
            <w:vAlign w:val="center"/>
          </w:tcPr>
          <w:p>
            <w:pPr>
              <w:pStyle w:val="20"/>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1" w:type="dxa"/>
            <w:vAlign w:val="center"/>
          </w:tcPr>
          <w:p>
            <w:pPr>
              <w:pStyle w:val="20"/>
              <w:jc w:val="center"/>
              <w:rPr>
                <w:rFonts w:hAnsi="宋体" w:cs="Courier New"/>
                <w:sz w:val="24"/>
                <w:szCs w:val="24"/>
              </w:rPr>
            </w:pPr>
            <w:r>
              <w:rPr>
                <w:rFonts w:hint="eastAsia" w:hAnsi="宋体" w:cs="Courier New"/>
                <w:sz w:val="24"/>
                <w:szCs w:val="24"/>
              </w:rPr>
              <w:t>2.</w:t>
            </w:r>
          </w:p>
        </w:tc>
        <w:tc>
          <w:tcPr>
            <w:tcW w:w="3037" w:type="dxa"/>
            <w:vAlign w:val="center"/>
          </w:tcPr>
          <w:p>
            <w:pPr>
              <w:pStyle w:val="20"/>
              <w:rPr>
                <w:rFonts w:hAnsi="宋体" w:cs="Courier New"/>
                <w:sz w:val="24"/>
                <w:szCs w:val="24"/>
              </w:rPr>
            </w:pPr>
          </w:p>
        </w:tc>
        <w:tc>
          <w:tcPr>
            <w:tcW w:w="1596" w:type="dxa"/>
            <w:vAlign w:val="center"/>
          </w:tcPr>
          <w:p>
            <w:pPr>
              <w:pStyle w:val="20"/>
              <w:jc w:val="center"/>
              <w:rPr>
                <w:rFonts w:hAnsi="宋体" w:cs="Courier New"/>
                <w:sz w:val="24"/>
                <w:szCs w:val="24"/>
              </w:rPr>
            </w:pPr>
          </w:p>
        </w:tc>
        <w:tc>
          <w:tcPr>
            <w:tcW w:w="1449" w:type="dxa"/>
            <w:vAlign w:val="center"/>
          </w:tcPr>
          <w:p>
            <w:pPr>
              <w:pStyle w:val="20"/>
              <w:jc w:val="center"/>
              <w:rPr>
                <w:rFonts w:hAnsi="宋体" w:cs="Courier New"/>
                <w:sz w:val="24"/>
                <w:szCs w:val="24"/>
              </w:rPr>
            </w:pPr>
          </w:p>
        </w:tc>
        <w:tc>
          <w:tcPr>
            <w:tcW w:w="2556" w:type="dxa"/>
            <w:vAlign w:val="center"/>
          </w:tcPr>
          <w:p>
            <w:pPr>
              <w:pStyle w:val="20"/>
              <w:jc w:val="center"/>
              <w:rPr>
                <w:rFonts w:hAnsi="宋体" w:cs="Courier New"/>
                <w:sz w:val="24"/>
                <w:szCs w:val="24"/>
              </w:rPr>
            </w:pPr>
          </w:p>
        </w:tc>
        <w:tc>
          <w:tcPr>
            <w:tcW w:w="2169" w:type="dxa"/>
            <w:vAlign w:val="center"/>
          </w:tcPr>
          <w:p>
            <w:pPr>
              <w:pStyle w:val="20"/>
              <w:jc w:val="center"/>
              <w:rPr>
                <w:rFonts w:hAnsi="宋体" w:cs="Courier New"/>
                <w:sz w:val="24"/>
                <w:szCs w:val="24"/>
              </w:rPr>
            </w:pPr>
          </w:p>
        </w:tc>
        <w:tc>
          <w:tcPr>
            <w:tcW w:w="2415" w:type="dxa"/>
            <w:vAlign w:val="center"/>
          </w:tcPr>
          <w:p>
            <w:pPr>
              <w:pStyle w:val="20"/>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1" w:type="dxa"/>
            <w:vAlign w:val="center"/>
          </w:tcPr>
          <w:p>
            <w:pPr>
              <w:pStyle w:val="20"/>
              <w:jc w:val="center"/>
              <w:rPr>
                <w:rFonts w:hAnsi="宋体" w:cs="Courier New"/>
                <w:sz w:val="24"/>
                <w:szCs w:val="24"/>
              </w:rPr>
            </w:pPr>
            <w:r>
              <w:rPr>
                <w:rFonts w:hint="eastAsia" w:hAnsi="宋体" w:cs="Courier New"/>
                <w:sz w:val="24"/>
                <w:szCs w:val="24"/>
              </w:rPr>
              <w:t>3.</w:t>
            </w:r>
          </w:p>
        </w:tc>
        <w:tc>
          <w:tcPr>
            <w:tcW w:w="3037" w:type="dxa"/>
            <w:vAlign w:val="center"/>
          </w:tcPr>
          <w:p>
            <w:pPr>
              <w:pStyle w:val="20"/>
              <w:rPr>
                <w:rFonts w:hAnsi="宋体" w:cs="Courier New"/>
                <w:sz w:val="24"/>
                <w:szCs w:val="24"/>
              </w:rPr>
            </w:pPr>
          </w:p>
        </w:tc>
        <w:tc>
          <w:tcPr>
            <w:tcW w:w="1596" w:type="dxa"/>
            <w:vAlign w:val="center"/>
          </w:tcPr>
          <w:p>
            <w:pPr>
              <w:pStyle w:val="20"/>
              <w:jc w:val="center"/>
              <w:rPr>
                <w:rFonts w:hAnsi="宋体" w:cs="Courier New"/>
                <w:sz w:val="24"/>
                <w:szCs w:val="24"/>
              </w:rPr>
            </w:pPr>
          </w:p>
        </w:tc>
        <w:tc>
          <w:tcPr>
            <w:tcW w:w="1449" w:type="dxa"/>
            <w:vAlign w:val="center"/>
          </w:tcPr>
          <w:p>
            <w:pPr>
              <w:pStyle w:val="20"/>
              <w:jc w:val="center"/>
              <w:rPr>
                <w:rFonts w:hAnsi="宋体" w:cs="Courier New"/>
                <w:sz w:val="24"/>
                <w:szCs w:val="24"/>
              </w:rPr>
            </w:pPr>
          </w:p>
        </w:tc>
        <w:tc>
          <w:tcPr>
            <w:tcW w:w="2556" w:type="dxa"/>
            <w:vAlign w:val="center"/>
          </w:tcPr>
          <w:p>
            <w:pPr>
              <w:pStyle w:val="20"/>
              <w:jc w:val="center"/>
              <w:rPr>
                <w:rFonts w:hAnsi="宋体" w:cs="Courier New"/>
                <w:sz w:val="24"/>
                <w:szCs w:val="24"/>
              </w:rPr>
            </w:pPr>
          </w:p>
        </w:tc>
        <w:tc>
          <w:tcPr>
            <w:tcW w:w="2169" w:type="dxa"/>
            <w:vAlign w:val="center"/>
          </w:tcPr>
          <w:p>
            <w:pPr>
              <w:pStyle w:val="20"/>
              <w:jc w:val="center"/>
              <w:rPr>
                <w:rFonts w:hAnsi="宋体" w:cs="Courier New"/>
                <w:sz w:val="24"/>
                <w:szCs w:val="24"/>
              </w:rPr>
            </w:pPr>
          </w:p>
        </w:tc>
        <w:tc>
          <w:tcPr>
            <w:tcW w:w="2415" w:type="dxa"/>
            <w:vAlign w:val="center"/>
          </w:tcPr>
          <w:p>
            <w:pPr>
              <w:pStyle w:val="20"/>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1" w:type="dxa"/>
            <w:vAlign w:val="center"/>
          </w:tcPr>
          <w:p>
            <w:pPr>
              <w:pStyle w:val="20"/>
              <w:jc w:val="center"/>
              <w:rPr>
                <w:rFonts w:hAnsi="宋体" w:cs="Courier New"/>
                <w:sz w:val="24"/>
                <w:szCs w:val="24"/>
              </w:rPr>
            </w:pPr>
            <w:r>
              <w:rPr>
                <w:rFonts w:hint="eastAsia" w:hAnsi="宋体" w:cs="Courier New"/>
                <w:sz w:val="24"/>
                <w:szCs w:val="24"/>
              </w:rPr>
              <w:t>4.</w:t>
            </w:r>
          </w:p>
        </w:tc>
        <w:tc>
          <w:tcPr>
            <w:tcW w:w="3037" w:type="dxa"/>
            <w:vAlign w:val="center"/>
          </w:tcPr>
          <w:p>
            <w:pPr>
              <w:pStyle w:val="20"/>
              <w:rPr>
                <w:rFonts w:hAnsi="宋体" w:cs="Courier New"/>
                <w:sz w:val="24"/>
                <w:szCs w:val="24"/>
              </w:rPr>
            </w:pPr>
          </w:p>
        </w:tc>
        <w:tc>
          <w:tcPr>
            <w:tcW w:w="1596" w:type="dxa"/>
            <w:vAlign w:val="center"/>
          </w:tcPr>
          <w:p>
            <w:pPr>
              <w:pStyle w:val="20"/>
              <w:jc w:val="center"/>
              <w:rPr>
                <w:rFonts w:hAnsi="宋体" w:cs="Courier New"/>
                <w:sz w:val="24"/>
                <w:szCs w:val="24"/>
              </w:rPr>
            </w:pPr>
          </w:p>
        </w:tc>
        <w:tc>
          <w:tcPr>
            <w:tcW w:w="1449" w:type="dxa"/>
            <w:vAlign w:val="center"/>
          </w:tcPr>
          <w:p>
            <w:pPr>
              <w:pStyle w:val="20"/>
              <w:jc w:val="center"/>
              <w:rPr>
                <w:rFonts w:hAnsi="宋体" w:cs="Courier New"/>
                <w:sz w:val="24"/>
                <w:szCs w:val="24"/>
              </w:rPr>
            </w:pPr>
          </w:p>
        </w:tc>
        <w:tc>
          <w:tcPr>
            <w:tcW w:w="2556" w:type="dxa"/>
            <w:vAlign w:val="center"/>
          </w:tcPr>
          <w:p>
            <w:pPr>
              <w:pStyle w:val="20"/>
              <w:jc w:val="center"/>
              <w:rPr>
                <w:rFonts w:hAnsi="宋体" w:cs="Courier New"/>
                <w:sz w:val="24"/>
                <w:szCs w:val="24"/>
              </w:rPr>
            </w:pPr>
          </w:p>
        </w:tc>
        <w:tc>
          <w:tcPr>
            <w:tcW w:w="2169" w:type="dxa"/>
            <w:vAlign w:val="center"/>
          </w:tcPr>
          <w:p>
            <w:pPr>
              <w:pStyle w:val="20"/>
              <w:jc w:val="center"/>
              <w:rPr>
                <w:rFonts w:hAnsi="宋体" w:cs="Courier New"/>
                <w:sz w:val="24"/>
                <w:szCs w:val="24"/>
              </w:rPr>
            </w:pPr>
          </w:p>
        </w:tc>
        <w:tc>
          <w:tcPr>
            <w:tcW w:w="2415" w:type="dxa"/>
            <w:vAlign w:val="center"/>
          </w:tcPr>
          <w:p>
            <w:pPr>
              <w:pStyle w:val="20"/>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1" w:type="dxa"/>
            <w:vAlign w:val="center"/>
          </w:tcPr>
          <w:p>
            <w:pPr>
              <w:pStyle w:val="20"/>
              <w:jc w:val="center"/>
              <w:rPr>
                <w:rFonts w:hAnsi="宋体" w:cs="Courier New"/>
                <w:sz w:val="24"/>
                <w:szCs w:val="24"/>
              </w:rPr>
            </w:pPr>
            <w:r>
              <w:rPr>
                <w:rFonts w:hint="eastAsia" w:hAnsi="宋体" w:cs="Courier New"/>
                <w:sz w:val="24"/>
                <w:szCs w:val="24"/>
              </w:rPr>
              <w:t>5.</w:t>
            </w:r>
          </w:p>
        </w:tc>
        <w:tc>
          <w:tcPr>
            <w:tcW w:w="3037" w:type="dxa"/>
            <w:vAlign w:val="center"/>
          </w:tcPr>
          <w:p>
            <w:pPr>
              <w:pStyle w:val="20"/>
              <w:rPr>
                <w:rFonts w:hAnsi="宋体" w:cs="Courier New"/>
                <w:sz w:val="24"/>
                <w:szCs w:val="24"/>
              </w:rPr>
            </w:pPr>
          </w:p>
        </w:tc>
        <w:tc>
          <w:tcPr>
            <w:tcW w:w="1596" w:type="dxa"/>
            <w:vAlign w:val="center"/>
          </w:tcPr>
          <w:p>
            <w:pPr>
              <w:pStyle w:val="20"/>
              <w:jc w:val="center"/>
              <w:rPr>
                <w:rFonts w:hAnsi="宋体" w:cs="Courier New"/>
                <w:sz w:val="24"/>
                <w:szCs w:val="24"/>
              </w:rPr>
            </w:pPr>
          </w:p>
        </w:tc>
        <w:tc>
          <w:tcPr>
            <w:tcW w:w="1449" w:type="dxa"/>
            <w:vAlign w:val="center"/>
          </w:tcPr>
          <w:p>
            <w:pPr>
              <w:pStyle w:val="20"/>
              <w:jc w:val="center"/>
              <w:rPr>
                <w:rFonts w:hAnsi="宋体" w:cs="Courier New"/>
                <w:sz w:val="24"/>
                <w:szCs w:val="24"/>
              </w:rPr>
            </w:pPr>
          </w:p>
        </w:tc>
        <w:tc>
          <w:tcPr>
            <w:tcW w:w="2556" w:type="dxa"/>
            <w:vAlign w:val="center"/>
          </w:tcPr>
          <w:p>
            <w:pPr>
              <w:pStyle w:val="20"/>
              <w:jc w:val="center"/>
              <w:rPr>
                <w:rFonts w:hAnsi="宋体" w:cs="Courier New"/>
                <w:sz w:val="24"/>
                <w:szCs w:val="24"/>
              </w:rPr>
            </w:pPr>
          </w:p>
        </w:tc>
        <w:tc>
          <w:tcPr>
            <w:tcW w:w="2169" w:type="dxa"/>
            <w:vAlign w:val="center"/>
          </w:tcPr>
          <w:p>
            <w:pPr>
              <w:pStyle w:val="20"/>
              <w:jc w:val="center"/>
              <w:rPr>
                <w:rFonts w:hAnsi="宋体" w:cs="Courier New"/>
                <w:sz w:val="24"/>
                <w:szCs w:val="24"/>
              </w:rPr>
            </w:pPr>
          </w:p>
        </w:tc>
        <w:tc>
          <w:tcPr>
            <w:tcW w:w="2415" w:type="dxa"/>
            <w:vAlign w:val="center"/>
          </w:tcPr>
          <w:p>
            <w:pPr>
              <w:pStyle w:val="20"/>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1" w:type="dxa"/>
            <w:vAlign w:val="center"/>
          </w:tcPr>
          <w:p>
            <w:pPr>
              <w:pStyle w:val="20"/>
              <w:jc w:val="center"/>
              <w:rPr>
                <w:rFonts w:hAnsi="宋体" w:cs="Courier New"/>
                <w:sz w:val="24"/>
                <w:szCs w:val="24"/>
              </w:rPr>
            </w:pPr>
            <w:r>
              <w:rPr>
                <w:rFonts w:hint="eastAsia" w:hAnsi="宋体" w:cs="Courier New"/>
                <w:sz w:val="24"/>
                <w:szCs w:val="24"/>
              </w:rPr>
              <w:t>6.</w:t>
            </w:r>
          </w:p>
        </w:tc>
        <w:tc>
          <w:tcPr>
            <w:tcW w:w="3037" w:type="dxa"/>
            <w:vAlign w:val="center"/>
          </w:tcPr>
          <w:p>
            <w:pPr>
              <w:pStyle w:val="20"/>
              <w:rPr>
                <w:rFonts w:hAnsi="宋体" w:cs="Courier New"/>
                <w:sz w:val="24"/>
                <w:szCs w:val="24"/>
              </w:rPr>
            </w:pPr>
          </w:p>
        </w:tc>
        <w:tc>
          <w:tcPr>
            <w:tcW w:w="1596" w:type="dxa"/>
            <w:vAlign w:val="center"/>
          </w:tcPr>
          <w:p>
            <w:pPr>
              <w:pStyle w:val="20"/>
              <w:jc w:val="center"/>
              <w:rPr>
                <w:rFonts w:hAnsi="宋体" w:cs="Courier New"/>
                <w:sz w:val="24"/>
                <w:szCs w:val="24"/>
              </w:rPr>
            </w:pPr>
          </w:p>
        </w:tc>
        <w:tc>
          <w:tcPr>
            <w:tcW w:w="1449" w:type="dxa"/>
            <w:vAlign w:val="center"/>
          </w:tcPr>
          <w:p>
            <w:pPr>
              <w:pStyle w:val="20"/>
              <w:jc w:val="center"/>
              <w:rPr>
                <w:rFonts w:hAnsi="宋体" w:cs="Courier New"/>
                <w:sz w:val="24"/>
                <w:szCs w:val="24"/>
              </w:rPr>
            </w:pPr>
          </w:p>
        </w:tc>
        <w:tc>
          <w:tcPr>
            <w:tcW w:w="2556" w:type="dxa"/>
            <w:vAlign w:val="center"/>
          </w:tcPr>
          <w:p>
            <w:pPr>
              <w:pStyle w:val="20"/>
              <w:jc w:val="center"/>
              <w:rPr>
                <w:rFonts w:hAnsi="宋体" w:cs="Courier New"/>
                <w:sz w:val="24"/>
                <w:szCs w:val="24"/>
              </w:rPr>
            </w:pPr>
          </w:p>
        </w:tc>
        <w:tc>
          <w:tcPr>
            <w:tcW w:w="2169" w:type="dxa"/>
            <w:vAlign w:val="center"/>
          </w:tcPr>
          <w:p>
            <w:pPr>
              <w:pStyle w:val="20"/>
              <w:jc w:val="center"/>
              <w:rPr>
                <w:rFonts w:hAnsi="宋体" w:cs="Courier New"/>
                <w:sz w:val="24"/>
                <w:szCs w:val="24"/>
              </w:rPr>
            </w:pPr>
          </w:p>
        </w:tc>
        <w:tc>
          <w:tcPr>
            <w:tcW w:w="2415" w:type="dxa"/>
            <w:vAlign w:val="center"/>
          </w:tcPr>
          <w:p>
            <w:pPr>
              <w:pStyle w:val="20"/>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1" w:type="dxa"/>
            <w:vAlign w:val="center"/>
          </w:tcPr>
          <w:p>
            <w:pPr>
              <w:pStyle w:val="20"/>
              <w:ind w:firstLine="120" w:firstLineChars="50"/>
              <w:rPr>
                <w:rFonts w:hAnsi="宋体" w:cs="Courier New"/>
                <w:sz w:val="24"/>
                <w:szCs w:val="24"/>
              </w:rPr>
            </w:pPr>
            <w:r>
              <w:rPr>
                <w:rFonts w:hAnsi="宋体" w:cs="Courier New"/>
                <w:sz w:val="24"/>
                <w:szCs w:val="24"/>
              </w:rPr>
              <w:t>…</w:t>
            </w:r>
          </w:p>
        </w:tc>
        <w:tc>
          <w:tcPr>
            <w:tcW w:w="3037" w:type="dxa"/>
            <w:vAlign w:val="center"/>
          </w:tcPr>
          <w:p>
            <w:pPr>
              <w:pStyle w:val="20"/>
              <w:rPr>
                <w:rFonts w:hAnsi="宋体" w:cs="Courier New"/>
                <w:sz w:val="24"/>
                <w:szCs w:val="24"/>
              </w:rPr>
            </w:pPr>
          </w:p>
        </w:tc>
        <w:tc>
          <w:tcPr>
            <w:tcW w:w="1596" w:type="dxa"/>
            <w:vAlign w:val="center"/>
          </w:tcPr>
          <w:p>
            <w:pPr>
              <w:pStyle w:val="20"/>
              <w:jc w:val="center"/>
              <w:rPr>
                <w:rFonts w:hAnsi="宋体" w:cs="Courier New"/>
                <w:sz w:val="24"/>
                <w:szCs w:val="24"/>
              </w:rPr>
            </w:pPr>
          </w:p>
        </w:tc>
        <w:tc>
          <w:tcPr>
            <w:tcW w:w="1449" w:type="dxa"/>
            <w:vAlign w:val="center"/>
          </w:tcPr>
          <w:p>
            <w:pPr>
              <w:pStyle w:val="20"/>
              <w:jc w:val="center"/>
              <w:rPr>
                <w:rFonts w:hAnsi="宋体" w:cs="Courier New"/>
                <w:sz w:val="24"/>
                <w:szCs w:val="24"/>
              </w:rPr>
            </w:pPr>
          </w:p>
        </w:tc>
        <w:tc>
          <w:tcPr>
            <w:tcW w:w="2556" w:type="dxa"/>
            <w:vAlign w:val="center"/>
          </w:tcPr>
          <w:p>
            <w:pPr>
              <w:pStyle w:val="20"/>
              <w:jc w:val="center"/>
              <w:rPr>
                <w:rFonts w:hAnsi="宋体" w:cs="Courier New"/>
                <w:sz w:val="24"/>
                <w:szCs w:val="24"/>
              </w:rPr>
            </w:pPr>
          </w:p>
        </w:tc>
        <w:tc>
          <w:tcPr>
            <w:tcW w:w="2169" w:type="dxa"/>
            <w:vAlign w:val="center"/>
          </w:tcPr>
          <w:p>
            <w:pPr>
              <w:pStyle w:val="20"/>
              <w:jc w:val="center"/>
              <w:rPr>
                <w:rFonts w:hAnsi="宋体" w:cs="Courier New"/>
                <w:sz w:val="24"/>
                <w:szCs w:val="24"/>
              </w:rPr>
            </w:pPr>
          </w:p>
        </w:tc>
        <w:tc>
          <w:tcPr>
            <w:tcW w:w="2415" w:type="dxa"/>
            <w:vAlign w:val="center"/>
          </w:tcPr>
          <w:p>
            <w:pPr>
              <w:pStyle w:val="20"/>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658" w:type="dxa"/>
            <w:gridSpan w:val="6"/>
            <w:tcBorders>
              <w:bottom w:val="single" w:color="auto" w:sz="12" w:space="0"/>
            </w:tcBorders>
            <w:vAlign w:val="center"/>
          </w:tcPr>
          <w:p>
            <w:pPr>
              <w:pStyle w:val="20"/>
              <w:spacing w:before="156"/>
              <w:jc w:val="right"/>
              <w:rPr>
                <w:rFonts w:hAnsi="宋体" w:cs="Courier New"/>
                <w:sz w:val="24"/>
                <w:szCs w:val="24"/>
              </w:rPr>
            </w:pPr>
            <w:r>
              <w:rPr>
                <w:rFonts w:hint="eastAsia" w:hAnsi="宋体" w:cs="Courier New"/>
                <w:sz w:val="24"/>
                <w:szCs w:val="24"/>
              </w:rPr>
              <w:t>总计</w:t>
            </w:r>
          </w:p>
        </w:tc>
        <w:tc>
          <w:tcPr>
            <w:tcW w:w="2415" w:type="dxa"/>
            <w:tcBorders>
              <w:bottom w:val="single" w:color="auto" w:sz="12" w:space="0"/>
            </w:tcBorders>
            <w:vAlign w:val="center"/>
          </w:tcPr>
          <w:p>
            <w:pPr>
              <w:pStyle w:val="20"/>
              <w:jc w:val="center"/>
              <w:rPr>
                <w:rFonts w:hAnsi="宋体" w:cs="Courier New"/>
                <w:sz w:val="24"/>
                <w:szCs w:val="24"/>
              </w:rPr>
            </w:pPr>
          </w:p>
        </w:tc>
      </w:tr>
    </w:tbl>
    <w:p>
      <w:pPr>
        <w:pStyle w:val="20"/>
        <w:ind w:left="840"/>
        <w:rPr>
          <w:rFonts w:hAnsi="宋体"/>
          <w:sz w:val="24"/>
          <w:szCs w:val="24"/>
        </w:rPr>
      </w:pPr>
    </w:p>
    <w:p>
      <w:pPr>
        <w:pStyle w:val="20"/>
        <w:tabs>
          <w:tab w:val="left" w:pos="5580"/>
        </w:tabs>
        <w:spacing w:before="120"/>
        <w:ind w:left="840"/>
        <w:rPr>
          <w:rFonts w:hAnsi="宋体"/>
          <w:sz w:val="24"/>
          <w:szCs w:val="24"/>
        </w:rPr>
      </w:pPr>
      <w:r>
        <w:rPr>
          <w:rFonts w:hint="eastAsia" w:hAnsi="宋体"/>
          <w:sz w:val="24"/>
          <w:szCs w:val="24"/>
        </w:rPr>
        <w:t>投标人名称（盖章）：</w:t>
      </w:r>
    </w:p>
    <w:p>
      <w:pPr>
        <w:pStyle w:val="20"/>
        <w:tabs>
          <w:tab w:val="left" w:pos="5580"/>
        </w:tabs>
        <w:spacing w:before="120"/>
        <w:ind w:left="840"/>
        <w:rPr>
          <w:rFonts w:hAnsi="宋体"/>
          <w:sz w:val="24"/>
          <w:szCs w:val="24"/>
        </w:rPr>
      </w:pPr>
    </w:p>
    <w:p>
      <w:pPr>
        <w:pStyle w:val="20"/>
        <w:tabs>
          <w:tab w:val="left" w:pos="5580"/>
        </w:tabs>
        <w:spacing w:before="120"/>
        <w:ind w:left="840"/>
        <w:rPr>
          <w:rFonts w:hAnsi="宋体"/>
          <w:sz w:val="24"/>
          <w:szCs w:val="24"/>
        </w:rPr>
      </w:pPr>
      <w:r>
        <w:rPr>
          <w:rFonts w:hint="eastAsia" w:hAnsi="宋体"/>
          <w:sz w:val="24"/>
          <w:szCs w:val="24"/>
        </w:rPr>
        <w:t>授权代表（签字）：</w:t>
      </w:r>
    </w:p>
    <w:p>
      <w:pPr>
        <w:pStyle w:val="20"/>
        <w:ind w:left="840"/>
        <w:rPr>
          <w:rFonts w:hAnsi="宋体"/>
          <w:sz w:val="24"/>
          <w:szCs w:val="24"/>
        </w:rPr>
      </w:pPr>
    </w:p>
    <w:p>
      <w:pPr>
        <w:pStyle w:val="20"/>
        <w:spacing w:line="360" w:lineRule="auto"/>
        <w:ind w:left="840"/>
        <w:rPr>
          <w:rFonts w:hAnsi="宋体"/>
          <w:sz w:val="24"/>
          <w:szCs w:val="24"/>
        </w:rPr>
      </w:pPr>
      <w:r>
        <w:rPr>
          <w:rFonts w:hint="eastAsia" w:hAnsi="宋体"/>
          <w:sz w:val="24"/>
          <w:szCs w:val="24"/>
        </w:rPr>
        <w:t>注:1.如果单价计算的结果与总价不一致，以单价金额计算结果为准。</w:t>
      </w:r>
    </w:p>
    <w:p>
      <w:pPr>
        <w:pStyle w:val="20"/>
        <w:spacing w:line="360" w:lineRule="auto"/>
        <w:ind w:left="840"/>
        <w:rPr>
          <w:rFonts w:hAnsi="宋体"/>
          <w:sz w:val="24"/>
          <w:szCs w:val="24"/>
        </w:rPr>
      </w:pPr>
      <w:r>
        <w:rPr>
          <w:rFonts w:hint="eastAsia" w:hAnsi="宋体"/>
          <w:sz w:val="24"/>
          <w:szCs w:val="24"/>
        </w:rPr>
        <w:t xml:space="preserve">   2.上述各项的详细分项报价，应另页描述。</w:t>
      </w:r>
    </w:p>
    <w:p>
      <w:pPr>
        <w:pStyle w:val="4"/>
        <w:spacing w:line="480" w:lineRule="auto"/>
        <w:ind w:left="899" w:hanging="899"/>
        <w:jc w:val="center"/>
        <w:rPr>
          <w:rFonts w:hint="default"/>
          <w:sz w:val="24"/>
          <w:szCs w:val="24"/>
        </w:rPr>
      </w:pPr>
      <w:bookmarkStart w:id="298" w:name="_Toc482026254"/>
      <w:bookmarkStart w:id="299" w:name="_Toc366858503"/>
      <w:bookmarkStart w:id="300" w:name="_Toc6665583"/>
      <w:bookmarkStart w:id="301" w:name="_Toc523911436"/>
      <w:r>
        <w:rPr>
          <w:sz w:val="24"/>
          <w:szCs w:val="24"/>
        </w:rPr>
        <w:t>4 货物说明一览表</w:t>
      </w:r>
      <w:bookmarkEnd w:id="298"/>
      <w:bookmarkEnd w:id="299"/>
      <w:bookmarkEnd w:id="300"/>
      <w:bookmarkEnd w:id="301"/>
    </w:p>
    <w:p>
      <w:pPr>
        <w:pStyle w:val="20"/>
        <w:spacing w:line="360" w:lineRule="auto"/>
        <w:ind w:left="840"/>
        <w:rPr>
          <w:rFonts w:hAnsi="宋体"/>
          <w:sz w:val="24"/>
          <w:szCs w:val="24"/>
        </w:rPr>
      </w:pPr>
    </w:p>
    <w:p>
      <w:pPr>
        <w:pStyle w:val="20"/>
        <w:spacing w:line="360" w:lineRule="auto"/>
        <w:ind w:left="840"/>
        <w:rPr>
          <w:rFonts w:hAnsi="宋体"/>
          <w:sz w:val="24"/>
          <w:szCs w:val="24"/>
          <w:u w:val="single"/>
          <w:lang w:val="en-US"/>
        </w:rPr>
      </w:pPr>
      <w:r>
        <w:rPr>
          <w:rFonts w:hint="eastAsia" w:hAnsi="宋体"/>
          <w:sz w:val="24"/>
          <w:szCs w:val="24"/>
        </w:rPr>
        <w:t xml:space="preserve">投标人名称：______________                  项目代理编号：______________ </w:t>
      </w:r>
      <w:r>
        <w:rPr>
          <w:rFonts w:hint="eastAsia" w:hAnsi="宋体"/>
          <w:sz w:val="24"/>
          <w:szCs w:val="24"/>
          <w:lang w:val="en-US"/>
        </w:rPr>
        <w:t xml:space="preserve">    </w:t>
      </w:r>
    </w:p>
    <w:tbl>
      <w:tblPr>
        <w:tblStyle w:val="47"/>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2225"/>
        <w:gridCol w:w="2023"/>
        <w:gridCol w:w="1821"/>
        <w:gridCol w:w="2226"/>
        <w:gridCol w:w="2427"/>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9" w:type="dxa"/>
          </w:tcPr>
          <w:p>
            <w:pPr>
              <w:rPr>
                <w:rFonts w:ascii="宋体" w:hAnsi="宋体"/>
                <w:sz w:val="24"/>
                <w:szCs w:val="20"/>
              </w:rPr>
            </w:pPr>
            <w:r>
              <w:rPr>
                <w:rFonts w:hint="eastAsia" w:ascii="宋体" w:hAnsi="宋体"/>
                <w:sz w:val="24"/>
                <w:szCs w:val="20"/>
              </w:rPr>
              <w:t>序号</w:t>
            </w:r>
          </w:p>
        </w:tc>
        <w:tc>
          <w:tcPr>
            <w:tcW w:w="2225" w:type="dxa"/>
          </w:tcPr>
          <w:p>
            <w:pPr>
              <w:rPr>
                <w:rFonts w:ascii="宋体" w:hAnsi="宋体"/>
                <w:sz w:val="24"/>
                <w:szCs w:val="20"/>
              </w:rPr>
            </w:pPr>
            <w:r>
              <w:rPr>
                <w:rFonts w:hint="eastAsia" w:ascii="宋体" w:hAnsi="宋体"/>
                <w:sz w:val="24"/>
                <w:szCs w:val="20"/>
              </w:rPr>
              <w:t>货物名称</w:t>
            </w:r>
          </w:p>
        </w:tc>
        <w:tc>
          <w:tcPr>
            <w:tcW w:w="2023" w:type="dxa"/>
          </w:tcPr>
          <w:p>
            <w:pPr>
              <w:rPr>
                <w:rFonts w:ascii="宋体" w:hAnsi="宋体"/>
                <w:sz w:val="24"/>
                <w:szCs w:val="20"/>
              </w:rPr>
            </w:pPr>
            <w:r>
              <w:rPr>
                <w:rFonts w:hint="eastAsia" w:ascii="宋体" w:hAnsi="宋体"/>
                <w:sz w:val="24"/>
                <w:szCs w:val="20"/>
              </w:rPr>
              <w:t>主要规格</w:t>
            </w:r>
          </w:p>
        </w:tc>
        <w:tc>
          <w:tcPr>
            <w:tcW w:w="1821" w:type="dxa"/>
          </w:tcPr>
          <w:p>
            <w:pPr>
              <w:rPr>
                <w:rFonts w:ascii="宋体" w:hAnsi="宋体"/>
                <w:sz w:val="24"/>
                <w:szCs w:val="20"/>
              </w:rPr>
            </w:pPr>
            <w:r>
              <w:rPr>
                <w:rFonts w:hint="eastAsia" w:ascii="宋体" w:hAnsi="宋体"/>
                <w:sz w:val="24"/>
                <w:szCs w:val="20"/>
              </w:rPr>
              <w:t>数量</w:t>
            </w:r>
          </w:p>
        </w:tc>
        <w:tc>
          <w:tcPr>
            <w:tcW w:w="2226" w:type="dxa"/>
          </w:tcPr>
          <w:p>
            <w:pPr>
              <w:rPr>
                <w:rFonts w:ascii="宋体" w:hAnsi="宋体"/>
                <w:sz w:val="24"/>
                <w:szCs w:val="20"/>
              </w:rPr>
            </w:pPr>
            <w:r>
              <w:rPr>
                <w:rFonts w:hint="eastAsia" w:ascii="宋体" w:hAnsi="宋体"/>
                <w:sz w:val="24"/>
                <w:szCs w:val="20"/>
              </w:rPr>
              <w:t>交货期</w:t>
            </w:r>
          </w:p>
        </w:tc>
        <w:tc>
          <w:tcPr>
            <w:tcW w:w="2427" w:type="dxa"/>
          </w:tcPr>
          <w:p>
            <w:pPr>
              <w:rPr>
                <w:rFonts w:ascii="宋体" w:hAnsi="宋体"/>
                <w:sz w:val="24"/>
                <w:szCs w:val="20"/>
              </w:rPr>
            </w:pPr>
            <w:r>
              <w:rPr>
                <w:rFonts w:hint="eastAsia" w:ascii="宋体" w:hAnsi="宋体"/>
                <w:sz w:val="24"/>
                <w:szCs w:val="20"/>
              </w:rPr>
              <w:t>交货地点</w:t>
            </w:r>
          </w:p>
        </w:tc>
        <w:tc>
          <w:tcPr>
            <w:tcW w:w="2226" w:type="dxa"/>
          </w:tcPr>
          <w:p>
            <w:pPr>
              <w:rPr>
                <w:rFonts w:ascii="宋体" w:hAnsi="宋体"/>
                <w:sz w:val="24"/>
                <w:szCs w:val="20"/>
              </w:rPr>
            </w:pPr>
            <w:r>
              <w:rPr>
                <w:rFonts w:hint="eastAsia" w:ascii="宋体" w:hAnsi="宋体"/>
                <w:sz w:val="24"/>
                <w:szCs w:val="20"/>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9" w:type="dxa"/>
          </w:tcPr>
          <w:p>
            <w:pPr>
              <w:rPr>
                <w:rFonts w:ascii="宋体" w:hAnsi="宋体"/>
                <w:sz w:val="24"/>
                <w:szCs w:val="20"/>
              </w:rPr>
            </w:pPr>
          </w:p>
        </w:tc>
        <w:tc>
          <w:tcPr>
            <w:tcW w:w="2225" w:type="dxa"/>
          </w:tcPr>
          <w:p>
            <w:pPr>
              <w:rPr>
                <w:rFonts w:ascii="宋体" w:hAnsi="宋体"/>
                <w:sz w:val="24"/>
                <w:szCs w:val="20"/>
              </w:rPr>
            </w:pPr>
          </w:p>
        </w:tc>
        <w:tc>
          <w:tcPr>
            <w:tcW w:w="2023" w:type="dxa"/>
          </w:tcPr>
          <w:p>
            <w:pPr>
              <w:rPr>
                <w:rFonts w:ascii="宋体" w:hAnsi="宋体"/>
                <w:sz w:val="24"/>
                <w:szCs w:val="20"/>
              </w:rPr>
            </w:pPr>
          </w:p>
        </w:tc>
        <w:tc>
          <w:tcPr>
            <w:tcW w:w="1821" w:type="dxa"/>
          </w:tcPr>
          <w:p>
            <w:pPr>
              <w:rPr>
                <w:rFonts w:ascii="宋体" w:hAnsi="宋体"/>
                <w:sz w:val="24"/>
                <w:szCs w:val="20"/>
              </w:rPr>
            </w:pPr>
          </w:p>
        </w:tc>
        <w:tc>
          <w:tcPr>
            <w:tcW w:w="2226" w:type="dxa"/>
          </w:tcPr>
          <w:p>
            <w:pPr>
              <w:rPr>
                <w:rFonts w:ascii="宋体" w:hAnsi="宋体"/>
                <w:sz w:val="24"/>
                <w:szCs w:val="20"/>
              </w:rPr>
            </w:pPr>
          </w:p>
        </w:tc>
        <w:tc>
          <w:tcPr>
            <w:tcW w:w="2427" w:type="dxa"/>
          </w:tcPr>
          <w:p>
            <w:pPr>
              <w:rPr>
                <w:rFonts w:ascii="宋体" w:hAnsi="宋体"/>
                <w:sz w:val="24"/>
                <w:szCs w:val="20"/>
              </w:rPr>
            </w:pPr>
          </w:p>
        </w:tc>
        <w:tc>
          <w:tcPr>
            <w:tcW w:w="2226" w:type="dxa"/>
          </w:tcPr>
          <w:p>
            <w:pP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9" w:type="dxa"/>
          </w:tcPr>
          <w:p>
            <w:pPr>
              <w:rPr>
                <w:rFonts w:ascii="宋体" w:hAnsi="宋体"/>
                <w:sz w:val="24"/>
                <w:szCs w:val="20"/>
              </w:rPr>
            </w:pPr>
          </w:p>
        </w:tc>
        <w:tc>
          <w:tcPr>
            <w:tcW w:w="2225" w:type="dxa"/>
          </w:tcPr>
          <w:p>
            <w:pPr>
              <w:rPr>
                <w:rFonts w:ascii="宋体" w:hAnsi="宋体"/>
                <w:sz w:val="24"/>
                <w:szCs w:val="20"/>
              </w:rPr>
            </w:pPr>
          </w:p>
        </w:tc>
        <w:tc>
          <w:tcPr>
            <w:tcW w:w="2023" w:type="dxa"/>
          </w:tcPr>
          <w:p>
            <w:pPr>
              <w:rPr>
                <w:rFonts w:ascii="宋体" w:hAnsi="宋体"/>
                <w:sz w:val="24"/>
                <w:szCs w:val="20"/>
              </w:rPr>
            </w:pPr>
          </w:p>
        </w:tc>
        <w:tc>
          <w:tcPr>
            <w:tcW w:w="1821" w:type="dxa"/>
          </w:tcPr>
          <w:p>
            <w:pPr>
              <w:rPr>
                <w:rFonts w:ascii="宋体" w:hAnsi="宋体"/>
                <w:sz w:val="24"/>
                <w:szCs w:val="20"/>
              </w:rPr>
            </w:pPr>
          </w:p>
        </w:tc>
        <w:tc>
          <w:tcPr>
            <w:tcW w:w="2226" w:type="dxa"/>
          </w:tcPr>
          <w:p>
            <w:pPr>
              <w:rPr>
                <w:rFonts w:ascii="宋体" w:hAnsi="宋体"/>
                <w:sz w:val="24"/>
                <w:szCs w:val="20"/>
              </w:rPr>
            </w:pPr>
          </w:p>
        </w:tc>
        <w:tc>
          <w:tcPr>
            <w:tcW w:w="2427" w:type="dxa"/>
          </w:tcPr>
          <w:p>
            <w:pPr>
              <w:rPr>
                <w:rFonts w:ascii="宋体" w:hAnsi="宋体"/>
                <w:sz w:val="24"/>
                <w:szCs w:val="20"/>
              </w:rPr>
            </w:pPr>
          </w:p>
        </w:tc>
        <w:tc>
          <w:tcPr>
            <w:tcW w:w="2226" w:type="dxa"/>
          </w:tcPr>
          <w:p>
            <w:pP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9" w:type="dxa"/>
          </w:tcPr>
          <w:p>
            <w:pPr>
              <w:rPr>
                <w:rFonts w:ascii="宋体" w:hAnsi="宋体"/>
                <w:sz w:val="24"/>
                <w:szCs w:val="20"/>
              </w:rPr>
            </w:pPr>
          </w:p>
        </w:tc>
        <w:tc>
          <w:tcPr>
            <w:tcW w:w="2225" w:type="dxa"/>
          </w:tcPr>
          <w:p>
            <w:pPr>
              <w:rPr>
                <w:rFonts w:ascii="宋体" w:hAnsi="宋体"/>
                <w:sz w:val="24"/>
                <w:szCs w:val="20"/>
              </w:rPr>
            </w:pPr>
          </w:p>
        </w:tc>
        <w:tc>
          <w:tcPr>
            <w:tcW w:w="2023" w:type="dxa"/>
          </w:tcPr>
          <w:p>
            <w:pPr>
              <w:rPr>
                <w:rFonts w:ascii="宋体" w:hAnsi="宋体"/>
                <w:sz w:val="24"/>
                <w:szCs w:val="20"/>
              </w:rPr>
            </w:pPr>
          </w:p>
        </w:tc>
        <w:tc>
          <w:tcPr>
            <w:tcW w:w="1821" w:type="dxa"/>
          </w:tcPr>
          <w:p>
            <w:pPr>
              <w:rPr>
                <w:rFonts w:ascii="宋体" w:hAnsi="宋体"/>
                <w:sz w:val="24"/>
                <w:szCs w:val="20"/>
              </w:rPr>
            </w:pPr>
          </w:p>
        </w:tc>
        <w:tc>
          <w:tcPr>
            <w:tcW w:w="2226" w:type="dxa"/>
          </w:tcPr>
          <w:p>
            <w:pPr>
              <w:rPr>
                <w:rFonts w:ascii="宋体" w:hAnsi="宋体"/>
                <w:sz w:val="24"/>
                <w:szCs w:val="20"/>
              </w:rPr>
            </w:pPr>
          </w:p>
        </w:tc>
        <w:tc>
          <w:tcPr>
            <w:tcW w:w="2427" w:type="dxa"/>
          </w:tcPr>
          <w:p>
            <w:pPr>
              <w:rPr>
                <w:rFonts w:ascii="宋体" w:hAnsi="宋体"/>
                <w:sz w:val="24"/>
                <w:szCs w:val="20"/>
              </w:rPr>
            </w:pPr>
          </w:p>
        </w:tc>
        <w:tc>
          <w:tcPr>
            <w:tcW w:w="2226" w:type="dxa"/>
          </w:tcPr>
          <w:p>
            <w:pP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9" w:type="dxa"/>
          </w:tcPr>
          <w:p>
            <w:pPr>
              <w:rPr>
                <w:rFonts w:ascii="宋体" w:hAnsi="宋体"/>
                <w:sz w:val="24"/>
                <w:szCs w:val="20"/>
              </w:rPr>
            </w:pPr>
          </w:p>
        </w:tc>
        <w:tc>
          <w:tcPr>
            <w:tcW w:w="2225" w:type="dxa"/>
          </w:tcPr>
          <w:p>
            <w:pPr>
              <w:rPr>
                <w:rFonts w:ascii="宋体" w:hAnsi="宋体"/>
                <w:sz w:val="24"/>
                <w:szCs w:val="20"/>
              </w:rPr>
            </w:pPr>
          </w:p>
        </w:tc>
        <w:tc>
          <w:tcPr>
            <w:tcW w:w="2023" w:type="dxa"/>
          </w:tcPr>
          <w:p>
            <w:pPr>
              <w:rPr>
                <w:rFonts w:ascii="宋体" w:hAnsi="宋体"/>
                <w:sz w:val="24"/>
                <w:szCs w:val="20"/>
              </w:rPr>
            </w:pPr>
          </w:p>
        </w:tc>
        <w:tc>
          <w:tcPr>
            <w:tcW w:w="1821" w:type="dxa"/>
          </w:tcPr>
          <w:p>
            <w:pPr>
              <w:rPr>
                <w:rFonts w:ascii="宋体" w:hAnsi="宋体"/>
                <w:sz w:val="24"/>
                <w:szCs w:val="20"/>
              </w:rPr>
            </w:pPr>
          </w:p>
        </w:tc>
        <w:tc>
          <w:tcPr>
            <w:tcW w:w="2226" w:type="dxa"/>
          </w:tcPr>
          <w:p>
            <w:pPr>
              <w:rPr>
                <w:rFonts w:ascii="宋体" w:hAnsi="宋体"/>
                <w:sz w:val="24"/>
                <w:szCs w:val="20"/>
              </w:rPr>
            </w:pPr>
          </w:p>
        </w:tc>
        <w:tc>
          <w:tcPr>
            <w:tcW w:w="2427" w:type="dxa"/>
          </w:tcPr>
          <w:p>
            <w:pPr>
              <w:rPr>
                <w:rFonts w:ascii="宋体" w:hAnsi="宋体"/>
                <w:sz w:val="24"/>
                <w:szCs w:val="20"/>
              </w:rPr>
            </w:pPr>
          </w:p>
        </w:tc>
        <w:tc>
          <w:tcPr>
            <w:tcW w:w="2226" w:type="dxa"/>
          </w:tcPr>
          <w:p>
            <w:pP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9" w:type="dxa"/>
          </w:tcPr>
          <w:p>
            <w:pPr>
              <w:rPr>
                <w:rFonts w:ascii="宋体" w:hAnsi="宋体"/>
                <w:sz w:val="24"/>
                <w:szCs w:val="20"/>
              </w:rPr>
            </w:pPr>
          </w:p>
        </w:tc>
        <w:tc>
          <w:tcPr>
            <w:tcW w:w="2225" w:type="dxa"/>
          </w:tcPr>
          <w:p>
            <w:pPr>
              <w:rPr>
                <w:rFonts w:ascii="宋体" w:hAnsi="宋体"/>
                <w:sz w:val="24"/>
                <w:szCs w:val="20"/>
              </w:rPr>
            </w:pPr>
          </w:p>
        </w:tc>
        <w:tc>
          <w:tcPr>
            <w:tcW w:w="2023" w:type="dxa"/>
          </w:tcPr>
          <w:p>
            <w:pPr>
              <w:rPr>
                <w:rFonts w:ascii="宋体" w:hAnsi="宋体"/>
                <w:sz w:val="24"/>
                <w:szCs w:val="20"/>
              </w:rPr>
            </w:pPr>
          </w:p>
        </w:tc>
        <w:tc>
          <w:tcPr>
            <w:tcW w:w="1821" w:type="dxa"/>
          </w:tcPr>
          <w:p>
            <w:pPr>
              <w:rPr>
                <w:rFonts w:ascii="宋体" w:hAnsi="宋体"/>
                <w:sz w:val="24"/>
                <w:szCs w:val="20"/>
              </w:rPr>
            </w:pPr>
          </w:p>
        </w:tc>
        <w:tc>
          <w:tcPr>
            <w:tcW w:w="2226" w:type="dxa"/>
          </w:tcPr>
          <w:p>
            <w:pPr>
              <w:rPr>
                <w:rFonts w:ascii="宋体" w:hAnsi="宋体"/>
                <w:sz w:val="24"/>
                <w:szCs w:val="20"/>
              </w:rPr>
            </w:pPr>
          </w:p>
        </w:tc>
        <w:tc>
          <w:tcPr>
            <w:tcW w:w="2427" w:type="dxa"/>
          </w:tcPr>
          <w:p>
            <w:pPr>
              <w:rPr>
                <w:rFonts w:ascii="宋体" w:hAnsi="宋体"/>
                <w:sz w:val="24"/>
                <w:szCs w:val="20"/>
              </w:rPr>
            </w:pPr>
          </w:p>
        </w:tc>
        <w:tc>
          <w:tcPr>
            <w:tcW w:w="2226" w:type="dxa"/>
          </w:tcPr>
          <w:p>
            <w:pP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9" w:type="dxa"/>
          </w:tcPr>
          <w:p>
            <w:pPr>
              <w:rPr>
                <w:rFonts w:ascii="宋体" w:hAnsi="宋体"/>
                <w:sz w:val="24"/>
                <w:szCs w:val="20"/>
              </w:rPr>
            </w:pPr>
          </w:p>
        </w:tc>
        <w:tc>
          <w:tcPr>
            <w:tcW w:w="2225" w:type="dxa"/>
          </w:tcPr>
          <w:p>
            <w:pPr>
              <w:rPr>
                <w:rFonts w:ascii="宋体" w:hAnsi="宋体"/>
                <w:sz w:val="24"/>
                <w:szCs w:val="20"/>
              </w:rPr>
            </w:pPr>
          </w:p>
        </w:tc>
        <w:tc>
          <w:tcPr>
            <w:tcW w:w="2023" w:type="dxa"/>
          </w:tcPr>
          <w:p>
            <w:pPr>
              <w:rPr>
                <w:rFonts w:ascii="宋体" w:hAnsi="宋体"/>
                <w:sz w:val="24"/>
                <w:szCs w:val="20"/>
              </w:rPr>
            </w:pPr>
          </w:p>
        </w:tc>
        <w:tc>
          <w:tcPr>
            <w:tcW w:w="1821" w:type="dxa"/>
          </w:tcPr>
          <w:p>
            <w:pPr>
              <w:rPr>
                <w:rFonts w:ascii="宋体" w:hAnsi="宋体"/>
                <w:sz w:val="24"/>
                <w:szCs w:val="20"/>
              </w:rPr>
            </w:pPr>
          </w:p>
        </w:tc>
        <w:tc>
          <w:tcPr>
            <w:tcW w:w="2226" w:type="dxa"/>
          </w:tcPr>
          <w:p>
            <w:pPr>
              <w:rPr>
                <w:rFonts w:ascii="宋体" w:hAnsi="宋体"/>
                <w:sz w:val="24"/>
                <w:szCs w:val="20"/>
              </w:rPr>
            </w:pPr>
          </w:p>
        </w:tc>
        <w:tc>
          <w:tcPr>
            <w:tcW w:w="2427" w:type="dxa"/>
          </w:tcPr>
          <w:p>
            <w:pPr>
              <w:rPr>
                <w:rFonts w:ascii="宋体" w:hAnsi="宋体"/>
                <w:sz w:val="24"/>
                <w:szCs w:val="20"/>
              </w:rPr>
            </w:pPr>
          </w:p>
        </w:tc>
        <w:tc>
          <w:tcPr>
            <w:tcW w:w="2226" w:type="dxa"/>
          </w:tcPr>
          <w:p>
            <w:pP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9" w:type="dxa"/>
          </w:tcPr>
          <w:p>
            <w:pPr>
              <w:rPr>
                <w:rFonts w:ascii="宋体" w:hAnsi="宋体"/>
                <w:sz w:val="24"/>
                <w:szCs w:val="20"/>
              </w:rPr>
            </w:pPr>
          </w:p>
        </w:tc>
        <w:tc>
          <w:tcPr>
            <w:tcW w:w="2225" w:type="dxa"/>
          </w:tcPr>
          <w:p>
            <w:pPr>
              <w:rPr>
                <w:rFonts w:ascii="宋体" w:hAnsi="宋体"/>
                <w:sz w:val="24"/>
                <w:szCs w:val="20"/>
              </w:rPr>
            </w:pPr>
          </w:p>
        </w:tc>
        <w:tc>
          <w:tcPr>
            <w:tcW w:w="2023" w:type="dxa"/>
          </w:tcPr>
          <w:p>
            <w:pPr>
              <w:rPr>
                <w:rFonts w:ascii="宋体" w:hAnsi="宋体"/>
                <w:sz w:val="24"/>
                <w:szCs w:val="20"/>
              </w:rPr>
            </w:pPr>
          </w:p>
        </w:tc>
        <w:tc>
          <w:tcPr>
            <w:tcW w:w="1821" w:type="dxa"/>
          </w:tcPr>
          <w:p>
            <w:pPr>
              <w:rPr>
                <w:rFonts w:ascii="宋体" w:hAnsi="宋体"/>
                <w:sz w:val="24"/>
                <w:szCs w:val="20"/>
              </w:rPr>
            </w:pPr>
          </w:p>
        </w:tc>
        <w:tc>
          <w:tcPr>
            <w:tcW w:w="2226" w:type="dxa"/>
          </w:tcPr>
          <w:p>
            <w:pPr>
              <w:rPr>
                <w:rFonts w:ascii="宋体" w:hAnsi="宋体"/>
                <w:sz w:val="24"/>
                <w:szCs w:val="20"/>
              </w:rPr>
            </w:pPr>
          </w:p>
        </w:tc>
        <w:tc>
          <w:tcPr>
            <w:tcW w:w="2427" w:type="dxa"/>
          </w:tcPr>
          <w:p>
            <w:pPr>
              <w:rPr>
                <w:rFonts w:ascii="宋体" w:hAnsi="宋体"/>
                <w:sz w:val="24"/>
                <w:szCs w:val="20"/>
              </w:rPr>
            </w:pPr>
          </w:p>
        </w:tc>
        <w:tc>
          <w:tcPr>
            <w:tcW w:w="2226" w:type="dxa"/>
          </w:tcPr>
          <w:p>
            <w:pP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9" w:type="dxa"/>
          </w:tcPr>
          <w:p>
            <w:pPr>
              <w:rPr>
                <w:rFonts w:ascii="宋体" w:hAnsi="宋体"/>
                <w:sz w:val="24"/>
                <w:szCs w:val="20"/>
              </w:rPr>
            </w:pPr>
          </w:p>
        </w:tc>
        <w:tc>
          <w:tcPr>
            <w:tcW w:w="2225" w:type="dxa"/>
          </w:tcPr>
          <w:p>
            <w:pPr>
              <w:rPr>
                <w:rFonts w:ascii="宋体" w:hAnsi="宋体"/>
                <w:sz w:val="24"/>
                <w:szCs w:val="20"/>
              </w:rPr>
            </w:pPr>
          </w:p>
        </w:tc>
        <w:tc>
          <w:tcPr>
            <w:tcW w:w="2023" w:type="dxa"/>
          </w:tcPr>
          <w:p>
            <w:pPr>
              <w:rPr>
                <w:rFonts w:ascii="宋体" w:hAnsi="宋体"/>
                <w:sz w:val="24"/>
                <w:szCs w:val="20"/>
              </w:rPr>
            </w:pPr>
          </w:p>
        </w:tc>
        <w:tc>
          <w:tcPr>
            <w:tcW w:w="1821" w:type="dxa"/>
          </w:tcPr>
          <w:p>
            <w:pPr>
              <w:rPr>
                <w:rFonts w:ascii="宋体" w:hAnsi="宋体"/>
                <w:sz w:val="24"/>
                <w:szCs w:val="20"/>
              </w:rPr>
            </w:pPr>
          </w:p>
        </w:tc>
        <w:tc>
          <w:tcPr>
            <w:tcW w:w="2226" w:type="dxa"/>
          </w:tcPr>
          <w:p>
            <w:pPr>
              <w:rPr>
                <w:rFonts w:ascii="宋体" w:hAnsi="宋体"/>
                <w:sz w:val="24"/>
                <w:szCs w:val="20"/>
              </w:rPr>
            </w:pPr>
          </w:p>
        </w:tc>
        <w:tc>
          <w:tcPr>
            <w:tcW w:w="2427" w:type="dxa"/>
          </w:tcPr>
          <w:p>
            <w:pPr>
              <w:rPr>
                <w:rFonts w:ascii="宋体" w:hAnsi="宋体"/>
                <w:sz w:val="24"/>
                <w:szCs w:val="20"/>
              </w:rPr>
            </w:pPr>
          </w:p>
        </w:tc>
        <w:tc>
          <w:tcPr>
            <w:tcW w:w="2226" w:type="dxa"/>
          </w:tcPr>
          <w:p>
            <w:pPr>
              <w:rPr>
                <w:rFonts w:ascii="宋体" w:hAnsi="宋体"/>
                <w:sz w:val="24"/>
                <w:szCs w:val="20"/>
              </w:rPr>
            </w:pPr>
          </w:p>
        </w:tc>
      </w:tr>
    </w:tbl>
    <w:p>
      <w:pPr>
        <w:pStyle w:val="20"/>
        <w:tabs>
          <w:tab w:val="left" w:pos="5580"/>
        </w:tabs>
        <w:spacing w:before="120"/>
        <w:ind w:left="840"/>
        <w:rPr>
          <w:rFonts w:hAnsi="宋体"/>
          <w:sz w:val="24"/>
          <w:szCs w:val="24"/>
        </w:rPr>
      </w:pPr>
    </w:p>
    <w:p>
      <w:pPr>
        <w:pStyle w:val="20"/>
        <w:tabs>
          <w:tab w:val="left" w:pos="5580"/>
        </w:tabs>
        <w:spacing w:before="120"/>
        <w:ind w:left="840"/>
        <w:rPr>
          <w:rFonts w:hAnsi="宋体"/>
          <w:sz w:val="24"/>
          <w:szCs w:val="24"/>
        </w:rPr>
      </w:pPr>
      <w:r>
        <w:rPr>
          <w:rFonts w:hint="eastAsia" w:hAnsi="宋体"/>
          <w:sz w:val="24"/>
          <w:szCs w:val="24"/>
        </w:rPr>
        <w:t>投标人名称（盖章）：</w:t>
      </w:r>
    </w:p>
    <w:p>
      <w:pPr>
        <w:pStyle w:val="20"/>
        <w:tabs>
          <w:tab w:val="left" w:pos="5580"/>
        </w:tabs>
        <w:spacing w:before="120"/>
        <w:ind w:left="840"/>
        <w:rPr>
          <w:rFonts w:hAnsi="宋体"/>
          <w:sz w:val="24"/>
          <w:szCs w:val="24"/>
        </w:rPr>
      </w:pPr>
      <w:r>
        <w:rPr>
          <w:rFonts w:hint="eastAsia" w:hAnsi="宋体"/>
          <w:sz w:val="24"/>
          <w:szCs w:val="24"/>
        </w:rPr>
        <w:t>授权代表（签字）：</w:t>
      </w:r>
    </w:p>
    <w:p>
      <w:pPr>
        <w:pStyle w:val="20"/>
        <w:spacing w:line="360" w:lineRule="auto"/>
        <w:ind w:left="840"/>
        <w:rPr>
          <w:rFonts w:hAnsi="宋体"/>
          <w:sz w:val="24"/>
          <w:szCs w:val="24"/>
        </w:rPr>
      </w:pPr>
    </w:p>
    <w:p>
      <w:pPr>
        <w:pStyle w:val="20"/>
        <w:spacing w:line="360" w:lineRule="auto"/>
        <w:ind w:left="840"/>
        <w:rPr>
          <w:rFonts w:hAnsi="宋体"/>
          <w:sz w:val="24"/>
          <w:szCs w:val="24"/>
        </w:rPr>
        <w:sectPr>
          <w:footerReference r:id="rId19" w:type="default"/>
          <w:pgSz w:w="16840" w:h="11907" w:orient="landscape"/>
          <w:pgMar w:top="1418" w:right="1400" w:bottom="1418" w:left="1089" w:header="851" w:footer="992" w:gutter="0"/>
          <w:cols w:space="720" w:num="1"/>
          <w:docGrid w:linePitch="312" w:charSpace="0"/>
        </w:sectPr>
      </w:pPr>
      <w:r>
        <w:rPr>
          <w:rFonts w:hint="eastAsia" w:hAnsi="宋体"/>
          <w:sz w:val="24"/>
          <w:szCs w:val="24"/>
        </w:rPr>
        <w:t>注：各项货物详细技术性能可另页描述。</w:t>
      </w:r>
    </w:p>
    <w:bookmarkEnd w:id="296"/>
    <w:bookmarkEnd w:id="297"/>
    <w:p>
      <w:pPr>
        <w:pStyle w:val="4"/>
        <w:tabs>
          <w:tab w:val="left" w:pos="900"/>
        </w:tabs>
        <w:spacing w:line="360" w:lineRule="auto"/>
        <w:jc w:val="center"/>
        <w:rPr>
          <w:rFonts w:hint="default"/>
          <w:sz w:val="24"/>
        </w:rPr>
      </w:pPr>
      <w:bookmarkStart w:id="302" w:name="_Toc523911437"/>
      <w:bookmarkStart w:id="303" w:name="_Toc6665584"/>
      <w:bookmarkStart w:id="304" w:name="_Toc310195766"/>
      <w:bookmarkStart w:id="305" w:name="_Toc236642993"/>
      <w:r>
        <w:rPr>
          <w:sz w:val="24"/>
        </w:rPr>
        <w:t>5 技术规格偏离表</w:t>
      </w:r>
      <w:bookmarkEnd w:id="302"/>
      <w:bookmarkEnd w:id="303"/>
      <w:bookmarkEnd w:id="304"/>
    </w:p>
    <w:bookmarkEnd w:id="305"/>
    <w:p>
      <w:pPr>
        <w:pStyle w:val="20"/>
        <w:spacing w:line="360" w:lineRule="auto"/>
        <w:ind w:left="840"/>
        <w:rPr>
          <w:rFonts w:hAnsi="宋体"/>
          <w:sz w:val="24"/>
        </w:rPr>
      </w:pPr>
    </w:p>
    <w:p>
      <w:pPr>
        <w:pStyle w:val="20"/>
        <w:spacing w:line="360" w:lineRule="auto"/>
        <w:ind w:left="840"/>
        <w:rPr>
          <w:rFonts w:hAnsi="宋体"/>
          <w:sz w:val="24"/>
          <w:u w:val="single"/>
          <w:lang w:val="en-US"/>
        </w:rPr>
      </w:pPr>
      <w:r>
        <w:rPr>
          <w:rFonts w:hint="eastAsia" w:hAnsi="宋体"/>
          <w:sz w:val="24"/>
        </w:rPr>
        <w:t xml:space="preserve">项目名称:________     项目代理编号:__________ </w:t>
      </w:r>
      <w:r>
        <w:rPr>
          <w:rFonts w:hint="eastAsia" w:hAnsi="宋体"/>
          <w:sz w:val="24"/>
          <w:lang w:val="en-US"/>
        </w:rPr>
        <w:t xml:space="preserve">  </w:t>
      </w:r>
    </w:p>
    <w:tbl>
      <w:tblPr>
        <w:tblStyle w:val="47"/>
        <w:tblW w:w="964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8"/>
        <w:gridCol w:w="1984"/>
        <w:gridCol w:w="1383"/>
        <w:gridCol w:w="1311"/>
        <w:gridCol w:w="1417"/>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2" w:type="dxa"/>
            <w:tcBorders>
              <w:top w:val="single" w:color="auto" w:sz="12" w:space="0"/>
            </w:tcBorders>
            <w:vAlign w:val="center"/>
          </w:tcPr>
          <w:p>
            <w:pPr>
              <w:pStyle w:val="20"/>
              <w:spacing w:line="360" w:lineRule="auto"/>
              <w:jc w:val="center"/>
              <w:rPr>
                <w:rFonts w:hAnsi="宋体" w:cs="Courier New"/>
                <w:sz w:val="24"/>
                <w:lang w:val="en-US"/>
              </w:rPr>
            </w:pPr>
            <w:r>
              <w:rPr>
                <w:rFonts w:hint="eastAsia" w:hAnsi="宋体" w:cs="Courier New"/>
                <w:sz w:val="24"/>
                <w:lang w:val="en-US"/>
              </w:rPr>
              <w:t>序号</w:t>
            </w:r>
          </w:p>
        </w:tc>
        <w:tc>
          <w:tcPr>
            <w:tcW w:w="1418" w:type="dxa"/>
            <w:tcBorders>
              <w:top w:val="single" w:color="auto" w:sz="12" w:space="0"/>
            </w:tcBorders>
            <w:vAlign w:val="center"/>
          </w:tcPr>
          <w:p>
            <w:pPr>
              <w:pStyle w:val="20"/>
              <w:spacing w:line="360" w:lineRule="auto"/>
              <w:jc w:val="center"/>
              <w:rPr>
                <w:rFonts w:hAnsi="宋体" w:cs="Courier New"/>
                <w:sz w:val="24"/>
                <w:lang w:val="en-US"/>
              </w:rPr>
            </w:pPr>
            <w:r>
              <w:rPr>
                <w:rFonts w:hint="eastAsia" w:hAnsi="宋体" w:cs="Courier New"/>
                <w:sz w:val="24"/>
                <w:lang w:val="en-US"/>
              </w:rPr>
              <w:t>货物名称</w:t>
            </w:r>
          </w:p>
        </w:tc>
        <w:tc>
          <w:tcPr>
            <w:tcW w:w="1984" w:type="dxa"/>
            <w:tcBorders>
              <w:top w:val="single" w:color="auto" w:sz="12" w:space="0"/>
            </w:tcBorders>
            <w:vAlign w:val="center"/>
          </w:tcPr>
          <w:p>
            <w:pPr>
              <w:pStyle w:val="20"/>
              <w:spacing w:line="360" w:lineRule="auto"/>
              <w:jc w:val="center"/>
              <w:rPr>
                <w:rFonts w:hAnsi="宋体" w:cs="Courier New"/>
                <w:sz w:val="24"/>
                <w:lang w:val="en-US"/>
              </w:rPr>
            </w:pPr>
            <w:r>
              <w:rPr>
                <w:rFonts w:hint="eastAsia" w:hAnsi="宋体" w:cs="Courier New"/>
                <w:sz w:val="24"/>
                <w:lang w:val="en-US"/>
              </w:rPr>
              <w:t>招标文件条目号</w:t>
            </w:r>
          </w:p>
        </w:tc>
        <w:tc>
          <w:tcPr>
            <w:tcW w:w="1383" w:type="dxa"/>
            <w:tcBorders>
              <w:top w:val="single" w:color="auto" w:sz="12" w:space="0"/>
            </w:tcBorders>
            <w:vAlign w:val="center"/>
          </w:tcPr>
          <w:p>
            <w:pPr>
              <w:pStyle w:val="20"/>
              <w:spacing w:line="360" w:lineRule="auto"/>
              <w:jc w:val="center"/>
              <w:rPr>
                <w:rFonts w:hAnsi="宋体" w:cs="Courier New"/>
                <w:sz w:val="24"/>
                <w:lang w:val="en-US"/>
              </w:rPr>
            </w:pPr>
            <w:r>
              <w:rPr>
                <w:rFonts w:hint="eastAsia" w:hAnsi="宋体" w:cs="Courier New"/>
                <w:sz w:val="24"/>
                <w:lang w:val="en-US"/>
              </w:rPr>
              <w:t>招标规格</w:t>
            </w:r>
          </w:p>
        </w:tc>
        <w:tc>
          <w:tcPr>
            <w:tcW w:w="1311" w:type="dxa"/>
            <w:tcBorders>
              <w:top w:val="single" w:color="auto" w:sz="12" w:space="0"/>
            </w:tcBorders>
            <w:vAlign w:val="center"/>
          </w:tcPr>
          <w:p>
            <w:pPr>
              <w:pStyle w:val="20"/>
              <w:spacing w:line="360" w:lineRule="auto"/>
              <w:jc w:val="center"/>
              <w:rPr>
                <w:rFonts w:hAnsi="宋体" w:cs="Courier New"/>
                <w:sz w:val="24"/>
                <w:lang w:val="en-US"/>
              </w:rPr>
            </w:pPr>
            <w:r>
              <w:rPr>
                <w:rFonts w:hint="eastAsia" w:hAnsi="宋体" w:cs="Courier New"/>
                <w:sz w:val="24"/>
                <w:lang w:val="en-US"/>
              </w:rPr>
              <w:t>投标规格</w:t>
            </w:r>
          </w:p>
        </w:tc>
        <w:tc>
          <w:tcPr>
            <w:tcW w:w="1417" w:type="dxa"/>
            <w:tcBorders>
              <w:top w:val="single" w:color="auto" w:sz="12" w:space="0"/>
            </w:tcBorders>
            <w:vAlign w:val="center"/>
          </w:tcPr>
          <w:p>
            <w:pPr>
              <w:pStyle w:val="20"/>
              <w:spacing w:line="360" w:lineRule="auto"/>
              <w:jc w:val="center"/>
              <w:rPr>
                <w:rFonts w:hAnsi="宋体" w:cs="Courier New"/>
                <w:sz w:val="24"/>
                <w:lang w:val="en-US"/>
              </w:rPr>
            </w:pPr>
            <w:r>
              <w:rPr>
                <w:rFonts w:hint="eastAsia" w:hAnsi="宋体" w:cs="Courier New"/>
                <w:sz w:val="24"/>
                <w:lang w:val="en-US"/>
              </w:rPr>
              <w:t>响应/偏离</w:t>
            </w:r>
          </w:p>
        </w:tc>
        <w:tc>
          <w:tcPr>
            <w:tcW w:w="1276" w:type="dxa"/>
            <w:tcBorders>
              <w:top w:val="single" w:color="auto" w:sz="12" w:space="0"/>
            </w:tcBorders>
            <w:vAlign w:val="center"/>
          </w:tcPr>
          <w:p>
            <w:pPr>
              <w:pStyle w:val="20"/>
              <w:spacing w:line="360" w:lineRule="auto"/>
              <w:jc w:val="center"/>
              <w:rPr>
                <w:rFonts w:hAnsi="宋体" w:cs="Courier New"/>
                <w:sz w:val="24"/>
                <w:lang w:val="en-US"/>
              </w:rPr>
            </w:pPr>
            <w:r>
              <w:rPr>
                <w:rFonts w:hint="eastAsia" w:hAnsi="宋体" w:cs="Courier New"/>
                <w:sz w:val="24"/>
                <w:lang w:val="en-US"/>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2" w:type="dxa"/>
            <w:vAlign w:val="center"/>
          </w:tcPr>
          <w:p>
            <w:pPr>
              <w:pStyle w:val="20"/>
              <w:spacing w:line="360" w:lineRule="auto"/>
              <w:ind w:left="840"/>
              <w:jc w:val="center"/>
              <w:rPr>
                <w:rFonts w:hAnsi="宋体" w:cs="Courier New"/>
                <w:sz w:val="24"/>
                <w:lang w:val="en-US"/>
              </w:rPr>
            </w:pPr>
          </w:p>
        </w:tc>
        <w:tc>
          <w:tcPr>
            <w:tcW w:w="1418" w:type="dxa"/>
            <w:vAlign w:val="center"/>
          </w:tcPr>
          <w:p>
            <w:pPr>
              <w:pStyle w:val="20"/>
              <w:spacing w:line="360" w:lineRule="auto"/>
              <w:ind w:left="840"/>
              <w:jc w:val="center"/>
              <w:rPr>
                <w:rFonts w:hAnsi="宋体" w:cs="Courier New"/>
                <w:sz w:val="24"/>
                <w:lang w:val="en-US"/>
              </w:rPr>
            </w:pPr>
          </w:p>
        </w:tc>
        <w:tc>
          <w:tcPr>
            <w:tcW w:w="1984" w:type="dxa"/>
            <w:vAlign w:val="center"/>
          </w:tcPr>
          <w:p>
            <w:pPr>
              <w:pStyle w:val="20"/>
              <w:spacing w:line="360" w:lineRule="auto"/>
              <w:ind w:left="840"/>
              <w:jc w:val="center"/>
              <w:rPr>
                <w:rFonts w:hAnsi="宋体" w:cs="Courier New"/>
                <w:sz w:val="24"/>
                <w:lang w:val="en-US"/>
              </w:rPr>
            </w:pPr>
          </w:p>
        </w:tc>
        <w:tc>
          <w:tcPr>
            <w:tcW w:w="1383" w:type="dxa"/>
            <w:vAlign w:val="center"/>
          </w:tcPr>
          <w:p>
            <w:pPr>
              <w:pStyle w:val="20"/>
              <w:spacing w:line="360" w:lineRule="auto"/>
              <w:ind w:left="840"/>
              <w:jc w:val="center"/>
              <w:rPr>
                <w:rFonts w:hAnsi="宋体" w:cs="Courier New"/>
                <w:sz w:val="24"/>
                <w:lang w:val="en-US"/>
              </w:rPr>
            </w:pPr>
          </w:p>
        </w:tc>
        <w:tc>
          <w:tcPr>
            <w:tcW w:w="1311" w:type="dxa"/>
            <w:vAlign w:val="center"/>
          </w:tcPr>
          <w:p>
            <w:pPr>
              <w:pStyle w:val="20"/>
              <w:spacing w:line="360" w:lineRule="auto"/>
              <w:ind w:left="840"/>
              <w:jc w:val="center"/>
              <w:rPr>
                <w:rFonts w:hAnsi="宋体" w:cs="Courier New"/>
                <w:sz w:val="24"/>
                <w:lang w:val="en-US"/>
              </w:rPr>
            </w:pPr>
          </w:p>
        </w:tc>
        <w:tc>
          <w:tcPr>
            <w:tcW w:w="1417" w:type="dxa"/>
            <w:vAlign w:val="center"/>
          </w:tcPr>
          <w:p>
            <w:pPr>
              <w:pStyle w:val="20"/>
              <w:spacing w:line="360" w:lineRule="auto"/>
              <w:ind w:left="840"/>
              <w:jc w:val="center"/>
              <w:rPr>
                <w:rFonts w:hAnsi="宋体" w:cs="Courier New"/>
                <w:sz w:val="24"/>
                <w:lang w:val="en-US"/>
              </w:rPr>
            </w:pPr>
          </w:p>
        </w:tc>
        <w:tc>
          <w:tcPr>
            <w:tcW w:w="1276"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2" w:type="dxa"/>
            <w:vAlign w:val="center"/>
          </w:tcPr>
          <w:p>
            <w:pPr>
              <w:pStyle w:val="20"/>
              <w:spacing w:line="360" w:lineRule="auto"/>
              <w:ind w:left="840"/>
              <w:jc w:val="center"/>
              <w:rPr>
                <w:rFonts w:hAnsi="宋体" w:cs="Courier New"/>
                <w:sz w:val="24"/>
                <w:lang w:val="en-US"/>
              </w:rPr>
            </w:pPr>
          </w:p>
        </w:tc>
        <w:tc>
          <w:tcPr>
            <w:tcW w:w="1418" w:type="dxa"/>
            <w:vAlign w:val="center"/>
          </w:tcPr>
          <w:p>
            <w:pPr>
              <w:pStyle w:val="20"/>
              <w:spacing w:line="360" w:lineRule="auto"/>
              <w:ind w:left="840"/>
              <w:jc w:val="center"/>
              <w:rPr>
                <w:rFonts w:hAnsi="宋体" w:cs="Courier New"/>
                <w:sz w:val="24"/>
                <w:lang w:val="en-US"/>
              </w:rPr>
            </w:pPr>
          </w:p>
        </w:tc>
        <w:tc>
          <w:tcPr>
            <w:tcW w:w="1984" w:type="dxa"/>
            <w:vAlign w:val="center"/>
          </w:tcPr>
          <w:p>
            <w:pPr>
              <w:pStyle w:val="20"/>
              <w:spacing w:line="360" w:lineRule="auto"/>
              <w:ind w:left="840"/>
              <w:jc w:val="center"/>
              <w:rPr>
                <w:rFonts w:hAnsi="宋体" w:cs="Courier New"/>
                <w:sz w:val="24"/>
                <w:lang w:val="en-US"/>
              </w:rPr>
            </w:pPr>
          </w:p>
        </w:tc>
        <w:tc>
          <w:tcPr>
            <w:tcW w:w="1383" w:type="dxa"/>
            <w:vAlign w:val="center"/>
          </w:tcPr>
          <w:p>
            <w:pPr>
              <w:pStyle w:val="20"/>
              <w:spacing w:line="360" w:lineRule="auto"/>
              <w:ind w:left="840"/>
              <w:jc w:val="center"/>
              <w:rPr>
                <w:rFonts w:hAnsi="宋体" w:cs="Courier New"/>
                <w:sz w:val="24"/>
                <w:lang w:val="en-US"/>
              </w:rPr>
            </w:pPr>
          </w:p>
        </w:tc>
        <w:tc>
          <w:tcPr>
            <w:tcW w:w="1311" w:type="dxa"/>
            <w:vAlign w:val="center"/>
          </w:tcPr>
          <w:p>
            <w:pPr>
              <w:pStyle w:val="20"/>
              <w:spacing w:line="360" w:lineRule="auto"/>
              <w:ind w:left="840"/>
              <w:jc w:val="center"/>
              <w:rPr>
                <w:rFonts w:hAnsi="宋体" w:cs="Courier New"/>
                <w:sz w:val="24"/>
                <w:lang w:val="en-US"/>
              </w:rPr>
            </w:pPr>
          </w:p>
        </w:tc>
        <w:tc>
          <w:tcPr>
            <w:tcW w:w="1417" w:type="dxa"/>
            <w:vAlign w:val="center"/>
          </w:tcPr>
          <w:p>
            <w:pPr>
              <w:pStyle w:val="20"/>
              <w:spacing w:line="360" w:lineRule="auto"/>
              <w:ind w:left="840"/>
              <w:jc w:val="center"/>
              <w:rPr>
                <w:rFonts w:hAnsi="宋体" w:cs="Courier New"/>
                <w:sz w:val="24"/>
                <w:lang w:val="en-US"/>
              </w:rPr>
            </w:pPr>
          </w:p>
        </w:tc>
        <w:tc>
          <w:tcPr>
            <w:tcW w:w="1276"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2" w:type="dxa"/>
            <w:vAlign w:val="center"/>
          </w:tcPr>
          <w:p>
            <w:pPr>
              <w:pStyle w:val="20"/>
              <w:spacing w:line="360" w:lineRule="auto"/>
              <w:ind w:left="840"/>
              <w:jc w:val="center"/>
              <w:rPr>
                <w:rFonts w:hAnsi="宋体" w:cs="Courier New"/>
                <w:sz w:val="24"/>
                <w:lang w:val="en-US"/>
              </w:rPr>
            </w:pPr>
          </w:p>
        </w:tc>
        <w:tc>
          <w:tcPr>
            <w:tcW w:w="1418" w:type="dxa"/>
            <w:vAlign w:val="center"/>
          </w:tcPr>
          <w:p>
            <w:pPr>
              <w:pStyle w:val="20"/>
              <w:spacing w:line="360" w:lineRule="auto"/>
              <w:ind w:left="840"/>
              <w:jc w:val="center"/>
              <w:rPr>
                <w:rFonts w:hAnsi="宋体" w:cs="Courier New"/>
                <w:sz w:val="24"/>
                <w:lang w:val="en-US"/>
              </w:rPr>
            </w:pPr>
          </w:p>
        </w:tc>
        <w:tc>
          <w:tcPr>
            <w:tcW w:w="1984" w:type="dxa"/>
            <w:vAlign w:val="center"/>
          </w:tcPr>
          <w:p>
            <w:pPr>
              <w:pStyle w:val="20"/>
              <w:spacing w:line="360" w:lineRule="auto"/>
              <w:ind w:left="840"/>
              <w:jc w:val="center"/>
              <w:rPr>
                <w:rFonts w:hAnsi="宋体" w:cs="Courier New"/>
                <w:sz w:val="24"/>
                <w:lang w:val="en-US"/>
              </w:rPr>
            </w:pPr>
          </w:p>
        </w:tc>
        <w:tc>
          <w:tcPr>
            <w:tcW w:w="1383" w:type="dxa"/>
            <w:vAlign w:val="center"/>
          </w:tcPr>
          <w:p>
            <w:pPr>
              <w:pStyle w:val="20"/>
              <w:spacing w:line="360" w:lineRule="auto"/>
              <w:ind w:left="840"/>
              <w:jc w:val="center"/>
              <w:rPr>
                <w:rFonts w:hAnsi="宋体" w:cs="Courier New"/>
                <w:sz w:val="24"/>
                <w:lang w:val="en-US"/>
              </w:rPr>
            </w:pPr>
          </w:p>
        </w:tc>
        <w:tc>
          <w:tcPr>
            <w:tcW w:w="1311" w:type="dxa"/>
            <w:vAlign w:val="center"/>
          </w:tcPr>
          <w:p>
            <w:pPr>
              <w:pStyle w:val="20"/>
              <w:spacing w:line="360" w:lineRule="auto"/>
              <w:ind w:left="840"/>
              <w:jc w:val="center"/>
              <w:rPr>
                <w:rFonts w:hAnsi="宋体" w:cs="Courier New"/>
                <w:sz w:val="24"/>
                <w:lang w:val="en-US"/>
              </w:rPr>
            </w:pPr>
          </w:p>
        </w:tc>
        <w:tc>
          <w:tcPr>
            <w:tcW w:w="1417" w:type="dxa"/>
            <w:vAlign w:val="center"/>
          </w:tcPr>
          <w:p>
            <w:pPr>
              <w:pStyle w:val="20"/>
              <w:spacing w:line="360" w:lineRule="auto"/>
              <w:ind w:left="840"/>
              <w:jc w:val="center"/>
              <w:rPr>
                <w:rFonts w:hAnsi="宋体" w:cs="Courier New"/>
                <w:sz w:val="24"/>
                <w:lang w:val="en-US"/>
              </w:rPr>
            </w:pPr>
          </w:p>
        </w:tc>
        <w:tc>
          <w:tcPr>
            <w:tcW w:w="1276"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2" w:type="dxa"/>
            <w:vAlign w:val="center"/>
          </w:tcPr>
          <w:p>
            <w:pPr>
              <w:pStyle w:val="20"/>
              <w:spacing w:line="360" w:lineRule="auto"/>
              <w:ind w:left="840"/>
              <w:jc w:val="center"/>
              <w:rPr>
                <w:rFonts w:hAnsi="宋体" w:cs="Courier New"/>
                <w:sz w:val="24"/>
                <w:lang w:val="en-US"/>
              </w:rPr>
            </w:pPr>
          </w:p>
        </w:tc>
        <w:tc>
          <w:tcPr>
            <w:tcW w:w="1418" w:type="dxa"/>
            <w:vAlign w:val="center"/>
          </w:tcPr>
          <w:p>
            <w:pPr>
              <w:pStyle w:val="20"/>
              <w:spacing w:line="360" w:lineRule="auto"/>
              <w:ind w:left="840"/>
              <w:jc w:val="center"/>
              <w:rPr>
                <w:rFonts w:hAnsi="宋体" w:cs="Courier New"/>
                <w:sz w:val="24"/>
                <w:lang w:val="en-US"/>
              </w:rPr>
            </w:pPr>
          </w:p>
        </w:tc>
        <w:tc>
          <w:tcPr>
            <w:tcW w:w="1984" w:type="dxa"/>
            <w:vAlign w:val="center"/>
          </w:tcPr>
          <w:p>
            <w:pPr>
              <w:pStyle w:val="20"/>
              <w:spacing w:line="360" w:lineRule="auto"/>
              <w:ind w:left="840"/>
              <w:jc w:val="center"/>
              <w:rPr>
                <w:rFonts w:hAnsi="宋体" w:cs="Courier New"/>
                <w:sz w:val="24"/>
                <w:lang w:val="en-US"/>
              </w:rPr>
            </w:pPr>
          </w:p>
        </w:tc>
        <w:tc>
          <w:tcPr>
            <w:tcW w:w="1383" w:type="dxa"/>
            <w:vAlign w:val="center"/>
          </w:tcPr>
          <w:p>
            <w:pPr>
              <w:pStyle w:val="20"/>
              <w:spacing w:line="360" w:lineRule="auto"/>
              <w:ind w:left="840"/>
              <w:jc w:val="center"/>
              <w:rPr>
                <w:rFonts w:hAnsi="宋体" w:cs="Courier New"/>
                <w:sz w:val="24"/>
                <w:lang w:val="en-US"/>
              </w:rPr>
            </w:pPr>
          </w:p>
        </w:tc>
        <w:tc>
          <w:tcPr>
            <w:tcW w:w="1311" w:type="dxa"/>
            <w:vAlign w:val="center"/>
          </w:tcPr>
          <w:p>
            <w:pPr>
              <w:pStyle w:val="20"/>
              <w:spacing w:line="360" w:lineRule="auto"/>
              <w:ind w:left="840"/>
              <w:jc w:val="center"/>
              <w:rPr>
                <w:rFonts w:hAnsi="宋体" w:cs="Courier New"/>
                <w:sz w:val="24"/>
                <w:lang w:val="en-US"/>
              </w:rPr>
            </w:pPr>
          </w:p>
        </w:tc>
        <w:tc>
          <w:tcPr>
            <w:tcW w:w="1417" w:type="dxa"/>
            <w:vAlign w:val="center"/>
          </w:tcPr>
          <w:p>
            <w:pPr>
              <w:pStyle w:val="20"/>
              <w:spacing w:line="360" w:lineRule="auto"/>
              <w:ind w:left="840"/>
              <w:jc w:val="center"/>
              <w:rPr>
                <w:rFonts w:hAnsi="宋体" w:cs="Courier New"/>
                <w:sz w:val="24"/>
                <w:lang w:val="en-US"/>
              </w:rPr>
            </w:pPr>
          </w:p>
        </w:tc>
        <w:tc>
          <w:tcPr>
            <w:tcW w:w="1276"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2" w:type="dxa"/>
            <w:vAlign w:val="center"/>
          </w:tcPr>
          <w:p>
            <w:pPr>
              <w:pStyle w:val="20"/>
              <w:spacing w:line="360" w:lineRule="auto"/>
              <w:ind w:left="840"/>
              <w:jc w:val="center"/>
              <w:rPr>
                <w:rFonts w:hAnsi="宋体" w:cs="Courier New"/>
                <w:sz w:val="24"/>
                <w:lang w:val="en-US"/>
              </w:rPr>
            </w:pPr>
          </w:p>
        </w:tc>
        <w:tc>
          <w:tcPr>
            <w:tcW w:w="1418" w:type="dxa"/>
            <w:vAlign w:val="center"/>
          </w:tcPr>
          <w:p>
            <w:pPr>
              <w:pStyle w:val="20"/>
              <w:spacing w:line="360" w:lineRule="auto"/>
              <w:ind w:left="840"/>
              <w:jc w:val="center"/>
              <w:rPr>
                <w:rFonts w:hAnsi="宋体" w:cs="Courier New"/>
                <w:sz w:val="24"/>
                <w:lang w:val="en-US"/>
              </w:rPr>
            </w:pPr>
          </w:p>
        </w:tc>
        <w:tc>
          <w:tcPr>
            <w:tcW w:w="1984" w:type="dxa"/>
            <w:vAlign w:val="center"/>
          </w:tcPr>
          <w:p>
            <w:pPr>
              <w:pStyle w:val="20"/>
              <w:spacing w:line="360" w:lineRule="auto"/>
              <w:ind w:left="840"/>
              <w:jc w:val="center"/>
              <w:rPr>
                <w:rFonts w:hAnsi="宋体" w:cs="Courier New"/>
                <w:sz w:val="24"/>
                <w:lang w:val="en-US"/>
              </w:rPr>
            </w:pPr>
          </w:p>
        </w:tc>
        <w:tc>
          <w:tcPr>
            <w:tcW w:w="1383" w:type="dxa"/>
            <w:vAlign w:val="center"/>
          </w:tcPr>
          <w:p>
            <w:pPr>
              <w:pStyle w:val="20"/>
              <w:spacing w:line="360" w:lineRule="auto"/>
              <w:ind w:left="840"/>
              <w:jc w:val="center"/>
              <w:rPr>
                <w:rFonts w:hAnsi="宋体" w:cs="Courier New"/>
                <w:sz w:val="24"/>
                <w:lang w:val="en-US"/>
              </w:rPr>
            </w:pPr>
          </w:p>
        </w:tc>
        <w:tc>
          <w:tcPr>
            <w:tcW w:w="1311" w:type="dxa"/>
            <w:vAlign w:val="center"/>
          </w:tcPr>
          <w:p>
            <w:pPr>
              <w:pStyle w:val="20"/>
              <w:spacing w:line="360" w:lineRule="auto"/>
              <w:ind w:left="840"/>
              <w:jc w:val="center"/>
              <w:rPr>
                <w:rFonts w:hAnsi="宋体" w:cs="Courier New"/>
                <w:sz w:val="24"/>
                <w:lang w:val="en-US"/>
              </w:rPr>
            </w:pPr>
          </w:p>
        </w:tc>
        <w:tc>
          <w:tcPr>
            <w:tcW w:w="1417" w:type="dxa"/>
            <w:vAlign w:val="center"/>
          </w:tcPr>
          <w:p>
            <w:pPr>
              <w:pStyle w:val="20"/>
              <w:spacing w:line="360" w:lineRule="auto"/>
              <w:ind w:left="840"/>
              <w:jc w:val="center"/>
              <w:rPr>
                <w:rFonts w:hAnsi="宋体" w:cs="Courier New"/>
                <w:sz w:val="24"/>
                <w:lang w:val="en-US"/>
              </w:rPr>
            </w:pPr>
          </w:p>
        </w:tc>
        <w:tc>
          <w:tcPr>
            <w:tcW w:w="1276"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2" w:type="dxa"/>
            <w:vAlign w:val="center"/>
          </w:tcPr>
          <w:p>
            <w:pPr>
              <w:pStyle w:val="20"/>
              <w:spacing w:line="360" w:lineRule="auto"/>
              <w:ind w:left="840"/>
              <w:jc w:val="center"/>
              <w:rPr>
                <w:rFonts w:hAnsi="宋体" w:cs="Courier New"/>
                <w:sz w:val="24"/>
                <w:lang w:val="en-US"/>
              </w:rPr>
            </w:pPr>
          </w:p>
        </w:tc>
        <w:tc>
          <w:tcPr>
            <w:tcW w:w="1418" w:type="dxa"/>
            <w:vAlign w:val="center"/>
          </w:tcPr>
          <w:p>
            <w:pPr>
              <w:pStyle w:val="20"/>
              <w:spacing w:line="360" w:lineRule="auto"/>
              <w:ind w:left="840"/>
              <w:jc w:val="center"/>
              <w:rPr>
                <w:rFonts w:hAnsi="宋体" w:cs="Courier New"/>
                <w:sz w:val="24"/>
                <w:lang w:val="en-US"/>
              </w:rPr>
            </w:pPr>
          </w:p>
        </w:tc>
        <w:tc>
          <w:tcPr>
            <w:tcW w:w="1984" w:type="dxa"/>
            <w:vAlign w:val="center"/>
          </w:tcPr>
          <w:p>
            <w:pPr>
              <w:pStyle w:val="20"/>
              <w:spacing w:line="360" w:lineRule="auto"/>
              <w:ind w:left="840"/>
              <w:jc w:val="center"/>
              <w:rPr>
                <w:rFonts w:hAnsi="宋体" w:cs="Courier New"/>
                <w:sz w:val="24"/>
                <w:lang w:val="en-US"/>
              </w:rPr>
            </w:pPr>
          </w:p>
        </w:tc>
        <w:tc>
          <w:tcPr>
            <w:tcW w:w="1383" w:type="dxa"/>
            <w:vAlign w:val="center"/>
          </w:tcPr>
          <w:p>
            <w:pPr>
              <w:pStyle w:val="20"/>
              <w:spacing w:line="360" w:lineRule="auto"/>
              <w:ind w:left="840"/>
              <w:jc w:val="center"/>
              <w:rPr>
                <w:rFonts w:hAnsi="宋体" w:cs="Courier New"/>
                <w:sz w:val="24"/>
                <w:lang w:val="en-US"/>
              </w:rPr>
            </w:pPr>
          </w:p>
        </w:tc>
        <w:tc>
          <w:tcPr>
            <w:tcW w:w="1311" w:type="dxa"/>
            <w:vAlign w:val="center"/>
          </w:tcPr>
          <w:p>
            <w:pPr>
              <w:pStyle w:val="20"/>
              <w:spacing w:line="360" w:lineRule="auto"/>
              <w:ind w:left="840"/>
              <w:jc w:val="center"/>
              <w:rPr>
                <w:rFonts w:hAnsi="宋体" w:cs="Courier New"/>
                <w:sz w:val="24"/>
                <w:lang w:val="en-US"/>
              </w:rPr>
            </w:pPr>
          </w:p>
        </w:tc>
        <w:tc>
          <w:tcPr>
            <w:tcW w:w="1417" w:type="dxa"/>
            <w:vAlign w:val="center"/>
          </w:tcPr>
          <w:p>
            <w:pPr>
              <w:pStyle w:val="20"/>
              <w:spacing w:line="360" w:lineRule="auto"/>
              <w:ind w:left="840"/>
              <w:jc w:val="center"/>
              <w:rPr>
                <w:rFonts w:hAnsi="宋体" w:cs="Courier New"/>
                <w:sz w:val="24"/>
                <w:lang w:val="en-US"/>
              </w:rPr>
            </w:pPr>
          </w:p>
        </w:tc>
        <w:tc>
          <w:tcPr>
            <w:tcW w:w="1276"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2" w:type="dxa"/>
            <w:vAlign w:val="center"/>
          </w:tcPr>
          <w:p>
            <w:pPr>
              <w:pStyle w:val="20"/>
              <w:spacing w:line="360" w:lineRule="auto"/>
              <w:ind w:left="840"/>
              <w:jc w:val="center"/>
              <w:rPr>
                <w:rFonts w:hAnsi="宋体" w:cs="Courier New"/>
                <w:sz w:val="24"/>
                <w:lang w:val="en-US"/>
              </w:rPr>
            </w:pPr>
          </w:p>
        </w:tc>
        <w:tc>
          <w:tcPr>
            <w:tcW w:w="1418" w:type="dxa"/>
            <w:vAlign w:val="center"/>
          </w:tcPr>
          <w:p>
            <w:pPr>
              <w:pStyle w:val="20"/>
              <w:spacing w:line="360" w:lineRule="auto"/>
              <w:ind w:left="840"/>
              <w:jc w:val="center"/>
              <w:rPr>
                <w:rFonts w:hAnsi="宋体" w:cs="Courier New"/>
                <w:sz w:val="24"/>
                <w:lang w:val="en-US"/>
              </w:rPr>
            </w:pPr>
          </w:p>
        </w:tc>
        <w:tc>
          <w:tcPr>
            <w:tcW w:w="1984" w:type="dxa"/>
            <w:vAlign w:val="center"/>
          </w:tcPr>
          <w:p>
            <w:pPr>
              <w:pStyle w:val="20"/>
              <w:spacing w:line="360" w:lineRule="auto"/>
              <w:ind w:left="840"/>
              <w:jc w:val="center"/>
              <w:rPr>
                <w:rFonts w:hAnsi="宋体" w:cs="Courier New"/>
                <w:sz w:val="24"/>
                <w:lang w:val="en-US"/>
              </w:rPr>
            </w:pPr>
          </w:p>
        </w:tc>
        <w:tc>
          <w:tcPr>
            <w:tcW w:w="1383" w:type="dxa"/>
            <w:vAlign w:val="center"/>
          </w:tcPr>
          <w:p>
            <w:pPr>
              <w:pStyle w:val="20"/>
              <w:spacing w:line="360" w:lineRule="auto"/>
              <w:ind w:left="840"/>
              <w:jc w:val="center"/>
              <w:rPr>
                <w:rFonts w:hAnsi="宋体" w:cs="Courier New"/>
                <w:sz w:val="24"/>
                <w:lang w:val="en-US"/>
              </w:rPr>
            </w:pPr>
          </w:p>
        </w:tc>
        <w:tc>
          <w:tcPr>
            <w:tcW w:w="1311" w:type="dxa"/>
            <w:vAlign w:val="center"/>
          </w:tcPr>
          <w:p>
            <w:pPr>
              <w:pStyle w:val="20"/>
              <w:spacing w:line="360" w:lineRule="auto"/>
              <w:ind w:left="840"/>
              <w:jc w:val="center"/>
              <w:rPr>
                <w:rFonts w:hAnsi="宋体" w:cs="Courier New"/>
                <w:sz w:val="24"/>
                <w:lang w:val="en-US"/>
              </w:rPr>
            </w:pPr>
          </w:p>
        </w:tc>
        <w:tc>
          <w:tcPr>
            <w:tcW w:w="1417" w:type="dxa"/>
            <w:vAlign w:val="center"/>
          </w:tcPr>
          <w:p>
            <w:pPr>
              <w:pStyle w:val="20"/>
              <w:spacing w:line="360" w:lineRule="auto"/>
              <w:ind w:left="840"/>
              <w:jc w:val="center"/>
              <w:rPr>
                <w:rFonts w:hAnsi="宋体" w:cs="Courier New"/>
                <w:sz w:val="24"/>
                <w:lang w:val="en-US"/>
              </w:rPr>
            </w:pPr>
          </w:p>
        </w:tc>
        <w:tc>
          <w:tcPr>
            <w:tcW w:w="1276"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2" w:type="dxa"/>
            <w:vAlign w:val="center"/>
          </w:tcPr>
          <w:p>
            <w:pPr>
              <w:pStyle w:val="20"/>
              <w:spacing w:line="360" w:lineRule="auto"/>
              <w:ind w:left="840"/>
              <w:jc w:val="center"/>
              <w:rPr>
                <w:rFonts w:hAnsi="宋体" w:cs="Courier New"/>
                <w:sz w:val="24"/>
                <w:lang w:val="en-US"/>
              </w:rPr>
            </w:pPr>
          </w:p>
        </w:tc>
        <w:tc>
          <w:tcPr>
            <w:tcW w:w="1418" w:type="dxa"/>
            <w:vAlign w:val="center"/>
          </w:tcPr>
          <w:p>
            <w:pPr>
              <w:pStyle w:val="20"/>
              <w:spacing w:line="360" w:lineRule="auto"/>
              <w:ind w:left="840"/>
              <w:jc w:val="center"/>
              <w:rPr>
                <w:rFonts w:hAnsi="宋体" w:cs="Courier New"/>
                <w:sz w:val="24"/>
                <w:lang w:val="en-US"/>
              </w:rPr>
            </w:pPr>
          </w:p>
        </w:tc>
        <w:tc>
          <w:tcPr>
            <w:tcW w:w="1984" w:type="dxa"/>
            <w:vAlign w:val="center"/>
          </w:tcPr>
          <w:p>
            <w:pPr>
              <w:pStyle w:val="20"/>
              <w:spacing w:line="360" w:lineRule="auto"/>
              <w:ind w:left="840"/>
              <w:jc w:val="center"/>
              <w:rPr>
                <w:rFonts w:hAnsi="宋体" w:cs="Courier New"/>
                <w:sz w:val="24"/>
                <w:lang w:val="en-US"/>
              </w:rPr>
            </w:pPr>
          </w:p>
        </w:tc>
        <w:tc>
          <w:tcPr>
            <w:tcW w:w="1383" w:type="dxa"/>
            <w:vAlign w:val="center"/>
          </w:tcPr>
          <w:p>
            <w:pPr>
              <w:pStyle w:val="20"/>
              <w:spacing w:line="360" w:lineRule="auto"/>
              <w:ind w:left="840"/>
              <w:jc w:val="center"/>
              <w:rPr>
                <w:rFonts w:hAnsi="宋体" w:cs="Courier New"/>
                <w:sz w:val="24"/>
                <w:lang w:val="en-US"/>
              </w:rPr>
            </w:pPr>
          </w:p>
        </w:tc>
        <w:tc>
          <w:tcPr>
            <w:tcW w:w="1311" w:type="dxa"/>
            <w:vAlign w:val="center"/>
          </w:tcPr>
          <w:p>
            <w:pPr>
              <w:pStyle w:val="20"/>
              <w:spacing w:line="360" w:lineRule="auto"/>
              <w:ind w:left="840"/>
              <w:jc w:val="center"/>
              <w:rPr>
                <w:rFonts w:hAnsi="宋体" w:cs="Courier New"/>
                <w:sz w:val="24"/>
                <w:lang w:val="en-US"/>
              </w:rPr>
            </w:pPr>
          </w:p>
        </w:tc>
        <w:tc>
          <w:tcPr>
            <w:tcW w:w="1417" w:type="dxa"/>
            <w:vAlign w:val="center"/>
          </w:tcPr>
          <w:p>
            <w:pPr>
              <w:pStyle w:val="20"/>
              <w:spacing w:line="360" w:lineRule="auto"/>
              <w:ind w:left="840"/>
              <w:jc w:val="center"/>
              <w:rPr>
                <w:rFonts w:hAnsi="宋体" w:cs="Courier New"/>
                <w:sz w:val="24"/>
                <w:lang w:val="en-US"/>
              </w:rPr>
            </w:pPr>
          </w:p>
        </w:tc>
        <w:tc>
          <w:tcPr>
            <w:tcW w:w="1276"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52" w:type="dxa"/>
            <w:vAlign w:val="center"/>
          </w:tcPr>
          <w:p>
            <w:pPr>
              <w:pStyle w:val="20"/>
              <w:spacing w:line="360" w:lineRule="auto"/>
              <w:ind w:left="840"/>
              <w:jc w:val="center"/>
              <w:rPr>
                <w:rFonts w:hAnsi="宋体" w:cs="Courier New"/>
                <w:sz w:val="24"/>
                <w:lang w:val="en-US"/>
              </w:rPr>
            </w:pPr>
          </w:p>
        </w:tc>
        <w:tc>
          <w:tcPr>
            <w:tcW w:w="1418" w:type="dxa"/>
            <w:vAlign w:val="center"/>
          </w:tcPr>
          <w:p>
            <w:pPr>
              <w:pStyle w:val="20"/>
              <w:spacing w:line="360" w:lineRule="auto"/>
              <w:ind w:left="840"/>
              <w:jc w:val="center"/>
              <w:rPr>
                <w:rFonts w:hAnsi="宋体" w:cs="Courier New"/>
                <w:sz w:val="24"/>
                <w:lang w:val="en-US"/>
              </w:rPr>
            </w:pPr>
          </w:p>
        </w:tc>
        <w:tc>
          <w:tcPr>
            <w:tcW w:w="1984" w:type="dxa"/>
            <w:vAlign w:val="center"/>
          </w:tcPr>
          <w:p>
            <w:pPr>
              <w:pStyle w:val="20"/>
              <w:spacing w:line="360" w:lineRule="auto"/>
              <w:ind w:left="840"/>
              <w:jc w:val="center"/>
              <w:rPr>
                <w:rFonts w:hAnsi="宋体" w:cs="Courier New"/>
                <w:sz w:val="24"/>
                <w:lang w:val="en-US"/>
              </w:rPr>
            </w:pPr>
          </w:p>
        </w:tc>
        <w:tc>
          <w:tcPr>
            <w:tcW w:w="1383" w:type="dxa"/>
            <w:vAlign w:val="center"/>
          </w:tcPr>
          <w:p>
            <w:pPr>
              <w:pStyle w:val="20"/>
              <w:spacing w:line="360" w:lineRule="auto"/>
              <w:ind w:left="840"/>
              <w:jc w:val="center"/>
              <w:rPr>
                <w:rFonts w:hAnsi="宋体" w:cs="Courier New"/>
                <w:sz w:val="24"/>
                <w:lang w:val="en-US"/>
              </w:rPr>
            </w:pPr>
          </w:p>
        </w:tc>
        <w:tc>
          <w:tcPr>
            <w:tcW w:w="1311" w:type="dxa"/>
            <w:vAlign w:val="center"/>
          </w:tcPr>
          <w:p>
            <w:pPr>
              <w:pStyle w:val="20"/>
              <w:spacing w:line="360" w:lineRule="auto"/>
              <w:ind w:left="840"/>
              <w:jc w:val="center"/>
              <w:rPr>
                <w:rFonts w:hAnsi="宋体" w:cs="Courier New"/>
                <w:sz w:val="24"/>
                <w:lang w:val="en-US"/>
              </w:rPr>
            </w:pPr>
          </w:p>
        </w:tc>
        <w:tc>
          <w:tcPr>
            <w:tcW w:w="1417" w:type="dxa"/>
            <w:vAlign w:val="center"/>
          </w:tcPr>
          <w:p>
            <w:pPr>
              <w:pStyle w:val="20"/>
              <w:spacing w:line="360" w:lineRule="auto"/>
              <w:ind w:left="840"/>
              <w:jc w:val="center"/>
              <w:rPr>
                <w:rFonts w:hAnsi="宋体" w:cs="Courier New"/>
                <w:sz w:val="24"/>
                <w:lang w:val="en-US"/>
              </w:rPr>
            </w:pPr>
          </w:p>
        </w:tc>
        <w:tc>
          <w:tcPr>
            <w:tcW w:w="1276"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2" w:type="dxa"/>
            <w:vAlign w:val="center"/>
          </w:tcPr>
          <w:p>
            <w:pPr>
              <w:pStyle w:val="20"/>
              <w:spacing w:line="360" w:lineRule="auto"/>
              <w:ind w:left="840"/>
              <w:jc w:val="center"/>
              <w:rPr>
                <w:rFonts w:hAnsi="宋体" w:cs="Courier New"/>
                <w:sz w:val="24"/>
                <w:lang w:val="en-US"/>
              </w:rPr>
            </w:pPr>
          </w:p>
        </w:tc>
        <w:tc>
          <w:tcPr>
            <w:tcW w:w="1418" w:type="dxa"/>
            <w:vAlign w:val="center"/>
          </w:tcPr>
          <w:p>
            <w:pPr>
              <w:pStyle w:val="20"/>
              <w:spacing w:line="360" w:lineRule="auto"/>
              <w:ind w:left="840"/>
              <w:jc w:val="center"/>
              <w:rPr>
                <w:rFonts w:hAnsi="宋体" w:cs="Courier New"/>
                <w:sz w:val="24"/>
                <w:lang w:val="en-US"/>
              </w:rPr>
            </w:pPr>
          </w:p>
        </w:tc>
        <w:tc>
          <w:tcPr>
            <w:tcW w:w="1984" w:type="dxa"/>
            <w:vAlign w:val="center"/>
          </w:tcPr>
          <w:p>
            <w:pPr>
              <w:pStyle w:val="20"/>
              <w:spacing w:line="360" w:lineRule="auto"/>
              <w:ind w:left="840"/>
              <w:jc w:val="center"/>
              <w:rPr>
                <w:rFonts w:hAnsi="宋体" w:cs="Courier New"/>
                <w:sz w:val="24"/>
                <w:lang w:val="en-US"/>
              </w:rPr>
            </w:pPr>
          </w:p>
        </w:tc>
        <w:tc>
          <w:tcPr>
            <w:tcW w:w="1383" w:type="dxa"/>
            <w:vAlign w:val="center"/>
          </w:tcPr>
          <w:p>
            <w:pPr>
              <w:pStyle w:val="20"/>
              <w:spacing w:line="360" w:lineRule="auto"/>
              <w:ind w:left="840"/>
              <w:jc w:val="center"/>
              <w:rPr>
                <w:rFonts w:hAnsi="宋体" w:cs="Courier New"/>
                <w:sz w:val="24"/>
                <w:lang w:val="en-US"/>
              </w:rPr>
            </w:pPr>
          </w:p>
        </w:tc>
        <w:tc>
          <w:tcPr>
            <w:tcW w:w="1311" w:type="dxa"/>
            <w:vAlign w:val="center"/>
          </w:tcPr>
          <w:p>
            <w:pPr>
              <w:pStyle w:val="20"/>
              <w:spacing w:line="360" w:lineRule="auto"/>
              <w:ind w:left="840"/>
              <w:jc w:val="center"/>
              <w:rPr>
                <w:rFonts w:hAnsi="宋体" w:cs="Courier New"/>
                <w:sz w:val="24"/>
                <w:lang w:val="en-US"/>
              </w:rPr>
            </w:pPr>
          </w:p>
        </w:tc>
        <w:tc>
          <w:tcPr>
            <w:tcW w:w="1417" w:type="dxa"/>
            <w:vAlign w:val="center"/>
          </w:tcPr>
          <w:p>
            <w:pPr>
              <w:pStyle w:val="20"/>
              <w:spacing w:line="360" w:lineRule="auto"/>
              <w:ind w:left="840"/>
              <w:jc w:val="center"/>
              <w:rPr>
                <w:rFonts w:hAnsi="宋体" w:cs="Courier New"/>
                <w:sz w:val="24"/>
                <w:lang w:val="en-US"/>
              </w:rPr>
            </w:pPr>
          </w:p>
        </w:tc>
        <w:tc>
          <w:tcPr>
            <w:tcW w:w="1276"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2" w:type="dxa"/>
            <w:vAlign w:val="center"/>
          </w:tcPr>
          <w:p>
            <w:pPr>
              <w:pStyle w:val="20"/>
              <w:spacing w:line="360" w:lineRule="auto"/>
              <w:ind w:left="840"/>
              <w:jc w:val="center"/>
              <w:rPr>
                <w:rFonts w:hAnsi="宋体" w:cs="Courier New"/>
                <w:sz w:val="24"/>
                <w:lang w:val="en-US"/>
              </w:rPr>
            </w:pPr>
          </w:p>
        </w:tc>
        <w:tc>
          <w:tcPr>
            <w:tcW w:w="1418" w:type="dxa"/>
            <w:vAlign w:val="center"/>
          </w:tcPr>
          <w:p>
            <w:pPr>
              <w:pStyle w:val="20"/>
              <w:spacing w:line="360" w:lineRule="auto"/>
              <w:ind w:left="840"/>
              <w:jc w:val="center"/>
              <w:rPr>
                <w:rFonts w:hAnsi="宋体" w:cs="Courier New"/>
                <w:sz w:val="24"/>
                <w:lang w:val="en-US"/>
              </w:rPr>
            </w:pPr>
          </w:p>
        </w:tc>
        <w:tc>
          <w:tcPr>
            <w:tcW w:w="1984" w:type="dxa"/>
            <w:vAlign w:val="center"/>
          </w:tcPr>
          <w:p>
            <w:pPr>
              <w:pStyle w:val="20"/>
              <w:spacing w:line="360" w:lineRule="auto"/>
              <w:ind w:left="840"/>
              <w:jc w:val="center"/>
              <w:rPr>
                <w:rFonts w:hAnsi="宋体" w:cs="Courier New"/>
                <w:sz w:val="24"/>
                <w:lang w:val="en-US"/>
              </w:rPr>
            </w:pPr>
          </w:p>
        </w:tc>
        <w:tc>
          <w:tcPr>
            <w:tcW w:w="1383" w:type="dxa"/>
            <w:vAlign w:val="center"/>
          </w:tcPr>
          <w:p>
            <w:pPr>
              <w:pStyle w:val="20"/>
              <w:spacing w:line="360" w:lineRule="auto"/>
              <w:ind w:left="840"/>
              <w:jc w:val="center"/>
              <w:rPr>
                <w:rFonts w:hAnsi="宋体" w:cs="Courier New"/>
                <w:sz w:val="24"/>
                <w:lang w:val="en-US"/>
              </w:rPr>
            </w:pPr>
          </w:p>
        </w:tc>
        <w:tc>
          <w:tcPr>
            <w:tcW w:w="1311" w:type="dxa"/>
            <w:vAlign w:val="center"/>
          </w:tcPr>
          <w:p>
            <w:pPr>
              <w:pStyle w:val="20"/>
              <w:spacing w:line="360" w:lineRule="auto"/>
              <w:ind w:left="840"/>
              <w:jc w:val="center"/>
              <w:rPr>
                <w:rFonts w:hAnsi="宋体" w:cs="Courier New"/>
                <w:sz w:val="24"/>
                <w:lang w:val="en-US"/>
              </w:rPr>
            </w:pPr>
          </w:p>
        </w:tc>
        <w:tc>
          <w:tcPr>
            <w:tcW w:w="1417" w:type="dxa"/>
            <w:vAlign w:val="center"/>
          </w:tcPr>
          <w:p>
            <w:pPr>
              <w:pStyle w:val="20"/>
              <w:spacing w:line="360" w:lineRule="auto"/>
              <w:ind w:left="840"/>
              <w:jc w:val="center"/>
              <w:rPr>
                <w:rFonts w:hAnsi="宋体" w:cs="Courier New"/>
                <w:sz w:val="24"/>
                <w:lang w:val="en-US"/>
              </w:rPr>
            </w:pPr>
          </w:p>
        </w:tc>
        <w:tc>
          <w:tcPr>
            <w:tcW w:w="1276"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52" w:type="dxa"/>
            <w:tcBorders>
              <w:bottom w:val="single" w:color="auto" w:sz="12" w:space="0"/>
            </w:tcBorders>
            <w:vAlign w:val="center"/>
          </w:tcPr>
          <w:p>
            <w:pPr>
              <w:pStyle w:val="20"/>
              <w:spacing w:line="360" w:lineRule="auto"/>
              <w:ind w:left="840"/>
              <w:jc w:val="center"/>
              <w:rPr>
                <w:rFonts w:hAnsi="宋体" w:cs="Courier New"/>
                <w:sz w:val="24"/>
                <w:lang w:val="en-US"/>
              </w:rPr>
            </w:pPr>
          </w:p>
        </w:tc>
        <w:tc>
          <w:tcPr>
            <w:tcW w:w="1418" w:type="dxa"/>
            <w:tcBorders>
              <w:bottom w:val="single" w:color="auto" w:sz="12" w:space="0"/>
            </w:tcBorders>
            <w:vAlign w:val="center"/>
          </w:tcPr>
          <w:p>
            <w:pPr>
              <w:pStyle w:val="20"/>
              <w:spacing w:line="360" w:lineRule="auto"/>
              <w:ind w:left="840"/>
              <w:jc w:val="center"/>
              <w:rPr>
                <w:rFonts w:hAnsi="宋体" w:cs="Courier New"/>
                <w:sz w:val="24"/>
                <w:lang w:val="en-US"/>
              </w:rPr>
            </w:pPr>
          </w:p>
        </w:tc>
        <w:tc>
          <w:tcPr>
            <w:tcW w:w="1984" w:type="dxa"/>
            <w:tcBorders>
              <w:bottom w:val="single" w:color="auto" w:sz="12" w:space="0"/>
            </w:tcBorders>
            <w:vAlign w:val="center"/>
          </w:tcPr>
          <w:p>
            <w:pPr>
              <w:pStyle w:val="20"/>
              <w:spacing w:line="360" w:lineRule="auto"/>
              <w:ind w:left="840"/>
              <w:jc w:val="center"/>
              <w:rPr>
                <w:rFonts w:hAnsi="宋体" w:cs="Courier New"/>
                <w:sz w:val="24"/>
                <w:lang w:val="en-US"/>
              </w:rPr>
            </w:pPr>
          </w:p>
        </w:tc>
        <w:tc>
          <w:tcPr>
            <w:tcW w:w="1383" w:type="dxa"/>
            <w:tcBorders>
              <w:bottom w:val="single" w:color="auto" w:sz="12" w:space="0"/>
            </w:tcBorders>
            <w:vAlign w:val="center"/>
          </w:tcPr>
          <w:p>
            <w:pPr>
              <w:pStyle w:val="20"/>
              <w:spacing w:line="360" w:lineRule="auto"/>
              <w:ind w:left="840"/>
              <w:jc w:val="center"/>
              <w:rPr>
                <w:rFonts w:hAnsi="宋体" w:cs="Courier New"/>
                <w:sz w:val="24"/>
                <w:lang w:val="en-US"/>
              </w:rPr>
            </w:pPr>
          </w:p>
        </w:tc>
        <w:tc>
          <w:tcPr>
            <w:tcW w:w="1311" w:type="dxa"/>
            <w:tcBorders>
              <w:bottom w:val="single" w:color="auto" w:sz="12" w:space="0"/>
            </w:tcBorders>
            <w:vAlign w:val="center"/>
          </w:tcPr>
          <w:p>
            <w:pPr>
              <w:pStyle w:val="20"/>
              <w:spacing w:line="360" w:lineRule="auto"/>
              <w:ind w:left="840"/>
              <w:jc w:val="center"/>
              <w:rPr>
                <w:rFonts w:hAnsi="宋体" w:cs="Courier New"/>
                <w:sz w:val="24"/>
                <w:lang w:val="en-US"/>
              </w:rPr>
            </w:pPr>
          </w:p>
        </w:tc>
        <w:tc>
          <w:tcPr>
            <w:tcW w:w="1417" w:type="dxa"/>
            <w:tcBorders>
              <w:bottom w:val="single" w:color="auto" w:sz="12" w:space="0"/>
            </w:tcBorders>
            <w:vAlign w:val="center"/>
          </w:tcPr>
          <w:p>
            <w:pPr>
              <w:pStyle w:val="20"/>
              <w:spacing w:line="360" w:lineRule="auto"/>
              <w:ind w:left="840"/>
              <w:jc w:val="center"/>
              <w:rPr>
                <w:rFonts w:hAnsi="宋体" w:cs="Courier New"/>
                <w:sz w:val="24"/>
                <w:lang w:val="en-US"/>
              </w:rPr>
            </w:pPr>
          </w:p>
        </w:tc>
        <w:tc>
          <w:tcPr>
            <w:tcW w:w="1276" w:type="dxa"/>
            <w:tcBorders>
              <w:bottom w:val="single" w:color="auto" w:sz="12" w:space="0"/>
            </w:tcBorders>
            <w:vAlign w:val="center"/>
          </w:tcPr>
          <w:p>
            <w:pPr>
              <w:pStyle w:val="20"/>
              <w:spacing w:line="360" w:lineRule="auto"/>
              <w:ind w:left="840"/>
              <w:jc w:val="center"/>
              <w:rPr>
                <w:rFonts w:hAnsi="宋体" w:cs="Courier New"/>
                <w:sz w:val="24"/>
                <w:lang w:val="en-US"/>
              </w:rPr>
            </w:pPr>
          </w:p>
        </w:tc>
      </w:tr>
    </w:tbl>
    <w:p>
      <w:pPr>
        <w:pStyle w:val="20"/>
        <w:spacing w:line="360" w:lineRule="auto"/>
        <w:ind w:left="360" w:hanging="360" w:hangingChars="150"/>
        <w:rPr>
          <w:rFonts w:hAnsi="宋体"/>
          <w:sz w:val="24"/>
        </w:rPr>
      </w:pPr>
      <w:r>
        <w:rPr>
          <w:rFonts w:hAnsi="宋体"/>
          <w:sz w:val="24"/>
        </w:rPr>
        <w:t>1、投标人的技术偏差必须如实填写，并应对偏差情况做出必要说明。投标人应对故意隐瞒技术偏差的行为承担责任。对招标文件有任何偏离应列明“正偏离”或“负偏离”，并标明“其他无偏离”。</w:t>
      </w:r>
    </w:p>
    <w:p>
      <w:pPr>
        <w:pStyle w:val="20"/>
        <w:spacing w:line="360" w:lineRule="auto"/>
        <w:rPr>
          <w:rFonts w:hAnsi="宋体"/>
          <w:sz w:val="24"/>
        </w:rPr>
      </w:pPr>
      <w:r>
        <w:rPr>
          <w:rFonts w:hAnsi="宋体"/>
          <w:sz w:val="24"/>
        </w:rPr>
        <w:t>2、对招标文件无偏离应标明“无偏离”。</w:t>
      </w:r>
    </w:p>
    <w:p>
      <w:pPr>
        <w:pStyle w:val="20"/>
        <w:spacing w:line="360" w:lineRule="auto"/>
        <w:rPr>
          <w:rFonts w:hAnsi="宋体"/>
          <w:sz w:val="24"/>
          <w:lang w:val="en-US"/>
        </w:rPr>
      </w:pPr>
      <w:r>
        <w:rPr>
          <w:rFonts w:hint="eastAsia" w:hAnsi="宋体"/>
          <w:sz w:val="24"/>
          <w:lang w:val="en-US"/>
        </w:rPr>
        <w:t>3、“</w:t>
      </w:r>
      <w:r>
        <w:rPr>
          <w:rFonts w:hint="eastAsia" w:hAnsi="宋体" w:cs="Courier New"/>
          <w:sz w:val="24"/>
          <w:lang w:val="en-US"/>
        </w:rPr>
        <w:t>响应/偏离</w:t>
      </w:r>
      <w:r>
        <w:rPr>
          <w:rFonts w:hint="eastAsia" w:hAnsi="宋体"/>
          <w:sz w:val="24"/>
          <w:lang w:val="en-US"/>
        </w:rPr>
        <w:t>”项未填写视为“负偏离”。</w:t>
      </w:r>
    </w:p>
    <w:p>
      <w:pPr>
        <w:pStyle w:val="20"/>
        <w:tabs>
          <w:tab w:val="left" w:pos="5580"/>
        </w:tabs>
        <w:spacing w:before="120" w:line="360" w:lineRule="auto"/>
        <w:ind w:left="840"/>
        <w:rPr>
          <w:rFonts w:hAnsi="宋体"/>
          <w:sz w:val="24"/>
        </w:rPr>
      </w:pPr>
      <w:r>
        <w:rPr>
          <w:rFonts w:hint="eastAsia" w:hAnsi="宋体"/>
          <w:sz w:val="24"/>
        </w:rPr>
        <w:t>投标人名称（盖章）：</w:t>
      </w:r>
    </w:p>
    <w:p>
      <w:pPr>
        <w:pStyle w:val="20"/>
        <w:tabs>
          <w:tab w:val="left" w:pos="5580"/>
        </w:tabs>
        <w:spacing w:before="120" w:line="360" w:lineRule="auto"/>
        <w:ind w:left="840"/>
        <w:rPr>
          <w:rFonts w:hAnsi="宋体"/>
          <w:sz w:val="24"/>
          <w:u w:val="single"/>
        </w:rPr>
      </w:pPr>
      <w:r>
        <w:rPr>
          <w:rFonts w:hint="eastAsia" w:hAnsi="宋体"/>
          <w:sz w:val="24"/>
        </w:rPr>
        <w:t>授权代表（签字）：</w:t>
      </w:r>
    </w:p>
    <w:p>
      <w:pPr>
        <w:pStyle w:val="20"/>
        <w:tabs>
          <w:tab w:val="left" w:pos="5580"/>
        </w:tabs>
        <w:spacing w:before="120" w:line="360" w:lineRule="auto"/>
        <w:ind w:left="840"/>
        <w:rPr>
          <w:rFonts w:hAnsi="宋体"/>
          <w:sz w:val="18"/>
          <w:szCs w:val="18"/>
        </w:rPr>
      </w:pPr>
      <w:r>
        <w:rPr>
          <w:rFonts w:hint="eastAsia" w:hAnsi="宋体"/>
          <w:sz w:val="24"/>
        </w:rPr>
        <w:t>注：此表格经授权代表签字方有效。</w:t>
      </w:r>
    </w:p>
    <w:p>
      <w:pPr>
        <w:pStyle w:val="4"/>
        <w:tabs>
          <w:tab w:val="left" w:pos="900"/>
        </w:tabs>
        <w:spacing w:line="360" w:lineRule="auto"/>
        <w:jc w:val="center"/>
        <w:rPr>
          <w:rFonts w:hint="default"/>
          <w:sz w:val="24"/>
        </w:rPr>
      </w:pPr>
      <w:bookmarkStart w:id="306" w:name="_Toc310195767"/>
      <w:bookmarkStart w:id="307" w:name="_Toc236642994"/>
      <w:r>
        <w:rPr>
          <w:sz w:val="24"/>
        </w:rPr>
        <w:br w:type="page"/>
      </w:r>
      <w:bookmarkStart w:id="308" w:name="_Toc523911438"/>
      <w:bookmarkStart w:id="309" w:name="_Toc6665585"/>
      <w:r>
        <w:rPr>
          <w:sz w:val="24"/>
        </w:rPr>
        <w:t>6 商务条款偏离表</w:t>
      </w:r>
      <w:bookmarkEnd w:id="306"/>
      <w:bookmarkEnd w:id="308"/>
      <w:bookmarkEnd w:id="309"/>
    </w:p>
    <w:p>
      <w:pPr>
        <w:pStyle w:val="20"/>
        <w:spacing w:line="360" w:lineRule="auto"/>
        <w:ind w:left="840"/>
        <w:rPr>
          <w:rFonts w:hAnsi="宋体"/>
          <w:sz w:val="24"/>
        </w:rPr>
      </w:pPr>
    </w:p>
    <w:p>
      <w:pPr>
        <w:pStyle w:val="20"/>
        <w:spacing w:line="360" w:lineRule="auto"/>
        <w:ind w:left="840"/>
        <w:rPr>
          <w:rFonts w:hAnsi="宋体"/>
          <w:sz w:val="24"/>
        </w:rPr>
      </w:pPr>
      <w:r>
        <w:rPr>
          <w:rFonts w:hint="eastAsia" w:hAnsi="宋体"/>
          <w:sz w:val="24"/>
        </w:rPr>
        <w:t xml:space="preserve">项目名称:____________ 项目代理编号:_____________ </w:t>
      </w:r>
    </w:p>
    <w:tbl>
      <w:tblPr>
        <w:tblStyle w:val="47"/>
        <w:tblW w:w="907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85"/>
        <w:gridCol w:w="2623"/>
        <w:gridCol w:w="2624"/>
        <w:gridCol w:w="9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tcBorders>
              <w:top w:val="single" w:color="auto" w:sz="12" w:space="0"/>
            </w:tcBorders>
            <w:vAlign w:val="center"/>
          </w:tcPr>
          <w:p>
            <w:pPr>
              <w:pStyle w:val="117"/>
              <w:jc w:val="center"/>
              <w:rPr>
                <w:sz w:val="24"/>
              </w:rPr>
            </w:pPr>
            <w:r>
              <w:rPr>
                <w:rFonts w:hint="eastAsia"/>
                <w:sz w:val="24"/>
              </w:rPr>
              <w:t>序号</w:t>
            </w:r>
          </w:p>
        </w:tc>
        <w:tc>
          <w:tcPr>
            <w:tcW w:w="1985" w:type="dxa"/>
            <w:tcBorders>
              <w:top w:val="single" w:color="auto" w:sz="12" w:space="0"/>
            </w:tcBorders>
            <w:vAlign w:val="center"/>
          </w:tcPr>
          <w:p>
            <w:pPr>
              <w:pStyle w:val="117"/>
              <w:jc w:val="center"/>
              <w:rPr>
                <w:sz w:val="24"/>
              </w:rPr>
            </w:pPr>
            <w:r>
              <w:rPr>
                <w:rFonts w:hint="eastAsia"/>
                <w:sz w:val="24"/>
              </w:rPr>
              <w:t>招标文件条目号</w:t>
            </w:r>
          </w:p>
        </w:tc>
        <w:tc>
          <w:tcPr>
            <w:tcW w:w="2623" w:type="dxa"/>
            <w:tcBorders>
              <w:top w:val="single" w:color="auto" w:sz="12" w:space="0"/>
            </w:tcBorders>
            <w:vAlign w:val="center"/>
          </w:tcPr>
          <w:p>
            <w:pPr>
              <w:pStyle w:val="117"/>
              <w:jc w:val="center"/>
              <w:rPr>
                <w:sz w:val="24"/>
              </w:rPr>
            </w:pPr>
            <w:r>
              <w:rPr>
                <w:rFonts w:hint="eastAsia"/>
                <w:sz w:val="24"/>
              </w:rPr>
              <w:t>招标文件商务条款</w:t>
            </w:r>
          </w:p>
        </w:tc>
        <w:tc>
          <w:tcPr>
            <w:tcW w:w="2624" w:type="dxa"/>
            <w:tcBorders>
              <w:top w:val="single" w:color="auto" w:sz="12" w:space="0"/>
            </w:tcBorders>
            <w:vAlign w:val="center"/>
          </w:tcPr>
          <w:p>
            <w:pPr>
              <w:pStyle w:val="117"/>
              <w:jc w:val="center"/>
              <w:rPr>
                <w:sz w:val="24"/>
              </w:rPr>
            </w:pPr>
            <w:r>
              <w:rPr>
                <w:rFonts w:hint="eastAsia"/>
                <w:sz w:val="24"/>
              </w:rPr>
              <w:t>投标文件商务条款</w:t>
            </w:r>
          </w:p>
        </w:tc>
        <w:tc>
          <w:tcPr>
            <w:tcW w:w="992" w:type="dxa"/>
            <w:tcBorders>
              <w:top w:val="single" w:color="auto" w:sz="12" w:space="0"/>
            </w:tcBorders>
            <w:vAlign w:val="center"/>
          </w:tcPr>
          <w:p>
            <w:pPr>
              <w:pStyle w:val="117"/>
              <w:jc w:val="center"/>
              <w:rPr>
                <w:sz w:val="24"/>
              </w:rPr>
            </w:pPr>
            <w:r>
              <w:rPr>
                <w:rFonts w:hint="eastAsia"/>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0"/>
              <w:spacing w:line="360" w:lineRule="auto"/>
              <w:ind w:left="840"/>
              <w:jc w:val="center"/>
              <w:rPr>
                <w:rFonts w:hAnsi="宋体" w:cs="Courier New"/>
                <w:sz w:val="24"/>
                <w:lang w:val="en-US"/>
              </w:rPr>
            </w:pPr>
          </w:p>
        </w:tc>
        <w:tc>
          <w:tcPr>
            <w:tcW w:w="1985" w:type="dxa"/>
            <w:vAlign w:val="center"/>
          </w:tcPr>
          <w:p>
            <w:pPr>
              <w:pStyle w:val="20"/>
              <w:spacing w:line="360" w:lineRule="auto"/>
              <w:ind w:left="840"/>
              <w:jc w:val="center"/>
              <w:rPr>
                <w:rFonts w:hAnsi="宋体" w:cs="Courier New"/>
                <w:sz w:val="24"/>
                <w:lang w:val="en-US"/>
              </w:rPr>
            </w:pPr>
          </w:p>
        </w:tc>
        <w:tc>
          <w:tcPr>
            <w:tcW w:w="2623" w:type="dxa"/>
            <w:vAlign w:val="center"/>
          </w:tcPr>
          <w:p>
            <w:pPr>
              <w:pStyle w:val="20"/>
              <w:spacing w:line="360" w:lineRule="auto"/>
              <w:ind w:left="840"/>
              <w:jc w:val="center"/>
              <w:rPr>
                <w:rFonts w:hAnsi="宋体" w:cs="Courier New"/>
                <w:sz w:val="24"/>
                <w:lang w:val="en-US"/>
              </w:rPr>
            </w:pPr>
          </w:p>
        </w:tc>
        <w:tc>
          <w:tcPr>
            <w:tcW w:w="2624" w:type="dxa"/>
            <w:vAlign w:val="center"/>
          </w:tcPr>
          <w:p>
            <w:pPr>
              <w:pStyle w:val="20"/>
              <w:spacing w:line="360" w:lineRule="auto"/>
              <w:ind w:left="840"/>
              <w:jc w:val="center"/>
              <w:rPr>
                <w:rFonts w:hAnsi="宋体" w:cs="Courier New"/>
                <w:sz w:val="24"/>
                <w:lang w:val="en-US"/>
              </w:rPr>
            </w:pPr>
          </w:p>
        </w:tc>
        <w:tc>
          <w:tcPr>
            <w:tcW w:w="992"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0"/>
              <w:spacing w:line="360" w:lineRule="auto"/>
              <w:ind w:left="840"/>
              <w:jc w:val="center"/>
              <w:rPr>
                <w:rFonts w:hAnsi="宋体" w:cs="Courier New"/>
                <w:sz w:val="24"/>
                <w:lang w:val="en-US"/>
              </w:rPr>
            </w:pPr>
          </w:p>
        </w:tc>
        <w:tc>
          <w:tcPr>
            <w:tcW w:w="1985" w:type="dxa"/>
            <w:vAlign w:val="center"/>
          </w:tcPr>
          <w:p>
            <w:pPr>
              <w:pStyle w:val="20"/>
              <w:spacing w:line="360" w:lineRule="auto"/>
              <w:ind w:left="840"/>
              <w:jc w:val="center"/>
              <w:rPr>
                <w:rFonts w:hAnsi="宋体" w:cs="Courier New"/>
                <w:sz w:val="24"/>
                <w:lang w:val="en-US"/>
              </w:rPr>
            </w:pPr>
          </w:p>
        </w:tc>
        <w:tc>
          <w:tcPr>
            <w:tcW w:w="2623" w:type="dxa"/>
            <w:vAlign w:val="center"/>
          </w:tcPr>
          <w:p>
            <w:pPr>
              <w:pStyle w:val="20"/>
              <w:spacing w:line="360" w:lineRule="auto"/>
              <w:ind w:left="840"/>
              <w:jc w:val="center"/>
              <w:rPr>
                <w:rFonts w:hAnsi="宋体" w:cs="Courier New"/>
                <w:sz w:val="24"/>
                <w:lang w:val="en-US"/>
              </w:rPr>
            </w:pPr>
          </w:p>
        </w:tc>
        <w:tc>
          <w:tcPr>
            <w:tcW w:w="2624" w:type="dxa"/>
            <w:vAlign w:val="center"/>
          </w:tcPr>
          <w:p>
            <w:pPr>
              <w:pStyle w:val="20"/>
              <w:spacing w:line="360" w:lineRule="auto"/>
              <w:ind w:left="840"/>
              <w:jc w:val="center"/>
              <w:rPr>
                <w:rFonts w:hAnsi="宋体" w:cs="Courier New"/>
                <w:sz w:val="24"/>
                <w:lang w:val="en-US"/>
              </w:rPr>
            </w:pPr>
          </w:p>
        </w:tc>
        <w:tc>
          <w:tcPr>
            <w:tcW w:w="992"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0"/>
              <w:spacing w:line="360" w:lineRule="auto"/>
              <w:ind w:left="840"/>
              <w:jc w:val="center"/>
              <w:rPr>
                <w:rFonts w:hAnsi="宋体" w:cs="Courier New"/>
                <w:sz w:val="24"/>
                <w:lang w:val="en-US"/>
              </w:rPr>
            </w:pPr>
          </w:p>
        </w:tc>
        <w:tc>
          <w:tcPr>
            <w:tcW w:w="1985" w:type="dxa"/>
            <w:vAlign w:val="center"/>
          </w:tcPr>
          <w:p>
            <w:pPr>
              <w:pStyle w:val="20"/>
              <w:spacing w:line="360" w:lineRule="auto"/>
              <w:ind w:left="840"/>
              <w:jc w:val="center"/>
              <w:rPr>
                <w:rFonts w:hAnsi="宋体" w:cs="Courier New"/>
                <w:sz w:val="24"/>
                <w:lang w:val="en-US"/>
              </w:rPr>
            </w:pPr>
          </w:p>
        </w:tc>
        <w:tc>
          <w:tcPr>
            <w:tcW w:w="2623" w:type="dxa"/>
            <w:vAlign w:val="center"/>
          </w:tcPr>
          <w:p>
            <w:pPr>
              <w:pStyle w:val="20"/>
              <w:spacing w:line="360" w:lineRule="auto"/>
              <w:ind w:left="840"/>
              <w:jc w:val="center"/>
              <w:rPr>
                <w:rFonts w:hAnsi="宋体" w:cs="Courier New"/>
                <w:sz w:val="24"/>
                <w:lang w:val="en-US"/>
              </w:rPr>
            </w:pPr>
          </w:p>
        </w:tc>
        <w:tc>
          <w:tcPr>
            <w:tcW w:w="2624" w:type="dxa"/>
            <w:vAlign w:val="center"/>
          </w:tcPr>
          <w:p>
            <w:pPr>
              <w:pStyle w:val="20"/>
              <w:spacing w:line="360" w:lineRule="auto"/>
              <w:ind w:left="840"/>
              <w:jc w:val="center"/>
              <w:rPr>
                <w:rFonts w:hAnsi="宋体" w:cs="Courier New"/>
                <w:sz w:val="24"/>
                <w:lang w:val="en-US"/>
              </w:rPr>
            </w:pPr>
          </w:p>
        </w:tc>
        <w:tc>
          <w:tcPr>
            <w:tcW w:w="992"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0"/>
              <w:spacing w:line="360" w:lineRule="auto"/>
              <w:ind w:left="840"/>
              <w:jc w:val="center"/>
              <w:rPr>
                <w:rFonts w:hAnsi="宋体" w:cs="Courier New"/>
                <w:sz w:val="24"/>
                <w:lang w:val="en-US"/>
              </w:rPr>
            </w:pPr>
          </w:p>
        </w:tc>
        <w:tc>
          <w:tcPr>
            <w:tcW w:w="1985" w:type="dxa"/>
            <w:vAlign w:val="center"/>
          </w:tcPr>
          <w:p>
            <w:pPr>
              <w:pStyle w:val="20"/>
              <w:spacing w:line="360" w:lineRule="auto"/>
              <w:ind w:left="840"/>
              <w:jc w:val="center"/>
              <w:rPr>
                <w:rFonts w:hAnsi="宋体" w:cs="Courier New"/>
                <w:sz w:val="24"/>
                <w:lang w:val="en-US"/>
              </w:rPr>
            </w:pPr>
          </w:p>
        </w:tc>
        <w:tc>
          <w:tcPr>
            <w:tcW w:w="2623" w:type="dxa"/>
            <w:vAlign w:val="center"/>
          </w:tcPr>
          <w:p>
            <w:pPr>
              <w:pStyle w:val="20"/>
              <w:spacing w:line="360" w:lineRule="auto"/>
              <w:ind w:left="840"/>
              <w:jc w:val="center"/>
              <w:rPr>
                <w:rFonts w:hAnsi="宋体" w:cs="Courier New"/>
                <w:sz w:val="24"/>
                <w:lang w:val="en-US"/>
              </w:rPr>
            </w:pPr>
          </w:p>
        </w:tc>
        <w:tc>
          <w:tcPr>
            <w:tcW w:w="2624" w:type="dxa"/>
            <w:vAlign w:val="center"/>
          </w:tcPr>
          <w:p>
            <w:pPr>
              <w:pStyle w:val="20"/>
              <w:spacing w:line="360" w:lineRule="auto"/>
              <w:ind w:left="840"/>
              <w:jc w:val="center"/>
              <w:rPr>
                <w:rFonts w:hAnsi="宋体" w:cs="Courier New"/>
                <w:sz w:val="24"/>
                <w:lang w:val="en-US"/>
              </w:rPr>
            </w:pPr>
          </w:p>
        </w:tc>
        <w:tc>
          <w:tcPr>
            <w:tcW w:w="992"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0"/>
              <w:spacing w:line="360" w:lineRule="auto"/>
              <w:ind w:left="840"/>
              <w:jc w:val="center"/>
              <w:rPr>
                <w:rFonts w:hAnsi="宋体" w:cs="Courier New"/>
                <w:sz w:val="24"/>
                <w:lang w:val="en-US"/>
              </w:rPr>
            </w:pPr>
          </w:p>
        </w:tc>
        <w:tc>
          <w:tcPr>
            <w:tcW w:w="1985" w:type="dxa"/>
            <w:vAlign w:val="center"/>
          </w:tcPr>
          <w:p>
            <w:pPr>
              <w:pStyle w:val="20"/>
              <w:spacing w:line="360" w:lineRule="auto"/>
              <w:ind w:left="840"/>
              <w:jc w:val="center"/>
              <w:rPr>
                <w:rFonts w:hAnsi="宋体" w:cs="Courier New"/>
                <w:sz w:val="24"/>
                <w:lang w:val="en-US"/>
              </w:rPr>
            </w:pPr>
          </w:p>
        </w:tc>
        <w:tc>
          <w:tcPr>
            <w:tcW w:w="2623" w:type="dxa"/>
            <w:vAlign w:val="center"/>
          </w:tcPr>
          <w:p>
            <w:pPr>
              <w:pStyle w:val="20"/>
              <w:spacing w:line="360" w:lineRule="auto"/>
              <w:ind w:left="840"/>
              <w:jc w:val="center"/>
              <w:rPr>
                <w:rFonts w:hAnsi="宋体" w:cs="Courier New"/>
                <w:sz w:val="24"/>
                <w:lang w:val="en-US"/>
              </w:rPr>
            </w:pPr>
          </w:p>
        </w:tc>
        <w:tc>
          <w:tcPr>
            <w:tcW w:w="2624" w:type="dxa"/>
            <w:vAlign w:val="center"/>
          </w:tcPr>
          <w:p>
            <w:pPr>
              <w:pStyle w:val="20"/>
              <w:spacing w:line="360" w:lineRule="auto"/>
              <w:ind w:left="840"/>
              <w:jc w:val="center"/>
              <w:rPr>
                <w:rFonts w:hAnsi="宋体" w:cs="Courier New"/>
                <w:sz w:val="24"/>
                <w:lang w:val="en-US"/>
              </w:rPr>
            </w:pPr>
          </w:p>
        </w:tc>
        <w:tc>
          <w:tcPr>
            <w:tcW w:w="992"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0"/>
              <w:spacing w:line="360" w:lineRule="auto"/>
              <w:ind w:left="840"/>
              <w:jc w:val="center"/>
              <w:rPr>
                <w:rFonts w:hAnsi="宋体" w:cs="Courier New"/>
                <w:sz w:val="24"/>
                <w:lang w:val="en-US"/>
              </w:rPr>
            </w:pPr>
          </w:p>
        </w:tc>
        <w:tc>
          <w:tcPr>
            <w:tcW w:w="1985" w:type="dxa"/>
            <w:vAlign w:val="center"/>
          </w:tcPr>
          <w:p>
            <w:pPr>
              <w:pStyle w:val="20"/>
              <w:spacing w:line="360" w:lineRule="auto"/>
              <w:ind w:left="840"/>
              <w:jc w:val="center"/>
              <w:rPr>
                <w:rFonts w:hAnsi="宋体" w:cs="Courier New"/>
                <w:sz w:val="24"/>
                <w:lang w:val="en-US"/>
              </w:rPr>
            </w:pPr>
          </w:p>
        </w:tc>
        <w:tc>
          <w:tcPr>
            <w:tcW w:w="2623" w:type="dxa"/>
            <w:vAlign w:val="center"/>
          </w:tcPr>
          <w:p>
            <w:pPr>
              <w:pStyle w:val="20"/>
              <w:spacing w:line="360" w:lineRule="auto"/>
              <w:ind w:left="840"/>
              <w:jc w:val="center"/>
              <w:rPr>
                <w:rFonts w:hAnsi="宋体" w:cs="Courier New"/>
                <w:sz w:val="24"/>
                <w:lang w:val="en-US"/>
              </w:rPr>
            </w:pPr>
          </w:p>
        </w:tc>
        <w:tc>
          <w:tcPr>
            <w:tcW w:w="2624" w:type="dxa"/>
            <w:vAlign w:val="center"/>
          </w:tcPr>
          <w:p>
            <w:pPr>
              <w:pStyle w:val="20"/>
              <w:spacing w:line="360" w:lineRule="auto"/>
              <w:ind w:left="840"/>
              <w:jc w:val="center"/>
              <w:rPr>
                <w:rFonts w:hAnsi="宋体" w:cs="Courier New"/>
                <w:sz w:val="24"/>
                <w:lang w:val="en-US"/>
              </w:rPr>
            </w:pPr>
          </w:p>
        </w:tc>
        <w:tc>
          <w:tcPr>
            <w:tcW w:w="992"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0"/>
              <w:spacing w:line="360" w:lineRule="auto"/>
              <w:ind w:left="840"/>
              <w:jc w:val="center"/>
              <w:rPr>
                <w:rFonts w:hAnsi="宋体" w:cs="Courier New"/>
                <w:sz w:val="24"/>
                <w:lang w:val="en-US"/>
              </w:rPr>
            </w:pPr>
          </w:p>
        </w:tc>
        <w:tc>
          <w:tcPr>
            <w:tcW w:w="1985" w:type="dxa"/>
            <w:vAlign w:val="center"/>
          </w:tcPr>
          <w:p>
            <w:pPr>
              <w:pStyle w:val="20"/>
              <w:spacing w:line="360" w:lineRule="auto"/>
              <w:ind w:left="840"/>
              <w:jc w:val="center"/>
              <w:rPr>
                <w:rFonts w:hAnsi="宋体" w:cs="Courier New"/>
                <w:sz w:val="24"/>
                <w:lang w:val="en-US"/>
              </w:rPr>
            </w:pPr>
          </w:p>
        </w:tc>
        <w:tc>
          <w:tcPr>
            <w:tcW w:w="2623" w:type="dxa"/>
            <w:vAlign w:val="center"/>
          </w:tcPr>
          <w:p>
            <w:pPr>
              <w:pStyle w:val="20"/>
              <w:spacing w:line="360" w:lineRule="auto"/>
              <w:ind w:left="840"/>
              <w:jc w:val="center"/>
              <w:rPr>
                <w:rFonts w:hAnsi="宋体" w:cs="Courier New"/>
                <w:sz w:val="24"/>
                <w:lang w:val="en-US"/>
              </w:rPr>
            </w:pPr>
          </w:p>
        </w:tc>
        <w:tc>
          <w:tcPr>
            <w:tcW w:w="2624" w:type="dxa"/>
            <w:vAlign w:val="center"/>
          </w:tcPr>
          <w:p>
            <w:pPr>
              <w:pStyle w:val="20"/>
              <w:spacing w:line="360" w:lineRule="auto"/>
              <w:ind w:left="840"/>
              <w:jc w:val="center"/>
              <w:rPr>
                <w:rFonts w:hAnsi="宋体" w:cs="Courier New"/>
                <w:sz w:val="24"/>
                <w:lang w:val="en-US"/>
              </w:rPr>
            </w:pPr>
          </w:p>
        </w:tc>
        <w:tc>
          <w:tcPr>
            <w:tcW w:w="992"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0"/>
              <w:spacing w:line="360" w:lineRule="auto"/>
              <w:ind w:left="840"/>
              <w:jc w:val="center"/>
              <w:rPr>
                <w:rFonts w:hAnsi="宋体" w:cs="Courier New"/>
                <w:sz w:val="24"/>
                <w:lang w:val="en-US"/>
              </w:rPr>
            </w:pPr>
          </w:p>
        </w:tc>
        <w:tc>
          <w:tcPr>
            <w:tcW w:w="1985" w:type="dxa"/>
            <w:vAlign w:val="center"/>
          </w:tcPr>
          <w:p>
            <w:pPr>
              <w:pStyle w:val="20"/>
              <w:spacing w:line="360" w:lineRule="auto"/>
              <w:ind w:left="840"/>
              <w:jc w:val="center"/>
              <w:rPr>
                <w:rFonts w:hAnsi="宋体" w:cs="Courier New"/>
                <w:sz w:val="24"/>
                <w:lang w:val="en-US"/>
              </w:rPr>
            </w:pPr>
          </w:p>
        </w:tc>
        <w:tc>
          <w:tcPr>
            <w:tcW w:w="2623" w:type="dxa"/>
            <w:vAlign w:val="center"/>
          </w:tcPr>
          <w:p>
            <w:pPr>
              <w:pStyle w:val="20"/>
              <w:spacing w:line="360" w:lineRule="auto"/>
              <w:ind w:left="840"/>
              <w:jc w:val="center"/>
              <w:rPr>
                <w:rFonts w:hAnsi="宋体" w:cs="Courier New"/>
                <w:sz w:val="24"/>
                <w:lang w:val="en-US"/>
              </w:rPr>
            </w:pPr>
          </w:p>
        </w:tc>
        <w:tc>
          <w:tcPr>
            <w:tcW w:w="2624" w:type="dxa"/>
            <w:vAlign w:val="center"/>
          </w:tcPr>
          <w:p>
            <w:pPr>
              <w:pStyle w:val="20"/>
              <w:spacing w:line="360" w:lineRule="auto"/>
              <w:ind w:left="840"/>
              <w:jc w:val="center"/>
              <w:rPr>
                <w:rFonts w:hAnsi="宋体" w:cs="Courier New"/>
                <w:sz w:val="24"/>
                <w:lang w:val="en-US"/>
              </w:rPr>
            </w:pPr>
          </w:p>
        </w:tc>
        <w:tc>
          <w:tcPr>
            <w:tcW w:w="992"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0"/>
              <w:spacing w:line="360" w:lineRule="auto"/>
              <w:ind w:left="840"/>
              <w:jc w:val="center"/>
              <w:rPr>
                <w:rFonts w:hAnsi="宋体" w:cs="Courier New"/>
                <w:sz w:val="24"/>
                <w:lang w:val="en-US"/>
              </w:rPr>
            </w:pPr>
          </w:p>
        </w:tc>
        <w:tc>
          <w:tcPr>
            <w:tcW w:w="1985" w:type="dxa"/>
            <w:vAlign w:val="center"/>
          </w:tcPr>
          <w:p>
            <w:pPr>
              <w:pStyle w:val="20"/>
              <w:spacing w:line="360" w:lineRule="auto"/>
              <w:ind w:left="840"/>
              <w:jc w:val="center"/>
              <w:rPr>
                <w:rFonts w:hAnsi="宋体" w:cs="Courier New"/>
                <w:sz w:val="24"/>
                <w:lang w:val="en-US"/>
              </w:rPr>
            </w:pPr>
          </w:p>
        </w:tc>
        <w:tc>
          <w:tcPr>
            <w:tcW w:w="2623" w:type="dxa"/>
            <w:vAlign w:val="center"/>
          </w:tcPr>
          <w:p>
            <w:pPr>
              <w:pStyle w:val="20"/>
              <w:spacing w:line="360" w:lineRule="auto"/>
              <w:ind w:left="840"/>
              <w:jc w:val="center"/>
              <w:rPr>
                <w:rFonts w:hAnsi="宋体" w:cs="Courier New"/>
                <w:sz w:val="24"/>
                <w:lang w:val="en-US"/>
              </w:rPr>
            </w:pPr>
          </w:p>
        </w:tc>
        <w:tc>
          <w:tcPr>
            <w:tcW w:w="2624" w:type="dxa"/>
            <w:vAlign w:val="center"/>
          </w:tcPr>
          <w:p>
            <w:pPr>
              <w:pStyle w:val="20"/>
              <w:spacing w:line="360" w:lineRule="auto"/>
              <w:ind w:left="840"/>
              <w:jc w:val="center"/>
              <w:rPr>
                <w:rFonts w:hAnsi="宋体" w:cs="Courier New"/>
                <w:sz w:val="24"/>
                <w:lang w:val="en-US"/>
              </w:rPr>
            </w:pPr>
          </w:p>
        </w:tc>
        <w:tc>
          <w:tcPr>
            <w:tcW w:w="992"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0"/>
              <w:spacing w:line="360" w:lineRule="auto"/>
              <w:ind w:left="840"/>
              <w:jc w:val="center"/>
              <w:rPr>
                <w:rFonts w:hAnsi="宋体" w:cs="Courier New"/>
                <w:sz w:val="24"/>
                <w:lang w:val="en-US"/>
              </w:rPr>
            </w:pPr>
          </w:p>
        </w:tc>
        <w:tc>
          <w:tcPr>
            <w:tcW w:w="1985" w:type="dxa"/>
            <w:vAlign w:val="center"/>
          </w:tcPr>
          <w:p>
            <w:pPr>
              <w:pStyle w:val="20"/>
              <w:spacing w:line="360" w:lineRule="auto"/>
              <w:ind w:left="840"/>
              <w:jc w:val="center"/>
              <w:rPr>
                <w:rFonts w:hAnsi="宋体" w:cs="Courier New"/>
                <w:sz w:val="24"/>
                <w:lang w:val="en-US"/>
              </w:rPr>
            </w:pPr>
          </w:p>
        </w:tc>
        <w:tc>
          <w:tcPr>
            <w:tcW w:w="2623" w:type="dxa"/>
            <w:vAlign w:val="center"/>
          </w:tcPr>
          <w:p>
            <w:pPr>
              <w:pStyle w:val="20"/>
              <w:spacing w:line="360" w:lineRule="auto"/>
              <w:ind w:left="840"/>
              <w:jc w:val="center"/>
              <w:rPr>
                <w:rFonts w:hAnsi="宋体" w:cs="Courier New"/>
                <w:sz w:val="24"/>
                <w:lang w:val="en-US"/>
              </w:rPr>
            </w:pPr>
          </w:p>
        </w:tc>
        <w:tc>
          <w:tcPr>
            <w:tcW w:w="2624" w:type="dxa"/>
            <w:vAlign w:val="center"/>
          </w:tcPr>
          <w:p>
            <w:pPr>
              <w:pStyle w:val="20"/>
              <w:spacing w:line="360" w:lineRule="auto"/>
              <w:ind w:left="840"/>
              <w:jc w:val="center"/>
              <w:rPr>
                <w:rFonts w:hAnsi="宋体" w:cs="Courier New"/>
                <w:sz w:val="24"/>
                <w:lang w:val="en-US"/>
              </w:rPr>
            </w:pPr>
          </w:p>
        </w:tc>
        <w:tc>
          <w:tcPr>
            <w:tcW w:w="992"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0"/>
              <w:spacing w:line="360" w:lineRule="auto"/>
              <w:ind w:left="840"/>
              <w:jc w:val="center"/>
              <w:rPr>
                <w:rFonts w:hAnsi="宋体" w:cs="Courier New"/>
                <w:sz w:val="24"/>
                <w:lang w:val="en-US"/>
              </w:rPr>
            </w:pPr>
          </w:p>
        </w:tc>
        <w:tc>
          <w:tcPr>
            <w:tcW w:w="1985" w:type="dxa"/>
            <w:vAlign w:val="center"/>
          </w:tcPr>
          <w:p>
            <w:pPr>
              <w:pStyle w:val="20"/>
              <w:spacing w:line="360" w:lineRule="auto"/>
              <w:ind w:left="840"/>
              <w:jc w:val="center"/>
              <w:rPr>
                <w:rFonts w:hAnsi="宋体" w:cs="Courier New"/>
                <w:sz w:val="24"/>
                <w:lang w:val="en-US"/>
              </w:rPr>
            </w:pPr>
          </w:p>
        </w:tc>
        <w:tc>
          <w:tcPr>
            <w:tcW w:w="2623" w:type="dxa"/>
            <w:vAlign w:val="center"/>
          </w:tcPr>
          <w:p>
            <w:pPr>
              <w:pStyle w:val="20"/>
              <w:spacing w:line="360" w:lineRule="auto"/>
              <w:ind w:left="840"/>
              <w:jc w:val="center"/>
              <w:rPr>
                <w:rFonts w:hAnsi="宋体" w:cs="Courier New"/>
                <w:sz w:val="24"/>
                <w:lang w:val="en-US"/>
              </w:rPr>
            </w:pPr>
          </w:p>
        </w:tc>
        <w:tc>
          <w:tcPr>
            <w:tcW w:w="2624" w:type="dxa"/>
            <w:vAlign w:val="center"/>
          </w:tcPr>
          <w:p>
            <w:pPr>
              <w:pStyle w:val="20"/>
              <w:spacing w:line="360" w:lineRule="auto"/>
              <w:ind w:left="840"/>
              <w:jc w:val="center"/>
              <w:rPr>
                <w:rFonts w:hAnsi="宋体" w:cs="Courier New"/>
                <w:sz w:val="24"/>
                <w:lang w:val="en-US"/>
              </w:rPr>
            </w:pPr>
          </w:p>
        </w:tc>
        <w:tc>
          <w:tcPr>
            <w:tcW w:w="992"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0"/>
              <w:spacing w:line="360" w:lineRule="auto"/>
              <w:ind w:left="840"/>
              <w:jc w:val="center"/>
              <w:rPr>
                <w:rFonts w:hAnsi="宋体" w:cs="Courier New"/>
                <w:sz w:val="24"/>
                <w:lang w:val="en-US"/>
              </w:rPr>
            </w:pPr>
          </w:p>
        </w:tc>
        <w:tc>
          <w:tcPr>
            <w:tcW w:w="1985" w:type="dxa"/>
            <w:vAlign w:val="center"/>
          </w:tcPr>
          <w:p>
            <w:pPr>
              <w:pStyle w:val="20"/>
              <w:spacing w:line="360" w:lineRule="auto"/>
              <w:ind w:left="840"/>
              <w:jc w:val="center"/>
              <w:rPr>
                <w:rFonts w:hAnsi="宋体" w:cs="Courier New"/>
                <w:sz w:val="24"/>
                <w:lang w:val="en-US"/>
              </w:rPr>
            </w:pPr>
          </w:p>
        </w:tc>
        <w:tc>
          <w:tcPr>
            <w:tcW w:w="2623" w:type="dxa"/>
            <w:vAlign w:val="center"/>
          </w:tcPr>
          <w:p>
            <w:pPr>
              <w:pStyle w:val="20"/>
              <w:spacing w:line="360" w:lineRule="auto"/>
              <w:ind w:left="840"/>
              <w:jc w:val="center"/>
              <w:rPr>
                <w:rFonts w:hAnsi="宋体" w:cs="Courier New"/>
                <w:sz w:val="24"/>
                <w:lang w:val="en-US"/>
              </w:rPr>
            </w:pPr>
          </w:p>
        </w:tc>
        <w:tc>
          <w:tcPr>
            <w:tcW w:w="2624" w:type="dxa"/>
            <w:vAlign w:val="center"/>
          </w:tcPr>
          <w:p>
            <w:pPr>
              <w:pStyle w:val="20"/>
              <w:spacing w:line="360" w:lineRule="auto"/>
              <w:ind w:left="840"/>
              <w:jc w:val="center"/>
              <w:rPr>
                <w:rFonts w:hAnsi="宋体" w:cs="Courier New"/>
                <w:sz w:val="24"/>
                <w:lang w:val="en-US"/>
              </w:rPr>
            </w:pPr>
          </w:p>
        </w:tc>
        <w:tc>
          <w:tcPr>
            <w:tcW w:w="992"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0"/>
              <w:spacing w:line="360" w:lineRule="auto"/>
              <w:ind w:left="840"/>
              <w:jc w:val="center"/>
              <w:rPr>
                <w:rFonts w:hAnsi="宋体" w:cs="Courier New"/>
                <w:sz w:val="24"/>
                <w:lang w:val="en-US"/>
              </w:rPr>
            </w:pPr>
          </w:p>
        </w:tc>
        <w:tc>
          <w:tcPr>
            <w:tcW w:w="1985" w:type="dxa"/>
            <w:vAlign w:val="center"/>
          </w:tcPr>
          <w:p>
            <w:pPr>
              <w:pStyle w:val="20"/>
              <w:spacing w:line="360" w:lineRule="auto"/>
              <w:ind w:left="840"/>
              <w:jc w:val="center"/>
              <w:rPr>
                <w:rFonts w:hAnsi="宋体" w:cs="Courier New"/>
                <w:sz w:val="24"/>
                <w:lang w:val="en-US"/>
              </w:rPr>
            </w:pPr>
          </w:p>
        </w:tc>
        <w:tc>
          <w:tcPr>
            <w:tcW w:w="2623" w:type="dxa"/>
            <w:vAlign w:val="center"/>
          </w:tcPr>
          <w:p>
            <w:pPr>
              <w:pStyle w:val="20"/>
              <w:spacing w:line="360" w:lineRule="auto"/>
              <w:ind w:left="840"/>
              <w:jc w:val="center"/>
              <w:rPr>
                <w:rFonts w:hAnsi="宋体" w:cs="Courier New"/>
                <w:sz w:val="24"/>
                <w:lang w:val="en-US"/>
              </w:rPr>
            </w:pPr>
          </w:p>
        </w:tc>
        <w:tc>
          <w:tcPr>
            <w:tcW w:w="2624" w:type="dxa"/>
            <w:vAlign w:val="center"/>
          </w:tcPr>
          <w:p>
            <w:pPr>
              <w:pStyle w:val="20"/>
              <w:spacing w:line="360" w:lineRule="auto"/>
              <w:ind w:left="840"/>
              <w:jc w:val="center"/>
              <w:rPr>
                <w:rFonts w:hAnsi="宋体" w:cs="Courier New"/>
                <w:sz w:val="24"/>
                <w:lang w:val="en-US"/>
              </w:rPr>
            </w:pPr>
          </w:p>
        </w:tc>
        <w:tc>
          <w:tcPr>
            <w:tcW w:w="992" w:type="dxa"/>
            <w:vAlign w:val="center"/>
          </w:tcPr>
          <w:p>
            <w:pPr>
              <w:pStyle w:val="20"/>
              <w:spacing w:line="360" w:lineRule="auto"/>
              <w:ind w:left="840"/>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tcBorders>
              <w:bottom w:val="single" w:color="auto" w:sz="12" w:space="0"/>
            </w:tcBorders>
            <w:vAlign w:val="center"/>
          </w:tcPr>
          <w:p>
            <w:pPr>
              <w:pStyle w:val="20"/>
              <w:spacing w:line="360" w:lineRule="auto"/>
              <w:ind w:left="840"/>
              <w:jc w:val="center"/>
              <w:rPr>
                <w:rFonts w:hAnsi="宋体" w:cs="Courier New"/>
                <w:sz w:val="24"/>
                <w:lang w:val="en-US"/>
              </w:rPr>
            </w:pPr>
          </w:p>
        </w:tc>
        <w:tc>
          <w:tcPr>
            <w:tcW w:w="1985" w:type="dxa"/>
            <w:tcBorders>
              <w:bottom w:val="single" w:color="auto" w:sz="12" w:space="0"/>
            </w:tcBorders>
            <w:vAlign w:val="center"/>
          </w:tcPr>
          <w:p>
            <w:pPr>
              <w:pStyle w:val="20"/>
              <w:spacing w:line="360" w:lineRule="auto"/>
              <w:ind w:left="840"/>
              <w:jc w:val="center"/>
              <w:rPr>
                <w:rFonts w:hAnsi="宋体" w:cs="Courier New"/>
                <w:sz w:val="24"/>
                <w:lang w:val="en-US"/>
              </w:rPr>
            </w:pPr>
          </w:p>
        </w:tc>
        <w:tc>
          <w:tcPr>
            <w:tcW w:w="2623" w:type="dxa"/>
            <w:tcBorders>
              <w:bottom w:val="single" w:color="auto" w:sz="12" w:space="0"/>
            </w:tcBorders>
            <w:vAlign w:val="center"/>
          </w:tcPr>
          <w:p>
            <w:pPr>
              <w:pStyle w:val="20"/>
              <w:spacing w:line="360" w:lineRule="auto"/>
              <w:ind w:left="840"/>
              <w:jc w:val="center"/>
              <w:rPr>
                <w:rFonts w:hAnsi="宋体" w:cs="Courier New"/>
                <w:sz w:val="24"/>
                <w:lang w:val="en-US"/>
              </w:rPr>
            </w:pPr>
          </w:p>
        </w:tc>
        <w:tc>
          <w:tcPr>
            <w:tcW w:w="2624" w:type="dxa"/>
            <w:tcBorders>
              <w:bottom w:val="single" w:color="auto" w:sz="12" w:space="0"/>
            </w:tcBorders>
            <w:vAlign w:val="center"/>
          </w:tcPr>
          <w:p>
            <w:pPr>
              <w:pStyle w:val="20"/>
              <w:spacing w:line="360" w:lineRule="auto"/>
              <w:ind w:left="840"/>
              <w:jc w:val="center"/>
              <w:rPr>
                <w:rFonts w:hAnsi="宋体" w:cs="Courier New"/>
                <w:sz w:val="24"/>
                <w:lang w:val="en-US"/>
              </w:rPr>
            </w:pPr>
          </w:p>
        </w:tc>
        <w:tc>
          <w:tcPr>
            <w:tcW w:w="992" w:type="dxa"/>
            <w:tcBorders>
              <w:bottom w:val="single" w:color="auto" w:sz="12" w:space="0"/>
            </w:tcBorders>
            <w:vAlign w:val="center"/>
          </w:tcPr>
          <w:p>
            <w:pPr>
              <w:pStyle w:val="20"/>
              <w:spacing w:line="360" w:lineRule="auto"/>
              <w:ind w:left="840"/>
              <w:jc w:val="center"/>
              <w:rPr>
                <w:rFonts w:hAnsi="宋体" w:cs="Courier New"/>
                <w:sz w:val="24"/>
                <w:lang w:val="en-US"/>
              </w:rPr>
            </w:pPr>
          </w:p>
        </w:tc>
      </w:tr>
    </w:tbl>
    <w:p>
      <w:pPr>
        <w:pStyle w:val="20"/>
        <w:spacing w:line="360" w:lineRule="auto"/>
        <w:ind w:left="840"/>
        <w:rPr>
          <w:rFonts w:hAnsi="宋体"/>
          <w:sz w:val="24"/>
        </w:rPr>
      </w:pPr>
      <w:r>
        <w:rPr>
          <w:rFonts w:hAnsi="宋体"/>
          <w:sz w:val="24"/>
        </w:rPr>
        <w:t> 注：投标人如果对包括质保</w:t>
      </w:r>
      <w:r>
        <w:rPr>
          <w:rFonts w:hint="eastAsia" w:hAnsi="宋体"/>
          <w:sz w:val="24"/>
        </w:rPr>
        <w:t>、</w:t>
      </w:r>
      <w:r>
        <w:rPr>
          <w:rFonts w:hint="eastAsia" w:hAnsi="宋体"/>
          <w:sz w:val="24"/>
          <w:lang w:val="en-US"/>
        </w:rPr>
        <w:t>售后、维修等</w:t>
      </w:r>
      <w:r>
        <w:rPr>
          <w:rFonts w:hAnsi="宋体"/>
          <w:sz w:val="24"/>
        </w:rPr>
        <w:t>在内的商务条款的响应有任何偏离，请在本表中详细填写；如对商务条款没有偏离，请注明“无偏离”</w:t>
      </w:r>
      <w:r>
        <w:rPr>
          <w:rFonts w:hint="eastAsia" w:hAnsi="宋体"/>
          <w:sz w:val="24"/>
        </w:rPr>
        <w:t>，</w:t>
      </w:r>
      <w:r>
        <w:rPr>
          <w:rFonts w:hint="eastAsia" w:hAnsi="宋体"/>
          <w:sz w:val="24"/>
          <w:lang w:val="en-US"/>
        </w:rPr>
        <w:t>未注明视为“负偏离”</w:t>
      </w:r>
      <w:r>
        <w:rPr>
          <w:rFonts w:hAnsi="宋体"/>
          <w:sz w:val="24"/>
        </w:rPr>
        <w:t>。</w:t>
      </w:r>
    </w:p>
    <w:p>
      <w:pPr>
        <w:pStyle w:val="20"/>
        <w:spacing w:line="360" w:lineRule="auto"/>
        <w:ind w:left="840"/>
        <w:rPr>
          <w:rFonts w:hAnsi="宋体"/>
          <w:sz w:val="24"/>
        </w:rPr>
      </w:pPr>
    </w:p>
    <w:p>
      <w:pPr>
        <w:pStyle w:val="20"/>
        <w:tabs>
          <w:tab w:val="left" w:pos="5580"/>
        </w:tabs>
        <w:spacing w:before="120" w:line="360" w:lineRule="auto"/>
        <w:ind w:left="840"/>
        <w:rPr>
          <w:rFonts w:hAnsi="宋体"/>
          <w:sz w:val="24"/>
        </w:rPr>
      </w:pPr>
      <w:r>
        <w:rPr>
          <w:rFonts w:hint="eastAsia" w:hAnsi="宋体"/>
          <w:sz w:val="24"/>
        </w:rPr>
        <w:t>投标人名称（盖章）：</w:t>
      </w:r>
    </w:p>
    <w:p>
      <w:pPr>
        <w:pStyle w:val="20"/>
        <w:tabs>
          <w:tab w:val="left" w:pos="5580"/>
        </w:tabs>
        <w:spacing w:before="120" w:line="360" w:lineRule="auto"/>
        <w:ind w:left="840"/>
        <w:rPr>
          <w:rFonts w:hAnsi="宋体"/>
          <w:sz w:val="24"/>
          <w:u w:val="single"/>
        </w:rPr>
      </w:pPr>
      <w:r>
        <w:rPr>
          <w:rFonts w:hint="eastAsia" w:hAnsi="宋体"/>
          <w:sz w:val="24"/>
        </w:rPr>
        <w:t>授权代表（签字）：</w:t>
      </w:r>
    </w:p>
    <w:p>
      <w:pPr>
        <w:pStyle w:val="20"/>
        <w:tabs>
          <w:tab w:val="left" w:pos="5580"/>
        </w:tabs>
        <w:spacing w:before="120" w:line="360" w:lineRule="auto"/>
        <w:ind w:left="840"/>
        <w:rPr>
          <w:rFonts w:hAnsi="宋体"/>
          <w:sz w:val="24"/>
        </w:rPr>
      </w:pPr>
      <w:r>
        <w:rPr>
          <w:rFonts w:hint="eastAsia" w:hAnsi="宋体"/>
          <w:sz w:val="24"/>
        </w:rPr>
        <w:t>注：此表格经授权代表签字方有效。</w:t>
      </w:r>
    </w:p>
    <w:bookmarkEnd w:id="307"/>
    <w:p>
      <w:pPr>
        <w:spacing w:line="360" w:lineRule="auto"/>
        <w:rPr>
          <w:rFonts w:ascii="宋体" w:hAnsi="宋体"/>
          <w:sz w:val="24"/>
        </w:rPr>
      </w:pPr>
      <w:bookmarkStart w:id="310" w:name="_Toc236642997"/>
    </w:p>
    <w:p>
      <w:pPr>
        <w:pStyle w:val="4"/>
        <w:tabs>
          <w:tab w:val="left" w:pos="900"/>
        </w:tabs>
        <w:spacing w:line="360" w:lineRule="auto"/>
        <w:jc w:val="center"/>
        <w:rPr>
          <w:rFonts w:hint="default"/>
          <w:sz w:val="28"/>
          <w:szCs w:val="28"/>
        </w:rPr>
      </w:pPr>
      <w:bookmarkStart w:id="311" w:name="_Toc310195769"/>
      <w:bookmarkStart w:id="312" w:name="_Toc523911439"/>
      <w:bookmarkStart w:id="313" w:name="_Toc6665586"/>
      <w:r>
        <w:rPr>
          <w:sz w:val="24"/>
        </w:rPr>
        <w:t>7 业绩案例一览表</w:t>
      </w:r>
      <w:bookmarkEnd w:id="311"/>
      <w:bookmarkEnd w:id="312"/>
      <w:bookmarkEnd w:id="313"/>
    </w:p>
    <w:tbl>
      <w:tblPr>
        <w:tblStyle w:val="47"/>
        <w:tblW w:w="9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80"/>
        <w:gridCol w:w="1260"/>
        <w:gridCol w:w="1260"/>
        <w:gridCol w:w="1440"/>
        <w:gridCol w:w="177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852" w:type="dxa"/>
            <w:vAlign w:val="center"/>
          </w:tcPr>
          <w:p>
            <w:pPr>
              <w:spacing w:line="360" w:lineRule="auto"/>
              <w:rPr>
                <w:rFonts w:ascii="宋体" w:hAnsi="宋体"/>
                <w:b/>
                <w:sz w:val="24"/>
              </w:rPr>
            </w:pPr>
            <w:r>
              <w:rPr>
                <w:rFonts w:hint="eastAsia" w:ascii="宋体" w:hAnsi="宋体"/>
                <w:b/>
                <w:sz w:val="24"/>
              </w:rPr>
              <w:t>序号</w:t>
            </w:r>
          </w:p>
        </w:tc>
        <w:tc>
          <w:tcPr>
            <w:tcW w:w="1980" w:type="dxa"/>
            <w:vAlign w:val="center"/>
          </w:tcPr>
          <w:p>
            <w:pPr>
              <w:spacing w:line="360" w:lineRule="auto"/>
              <w:jc w:val="center"/>
              <w:rPr>
                <w:rFonts w:ascii="宋体" w:hAnsi="宋体"/>
                <w:b/>
                <w:sz w:val="24"/>
              </w:rPr>
            </w:pPr>
            <w:r>
              <w:rPr>
                <w:rFonts w:hint="eastAsia" w:ascii="宋体" w:hAnsi="宋体"/>
                <w:b/>
                <w:sz w:val="24"/>
              </w:rPr>
              <w:t>项目名称</w:t>
            </w:r>
          </w:p>
        </w:tc>
        <w:tc>
          <w:tcPr>
            <w:tcW w:w="1260" w:type="dxa"/>
            <w:vAlign w:val="center"/>
          </w:tcPr>
          <w:p>
            <w:pPr>
              <w:spacing w:line="360" w:lineRule="auto"/>
              <w:rPr>
                <w:rFonts w:ascii="宋体" w:hAnsi="宋体"/>
                <w:b/>
                <w:sz w:val="24"/>
              </w:rPr>
            </w:pPr>
            <w:r>
              <w:rPr>
                <w:rFonts w:hint="eastAsia" w:ascii="宋体" w:hAnsi="宋体"/>
                <w:b/>
                <w:sz w:val="24"/>
              </w:rPr>
              <w:t>用户名称</w:t>
            </w:r>
          </w:p>
        </w:tc>
        <w:tc>
          <w:tcPr>
            <w:tcW w:w="1260" w:type="dxa"/>
            <w:vAlign w:val="center"/>
          </w:tcPr>
          <w:p>
            <w:pPr>
              <w:spacing w:line="360" w:lineRule="auto"/>
              <w:rPr>
                <w:rFonts w:ascii="宋体" w:hAnsi="宋体"/>
                <w:b/>
                <w:sz w:val="24"/>
              </w:rPr>
            </w:pPr>
            <w:r>
              <w:rPr>
                <w:rFonts w:hint="eastAsia" w:ascii="宋体" w:hAnsi="宋体"/>
                <w:b/>
                <w:sz w:val="24"/>
              </w:rPr>
              <w:t>合同金额</w:t>
            </w:r>
          </w:p>
        </w:tc>
        <w:tc>
          <w:tcPr>
            <w:tcW w:w="1440" w:type="dxa"/>
            <w:vAlign w:val="center"/>
          </w:tcPr>
          <w:p>
            <w:pPr>
              <w:spacing w:line="360" w:lineRule="auto"/>
              <w:rPr>
                <w:rFonts w:ascii="宋体" w:hAnsi="宋体"/>
                <w:b/>
                <w:sz w:val="24"/>
              </w:rPr>
            </w:pPr>
            <w:r>
              <w:rPr>
                <w:rFonts w:hint="eastAsia" w:ascii="宋体" w:hAnsi="宋体"/>
                <w:b/>
                <w:sz w:val="24"/>
              </w:rPr>
              <w:t>用户联系人</w:t>
            </w:r>
          </w:p>
        </w:tc>
        <w:tc>
          <w:tcPr>
            <w:tcW w:w="1778" w:type="dxa"/>
            <w:vAlign w:val="center"/>
          </w:tcPr>
          <w:p>
            <w:pPr>
              <w:spacing w:line="360" w:lineRule="auto"/>
              <w:rPr>
                <w:rFonts w:ascii="宋体" w:hAnsi="宋体"/>
                <w:b/>
                <w:sz w:val="24"/>
              </w:rPr>
            </w:pPr>
            <w:r>
              <w:rPr>
                <w:rFonts w:hint="eastAsia" w:ascii="宋体" w:hAnsi="宋体"/>
                <w:b/>
                <w:sz w:val="24"/>
              </w:rPr>
              <w:t>用户联系电话</w:t>
            </w:r>
          </w:p>
        </w:tc>
        <w:tc>
          <w:tcPr>
            <w:tcW w:w="720" w:type="dxa"/>
            <w:vAlign w:val="center"/>
          </w:tcPr>
          <w:p>
            <w:pPr>
              <w:spacing w:line="360" w:lineRule="auto"/>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852" w:type="dxa"/>
            <w:vAlign w:val="center"/>
          </w:tcPr>
          <w:p>
            <w:pPr>
              <w:spacing w:line="360" w:lineRule="auto"/>
              <w:jc w:val="center"/>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852" w:type="dxa"/>
            <w:vAlign w:val="center"/>
          </w:tcPr>
          <w:p>
            <w:pPr>
              <w:spacing w:line="360" w:lineRule="auto"/>
              <w:jc w:val="center"/>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852" w:type="dxa"/>
            <w:vAlign w:val="center"/>
          </w:tcPr>
          <w:p>
            <w:pPr>
              <w:spacing w:line="360" w:lineRule="auto"/>
              <w:jc w:val="center"/>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852" w:type="dxa"/>
            <w:vAlign w:val="center"/>
          </w:tcPr>
          <w:p>
            <w:pPr>
              <w:spacing w:line="360" w:lineRule="auto"/>
              <w:jc w:val="center"/>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852" w:type="dxa"/>
            <w:vAlign w:val="center"/>
          </w:tcPr>
          <w:p>
            <w:pPr>
              <w:spacing w:line="360" w:lineRule="auto"/>
              <w:jc w:val="center"/>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852" w:type="dxa"/>
            <w:vAlign w:val="center"/>
          </w:tcPr>
          <w:p>
            <w:pPr>
              <w:spacing w:line="360" w:lineRule="auto"/>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bl>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widowControl/>
        <w:jc w:val="left"/>
        <w:rPr>
          <w:rFonts w:ascii="宋体" w:hAnsi="宋体"/>
        </w:rPr>
        <w:sectPr>
          <w:footerReference r:id="rId22" w:type="first"/>
          <w:footerReference r:id="rId20" w:type="default"/>
          <w:footerReference r:id="rId21" w:type="even"/>
          <w:pgSz w:w="11907" w:h="16840"/>
          <w:pgMar w:top="1089" w:right="1418" w:bottom="1400" w:left="1418" w:header="851" w:footer="992" w:gutter="0"/>
          <w:cols w:space="720" w:num="1"/>
          <w:docGrid w:linePitch="312" w:charSpace="0"/>
        </w:sectPr>
      </w:pPr>
      <w:r>
        <w:rPr>
          <w:rFonts w:ascii="宋体" w:hAnsi="宋体"/>
        </w:rPr>
        <w:br w:type="page"/>
      </w:r>
    </w:p>
    <w:p>
      <w:pPr>
        <w:pStyle w:val="4"/>
        <w:tabs>
          <w:tab w:val="left" w:pos="900"/>
        </w:tabs>
        <w:spacing w:line="360" w:lineRule="auto"/>
        <w:jc w:val="center"/>
        <w:rPr>
          <w:rFonts w:hint="default"/>
          <w:sz w:val="24"/>
        </w:rPr>
      </w:pPr>
      <w:bookmarkStart w:id="314" w:name="_Toc499304712"/>
      <w:bookmarkStart w:id="315" w:name="_Toc6665587"/>
      <w:bookmarkStart w:id="316" w:name="_Toc523911440"/>
      <w:bookmarkStart w:id="317" w:name="_Toc507514592"/>
      <w:r>
        <w:rPr>
          <w:sz w:val="24"/>
        </w:rPr>
        <w:t>8 投标人基本情况表</w:t>
      </w:r>
      <w:bookmarkEnd w:id="314"/>
      <w:bookmarkEnd w:id="315"/>
      <w:bookmarkEnd w:id="316"/>
      <w:bookmarkEnd w:id="317"/>
    </w:p>
    <w:p>
      <w:pPr>
        <w:spacing w:line="360" w:lineRule="auto"/>
        <w:rPr>
          <w:rFonts w:ascii="宋体" w:hAnsi="宋体"/>
          <w:color w:val="000000"/>
          <w:sz w:val="24"/>
        </w:rPr>
      </w:pPr>
      <w:r>
        <w:rPr>
          <w:rFonts w:hint="eastAsia" w:ascii="宋体" w:hAnsi="宋体"/>
          <w:color w:val="000000"/>
          <w:sz w:val="24"/>
        </w:rPr>
        <w:t>投标人名称：（公章）                                                               填表日期：</w:t>
      </w:r>
    </w:p>
    <w:tbl>
      <w:tblPr>
        <w:tblStyle w:val="47"/>
        <w:tblW w:w="1396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76"/>
        <w:gridCol w:w="614"/>
        <w:gridCol w:w="520"/>
        <w:gridCol w:w="1134"/>
        <w:gridCol w:w="761"/>
        <w:gridCol w:w="90"/>
        <w:gridCol w:w="855"/>
        <w:gridCol w:w="210"/>
        <w:gridCol w:w="75"/>
        <w:gridCol w:w="702"/>
        <w:gridCol w:w="1276"/>
        <w:gridCol w:w="1276"/>
        <w:gridCol w:w="766"/>
        <w:gridCol w:w="84"/>
        <w:gridCol w:w="126"/>
        <w:gridCol w:w="976"/>
        <w:gridCol w:w="316"/>
        <w:gridCol w:w="419"/>
        <w:gridCol w:w="704"/>
        <w:gridCol w:w="17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单位名称</w:t>
            </w:r>
          </w:p>
        </w:tc>
        <w:tc>
          <w:tcPr>
            <w:tcW w:w="418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77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电话</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主管部门</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18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企业负责人</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职务</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地  址</w:t>
            </w:r>
          </w:p>
        </w:tc>
        <w:tc>
          <w:tcPr>
            <w:tcW w:w="418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77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传真</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经济类型</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18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授权代表</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职务</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一、单位简历及机构</w:t>
            </w:r>
          </w:p>
        </w:tc>
        <w:tc>
          <w:tcPr>
            <w:tcW w:w="4961" w:type="dxa"/>
            <w:gridSpan w:val="9"/>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单位优势及特长</w:t>
            </w:r>
          </w:p>
        </w:tc>
        <w:tc>
          <w:tcPr>
            <w:tcW w:w="6452" w:type="dxa"/>
            <w:gridSpan w:val="9"/>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25" w:hRule="atLeast"/>
        </w:trPr>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二、单位概况</w:t>
            </w:r>
          </w:p>
        </w:tc>
        <w:tc>
          <w:tcPr>
            <w:tcW w:w="614"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职工总数</w:t>
            </w:r>
          </w:p>
        </w:tc>
        <w:tc>
          <w:tcPr>
            <w:tcW w:w="1654" w:type="dxa"/>
            <w:gridSpan w:val="2"/>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p>
          <w:p>
            <w:pPr>
              <w:spacing w:line="360" w:lineRule="auto"/>
              <w:ind w:left="1080" w:hanging="1080" w:hangingChars="450"/>
              <w:rPr>
                <w:rFonts w:ascii="宋体" w:hAnsi="宋体"/>
                <w:color w:val="000000"/>
                <w:sz w:val="24"/>
              </w:rPr>
            </w:pPr>
            <w:r>
              <w:rPr>
                <w:rFonts w:hint="eastAsia" w:ascii="宋体" w:hAnsi="宋体"/>
                <w:color w:val="000000"/>
                <w:sz w:val="24"/>
              </w:rPr>
              <w:t xml:space="preserve">           人</w:t>
            </w:r>
          </w:p>
        </w:tc>
        <w:tc>
          <w:tcPr>
            <w:tcW w:w="2693" w:type="dxa"/>
            <w:gridSpan w:val="6"/>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生产工人       人</w:t>
            </w:r>
          </w:p>
          <w:p>
            <w:pPr>
              <w:spacing w:line="360" w:lineRule="auto"/>
              <w:rPr>
                <w:rFonts w:ascii="宋体" w:hAnsi="宋体"/>
                <w:color w:val="000000"/>
                <w:sz w:val="24"/>
              </w:rPr>
            </w:pPr>
            <w:r>
              <w:rPr>
                <w:rFonts w:hint="eastAsia" w:ascii="宋体" w:hAnsi="宋体"/>
                <w:color w:val="000000"/>
                <w:sz w:val="24"/>
              </w:rPr>
              <w:t>工程技术人员   人</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rPr>
            </w:pPr>
            <w:r>
              <w:rPr>
                <w:rFonts w:hint="eastAsia" w:ascii="宋体" w:hAnsi="宋体"/>
                <w:color w:val="000000"/>
                <w:sz w:val="24"/>
              </w:rPr>
              <w:t>上一年主要经济指标</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rPr>
            </w:pPr>
            <w:r>
              <w:rPr>
                <w:rFonts w:hint="eastAsia" w:ascii="宋体" w:hAnsi="宋体"/>
                <w:color w:val="000000"/>
                <w:sz w:val="24"/>
              </w:rPr>
              <w:t>指标名称</w:t>
            </w:r>
          </w:p>
        </w:tc>
        <w:tc>
          <w:tcPr>
            <w:tcW w:w="976" w:type="dxa"/>
            <w:gridSpan w:val="3"/>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计算单位</w:t>
            </w:r>
          </w:p>
        </w:tc>
        <w:tc>
          <w:tcPr>
            <w:tcW w:w="4200" w:type="dxa"/>
            <w:gridSpan w:val="5"/>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实际完成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10"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2693"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rPr>
            </w:pPr>
            <w:r>
              <w:rPr>
                <w:rFonts w:hint="eastAsia" w:ascii="宋体" w:hAnsi="宋体"/>
                <w:color w:val="000000"/>
                <w:sz w:val="24"/>
              </w:rPr>
              <w:t>工业总产值</w:t>
            </w:r>
          </w:p>
        </w:tc>
        <w:tc>
          <w:tcPr>
            <w:tcW w:w="976" w:type="dxa"/>
            <w:gridSpan w:val="3"/>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万   元</w:t>
            </w:r>
          </w:p>
        </w:tc>
        <w:tc>
          <w:tcPr>
            <w:tcW w:w="4200" w:type="dxa"/>
            <w:gridSpan w:val="5"/>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0"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2693"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rPr>
            </w:pPr>
            <w:r>
              <w:rPr>
                <w:rFonts w:hint="eastAsia" w:ascii="宋体" w:hAnsi="宋体"/>
                <w:color w:val="000000"/>
                <w:sz w:val="24"/>
              </w:rPr>
              <w:t>实现利润</w:t>
            </w:r>
          </w:p>
        </w:tc>
        <w:tc>
          <w:tcPr>
            <w:tcW w:w="976" w:type="dxa"/>
            <w:gridSpan w:val="3"/>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万   元</w:t>
            </w:r>
          </w:p>
        </w:tc>
        <w:tc>
          <w:tcPr>
            <w:tcW w:w="4200" w:type="dxa"/>
            <w:gridSpan w:val="5"/>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38"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614"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流动资金</w:t>
            </w:r>
          </w:p>
        </w:tc>
        <w:tc>
          <w:tcPr>
            <w:tcW w:w="165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rPr>
            </w:pPr>
            <w:r>
              <w:rPr>
                <w:rFonts w:hint="eastAsia" w:ascii="宋体" w:hAnsi="宋体"/>
                <w:color w:val="000000"/>
                <w:sz w:val="24"/>
              </w:rPr>
              <w:t xml:space="preserve">       万元</w:t>
            </w:r>
          </w:p>
        </w:tc>
        <w:tc>
          <w:tcPr>
            <w:tcW w:w="761"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资金来源</w:t>
            </w:r>
          </w:p>
        </w:tc>
        <w:tc>
          <w:tcPr>
            <w:tcW w:w="1230" w:type="dxa"/>
            <w:gridSpan w:val="4"/>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自有资金</w:t>
            </w:r>
          </w:p>
        </w:tc>
        <w:tc>
          <w:tcPr>
            <w:tcW w:w="7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 xml:space="preserve">     万元</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rPr>
            </w:pPr>
            <w:r>
              <w:rPr>
                <w:rFonts w:hint="eastAsia" w:ascii="宋体" w:hAnsi="宋体"/>
                <w:color w:val="000000"/>
                <w:sz w:val="24"/>
              </w:rPr>
              <w:t>主要产品</w:t>
            </w:r>
          </w:p>
        </w:tc>
        <w:tc>
          <w:tcPr>
            <w:tcW w:w="5176" w:type="dxa"/>
            <w:gridSpan w:val="8"/>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3"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7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30" w:type="dxa"/>
            <w:gridSpan w:val="4"/>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银行贷款</w:t>
            </w:r>
          </w:p>
        </w:tc>
        <w:tc>
          <w:tcPr>
            <w:tcW w:w="7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 xml:space="preserve">     万元</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5176" w:type="dxa"/>
            <w:gridSpan w:val="8"/>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614"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固定资产</w:t>
            </w:r>
          </w:p>
        </w:tc>
        <w:tc>
          <w:tcPr>
            <w:tcW w:w="165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rPr>
            </w:pPr>
            <w:r>
              <w:rPr>
                <w:rFonts w:hint="eastAsia" w:ascii="宋体" w:hAnsi="宋体"/>
                <w:color w:val="000000"/>
                <w:sz w:val="24"/>
              </w:rPr>
              <w:t>原值   万元</w:t>
            </w:r>
          </w:p>
          <w:p>
            <w:pPr>
              <w:spacing w:line="360" w:lineRule="auto"/>
              <w:rPr>
                <w:rFonts w:ascii="宋体" w:hAnsi="宋体"/>
                <w:color w:val="000000"/>
                <w:sz w:val="24"/>
              </w:rPr>
            </w:pPr>
            <w:r>
              <w:rPr>
                <w:rFonts w:hint="eastAsia" w:ascii="宋体" w:hAnsi="宋体"/>
                <w:color w:val="000000"/>
                <w:sz w:val="24"/>
              </w:rPr>
              <w:t>净值   万元</w:t>
            </w:r>
          </w:p>
        </w:tc>
        <w:tc>
          <w:tcPr>
            <w:tcW w:w="761"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资金性质</w:t>
            </w:r>
          </w:p>
        </w:tc>
        <w:tc>
          <w:tcPr>
            <w:tcW w:w="1230" w:type="dxa"/>
            <w:gridSpan w:val="4"/>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生产性</w:t>
            </w:r>
          </w:p>
        </w:tc>
        <w:tc>
          <w:tcPr>
            <w:tcW w:w="7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 xml:space="preserve">     万元    </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5176" w:type="dxa"/>
            <w:gridSpan w:val="8"/>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7"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7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30" w:type="dxa"/>
            <w:gridSpan w:val="4"/>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非生产性</w:t>
            </w:r>
          </w:p>
        </w:tc>
        <w:tc>
          <w:tcPr>
            <w:tcW w:w="7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 xml:space="preserve">     万元</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5176" w:type="dxa"/>
            <w:gridSpan w:val="8"/>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70"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614"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占地面积</w:t>
            </w:r>
          </w:p>
        </w:tc>
        <w:tc>
          <w:tcPr>
            <w:tcW w:w="165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rPr>
            </w:pPr>
          </w:p>
        </w:tc>
        <w:tc>
          <w:tcPr>
            <w:tcW w:w="2693" w:type="dxa"/>
            <w:gridSpan w:val="6"/>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房屋建筑面积        平方米</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5176" w:type="dxa"/>
            <w:gridSpan w:val="8"/>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3"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2693" w:type="dxa"/>
            <w:gridSpan w:val="6"/>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厂房建筑面积        平方米</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517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三、主要产品情况</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产品名称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型号</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上年产量</w:t>
            </w: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上年产值</w:t>
            </w:r>
          </w:p>
        </w:tc>
        <w:tc>
          <w:tcPr>
            <w:tcW w:w="226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产品技术先进水平</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优质品率</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一等品率</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曾获何级何种奖励</w:t>
            </w:r>
          </w:p>
        </w:tc>
        <w:tc>
          <w:tcPr>
            <w:tcW w:w="290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主要用户名称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226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290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226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290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r>
    </w:tbl>
    <w:p>
      <w:pPr>
        <w:spacing w:line="360" w:lineRule="auto"/>
        <w:rPr>
          <w:rFonts w:ascii="宋体" w:hAnsi="宋体"/>
          <w:color w:val="000000"/>
          <w:sz w:val="24"/>
        </w:rPr>
        <w:sectPr>
          <w:pgSz w:w="16838" w:h="11906" w:orient="landscape"/>
          <w:pgMar w:top="1797" w:right="1440" w:bottom="1797" w:left="1440" w:header="851" w:footer="992" w:gutter="0"/>
          <w:cols w:space="720" w:num="1"/>
          <w:docGrid w:linePitch="312" w:charSpace="0"/>
        </w:sectPr>
      </w:pPr>
    </w:p>
    <w:p>
      <w:pPr>
        <w:pStyle w:val="4"/>
        <w:tabs>
          <w:tab w:val="left" w:pos="900"/>
        </w:tabs>
        <w:spacing w:line="360" w:lineRule="auto"/>
        <w:jc w:val="center"/>
        <w:rPr>
          <w:rFonts w:hint="default"/>
          <w:sz w:val="30"/>
          <w:szCs w:val="30"/>
        </w:rPr>
      </w:pPr>
      <w:bookmarkStart w:id="318" w:name="_Toc6665588"/>
      <w:bookmarkStart w:id="319" w:name="_Toc523911442"/>
      <w:bookmarkStart w:id="320" w:name="_Toc310195770"/>
      <w:r>
        <w:rPr>
          <w:sz w:val="24"/>
        </w:rPr>
        <w:t xml:space="preserve">9 </w:t>
      </w:r>
      <w:r>
        <w:rPr>
          <w:sz w:val="24"/>
          <w:lang w:val="en-US"/>
        </w:rPr>
        <w:t>实施</w:t>
      </w:r>
      <w:r>
        <w:rPr>
          <w:sz w:val="24"/>
        </w:rPr>
        <w:t>方案</w:t>
      </w:r>
      <w:bookmarkEnd w:id="318"/>
      <w:bookmarkEnd w:id="319"/>
    </w:p>
    <w:p>
      <w:pPr>
        <w:pStyle w:val="86"/>
        <w:jc w:val="center"/>
      </w:pPr>
      <w:bookmarkStart w:id="321" w:name="_Toc31453"/>
      <w:r>
        <w:t>（投标人自行提供）</w:t>
      </w:r>
      <w:bookmarkEnd w:id="320"/>
      <w:bookmarkEnd w:id="321"/>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widowControl/>
        <w:jc w:val="left"/>
      </w:pPr>
      <w:r>
        <w:br w:type="page"/>
      </w:r>
    </w:p>
    <w:p>
      <w:pPr>
        <w:pStyle w:val="4"/>
        <w:widowControl/>
        <w:tabs>
          <w:tab w:val="left" w:pos="900"/>
        </w:tabs>
        <w:spacing w:line="360" w:lineRule="auto"/>
        <w:jc w:val="center"/>
        <w:rPr>
          <w:rFonts w:hint="default"/>
          <w:sz w:val="24"/>
        </w:rPr>
        <w:sectPr>
          <w:pgSz w:w="11907" w:h="16840"/>
          <w:pgMar w:top="1089" w:right="1418" w:bottom="1400" w:left="1418" w:header="851" w:footer="992" w:gutter="0"/>
          <w:cols w:space="720" w:num="1"/>
          <w:docGrid w:linePitch="312" w:charSpace="0"/>
        </w:sectPr>
      </w:pPr>
      <w:bookmarkStart w:id="322" w:name="_Toc6665589"/>
      <w:r>
        <w:rPr>
          <w:sz w:val="24"/>
        </w:rPr>
        <w:t>10 售后服务及培训计划</w:t>
      </w:r>
      <w:bookmarkEnd w:id="322"/>
    </w:p>
    <w:p>
      <w:pPr>
        <w:pStyle w:val="4"/>
        <w:widowControl/>
        <w:tabs>
          <w:tab w:val="left" w:pos="900"/>
        </w:tabs>
        <w:spacing w:line="360" w:lineRule="auto"/>
        <w:jc w:val="center"/>
        <w:rPr>
          <w:rFonts w:hint="default" w:cs="宋体"/>
          <w:sz w:val="24"/>
          <w:szCs w:val="24"/>
          <w:lang w:val="en-US"/>
        </w:rPr>
      </w:pPr>
      <w:bookmarkStart w:id="323" w:name="_Toc6665590"/>
      <w:r>
        <w:rPr>
          <w:sz w:val="24"/>
        </w:rPr>
        <w:t>11</w:t>
      </w:r>
      <w:r>
        <w:rPr>
          <w:rFonts w:cs="宋体"/>
          <w:sz w:val="24"/>
          <w:szCs w:val="24"/>
          <w:lang w:val="en-US"/>
        </w:rPr>
        <w:t>提交投标保证金的证明材料（如适用）</w:t>
      </w:r>
      <w:bookmarkEnd w:id="323"/>
    </w:p>
    <w:p>
      <w:pPr>
        <w:jc w:val="center"/>
        <w:rPr>
          <w:sz w:val="24"/>
        </w:rPr>
      </w:pPr>
      <w:r>
        <w:rPr>
          <w:rFonts w:hint="eastAsia"/>
          <w:sz w:val="24"/>
        </w:rPr>
        <w:t>（须加盖本单位公章）</w:t>
      </w:r>
    </w:p>
    <w:p>
      <w:pPr>
        <w:pStyle w:val="117"/>
      </w:pPr>
    </w:p>
    <w:p>
      <w:pPr>
        <w:widowControl/>
        <w:jc w:val="left"/>
      </w:pPr>
      <w:r>
        <w:br w:type="page"/>
      </w:r>
    </w:p>
    <w:p>
      <w:pPr>
        <w:pStyle w:val="8"/>
        <w:ind w:firstLine="0"/>
        <w:rPr>
          <w:rFonts w:hAnsi="宋体"/>
        </w:rPr>
      </w:pPr>
      <w:bookmarkStart w:id="324" w:name="_Toc310195772"/>
    </w:p>
    <w:p>
      <w:pPr>
        <w:pStyle w:val="4"/>
        <w:tabs>
          <w:tab w:val="left" w:pos="900"/>
        </w:tabs>
        <w:spacing w:line="360" w:lineRule="auto"/>
        <w:jc w:val="center"/>
        <w:rPr>
          <w:rFonts w:hint="default"/>
          <w:sz w:val="24"/>
        </w:rPr>
      </w:pPr>
      <w:bookmarkStart w:id="325" w:name="_Toc6665591"/>
      <w:bookmarkStart w:id="326" w:name="_Toc523911444"/>
      <w:r>
        <w:rPr>
          <w:sz w:val="24"/>
        </w:rPr>
        <w:t>12.中标服务费承诺书</w:t>
      </w:r>
      <w:bookmarkEnd w:id="324"/>
      <w:bookmarkEnd w:id="325"/>
      <w:bookmarkEnd w:id="326"/>
    </w:p>
    <w:p>
      <w:pPr>
        <w:pStyle w:val="8"/>
        <w:spacing w:line="360" w:lineRule="auto"/>
        <w:rPr>
          <w:rFonts w:hAnsi="宋体"/>
        </w:rPr>
      </w:pPr>
    </w:p>
    <w:p>
      <w:pPr>
        <w:spacing w:line="360" w:lineRule="auto"/>
        <w:rPr>
          <w:rFonts w:ascii="宋体" w:hAnsi="宋体"/>
          <w:sz w:val="24"/>
          <w:u w:val="single"/>
        </w:rPr>
      </w:pPr>
      <w:r>
        <w:rPr>
          <w:rFonts w:hint="eastAsia" w:ascii="宋体" w:hAnsi="宋体"/>
          <w:sz w:val="24"/>
        </w:rPr>
        <w:t>致：北京华采招标代理有限公司</w:t>
      </w:r>
    </w:p>
    <w:p>
      <w:pPr>
        <w:widowControl/>
        <w:spacing w:line="360" w:lineRule="auto"/>
        <w:ind w:firstLine="480" w:firstLineChars="200"/>
        <w:jc w:val="left"/>
        <w:rPr>
          <w:rFonts w:ascii="宋体" w:hAnsi="宋体" w:cs="宋体"/>
          <w:kern w:val="0"/>
          <w:sz w:val="24"/>
        </w:rPr>
      </w:pPr>
      <w:r>
        <w:rPr>
          <w:rFonts w:hint="eastAsia" w:ascii="宋体" w:hAnsi="宋体"/>
          <w:sz w:val="24"/>
        </w:rPr>
        <w:t>我们在贵公司组织的</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rPr>
        <w:t>项目招标中若获中标（招标文件编号：</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rPr>
        <w:t>），我们保证在领取中标通知书时按招标文件的规定，以支票或电汇，向贵公司一次性支付应该交纳的中标服务费用。收费标准参照国家原计价[2002]1980号文、</w:t>
      </w:r>
      <w:r>
        <w:rPr>
          <w:rFonts w:hint="eastAsia" w:ascii="宋体" w:hAnsi="宋体" w:cs="宋体"/>
          <w:kern w:val="0"/>
          <w:sz w:val="24"/>
        </w:rPr>
        <w:t>发改办价格[2003]857号文及</w:t>
      </w:r>
      <w:r>
        <w:rPr>
          <w:rFonts w:ascii="宋体" w:hAnsi="宋体" w:cs="宋体"/>
          <w:kern w:val="0"/>
          <w:sz w:val="24"/>
        </w:rPr>
        <w:t>发改价格</w:t>
      </w:r>
      <w:r>
        <w:rPr>
          <w:kern w:val="0"/>
          <w:sz w:val="24"/>
        </w:rPr>
        <w:t>[2011]534</w:t>
      </w:r>
      <w:r>
        <w:rPr>
          <w:rFonts w:ascii="宋体" w:hAnsi="宋体" w:cs="宋体"/>
          <w:kern w:val="0"/>
          <w:sz w:val="24"/>
        </w:rPr>
        <w:t>号</w:t>
      </w:r>
      <w:r>
        <w:rPr>
          <w:rFonts w:hint="eastAsia" w:ascii="宋体" w:hAnsi="宋体" w:cs="宋体"/>
          <w:kern w:val="0"/>
          <w:sz w:val="24"/>
        </w:rPr>
        <w:t>文有关规定向中标人收取</w:t>
      </w:r>
      <w:r>
        <w:rPr>
          <w:rFonts w:hint="eastAsia" w:ascii="宋体" w:hAnsi="宋体"/>
          <w:sz w:val="24"/>
        </w:rPr>
        <w:t>中标服务费用。</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ab/>
      </w:r>
      <w:r>
        <w:rPr>
          <w:rFonts w:hint="eastAsia" w:ascii="宋体" w:hAnsi="宋体"/>
          <w:sz w:val="24"/>
        </w:rPr>
        <w:t>承诺方法定名称：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sz w:val="24"/>
        </w:rPr>
      </w:pPr>
      <w:r>
        <w:rPr>
          <w:rFonts w:hint="eastAsia" w:ascii="宋体" w:hAnsi="宋体"/>
          <w:sz w:val="24"/>
        </w:rPr>
        <w:tab/>
      </w:r>
      <w:r>
        <w:rPr>
          <w:rFonts w:hint="eastAsia" w:ascii="宋体" w:hAnsi="宋体"/>
          <w:sz w:val="24"/>
        </w:rPr>
        <w:t>地址：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sz w:val="24"/>
        </w:rPr>
      </w:pPr>
      <w:r>
        <w:rPr>
          <w:rFonts w:hint="eastAsia" w:ascii="宋体" w:hAnsi="宋体"/>
          <w:sz w:val="24"/>
        </w:rPr>
        <w:tab/>
      </w:r>
      <w:r>
        <w:rPr>
          <w:rFonts w:hint="eastAsia" w:ascii="宋体" w:hAnsi="宋体"/>
          <w:sz w:val="24"/>
        </w:rPr>
        <w:t>电话：</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rPr>
        <w:tab/>
      </w:r>
      <w:r>
        <w:rPr>
          <w:rFonts w:hint="eastAsia" w:ascii="宋体" w:hAnsi="宋体"/>
          <w:sz w:val="24"/>
        </w:rPr>
        <w:tab/>
      </w:r>
      <w:r>
        <w:rPr>
          <w:rFonts w:hint="eastAsia" w:ascii="宋体" w:hAnsi="宋体"/>
          <w:sz w:val="24"/>
        </w:rPr>
        <w:t>传真：</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sz w:val="24"/>
        </w:rPr>
      </w:pPr>
      <w:r>
        <w:rPr>
          <w:rFonts w:hint="eastAsia" w:ascii="宋体" w:hAnsi="宋体"/>
          <w:sz w:val="24"/>
        </w:rPr>
        <w:tab/>
      </w:r>
      <w:r>
        <w:rPr>
          <w:rFonts w:hint="eastAsia" w:ascii="宋体" w:hAnsi="宋体"/>
          <w:sz w:val="24"/>
        </w:rPr>
        <w:t>邮编：</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sz w:val="24"/>
        </w:rPr>
      </w:pPr>
      <w:r>
        <w:rPr>
          <w:rFonts w:hint="eastAsia" w:ascii="宋体" w:hAnsi="宋体"/>
          <w:sz w:val="24"/>
        </w:rPr>
        <w:tab/>
      </w:r>
      <w:r>
        <w:rPr>
          <w:rFonts w:hint="eastAsia" w:ascii="宋体" w:hAnsi="宋体"/>
          <w:sz w:val="24"/>
        </w:rPr>
        <w:t>承诺方授权代表签字：</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rPr>
        <w:t>（承诺方盖章）</w:t>
      </w:r>
    </w:p>
    <w:p>
      <w:pPr>
        <w:spacing w:line="360" w:lineRule="auto"/>
        <w:rPr>
          <w:rFonts w:ascii="宋体" w:hAnsi="宋体"/>
          <w:sz w:val="24"/>
          <w:u w:val="single"/>
        </w:rPr>
      </w:pPr>
      <w:r>
        <w:rPr>
          <w:rFonts w:hint="eastAsia" w:ascii="宋体" w:hAnsi="宋体"/>
          <w:sz w:val="24"/>
        </w:rPr>
        <w:tab/>
      </w:r>
      <w:r>
        <w:rPr>
          <w:rFonts w:hint="eastAsia" w:ascii="宋体" w:hAnsi="宋体"/>
          <w:sz w:val="24"/>
        </w:rPr>
        <w:t>承诺日期：</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pStyle w:val="8"/>
        <w:spacing w:line="360" w:lineRule="auto"/>
        <w:rPr>
          <w:rFonts w:hAnsi="宋体"/>
        </w:rPr>
      </w:pPr>
    </w:p>
    <w:p>
      <w:pPr>
        <w:pStyle w:val="8"/>
        <w:spacing w:line="360" w:lineRule="auto"/>
        <w:rPr>
          <w:rFonts w:hAnsi="宋体"/>
        </w:rPr>
      </w:pPr>
    </w:p>
    <w:bookmarkEnd w:id="310"/>
    <w:p>
      <w:pPr>
        <w:tabs>
          <w:tab w:val="left" w:pos="5580"/>
        </w:tabs>
        <w:spacing w:before="360" w:line="360" w:lineRule="auto"/>
        <w:rPr>
          <w:rFonts w:ascii="宋体" w:hAnsi="宋体"/>
          <w:bCs/>
          <w:sz w:val="24"/>
        </w:rPr>
      </w:pPr>
    </w:p>
    <w:p>
      <w:pPr>
        <w:tabs>
          <w:tab w:val="left" w:pos="5580"/>
        </w:tabs>
        <w:spacing w:before="360" w:line="360" w:lineRule="auto"/>
        <w:rPr>
          <w:rFonts w:ascii="宋体" w:hAnsi="宋体"/>
          <w:bCs/>
          <w:sz w:val="24"/>
        </w:rPr>
      </w:pPr>
    </w:p>
    <w:p>
      <w:pPr>
        <w:pStyle w:val="4"/>
        <w:tabs>
          <w:tab w:val="left" w:pos="900"/>
        </w:tabs>
        <w:spacing w:line="360" w:lineRule="auto"/>
        <w:jc w:val="center"/>
        <w:rPr>
          <w:rFonts w:hint="default" w:ascii="仿宋_GB2312" w:hAnsi="Arial" w:eastAsia="仿宋_GB2312"/>
          <w:sz w:val="32"/>
          <w:szCs w:val="32"/>
        </w:rPr>
      </w:pPr>
      <w:bookmarkStart w:id="327" w:name="_Toc324255621"/>
      <w:bookmarkStart w:id="328" w:name="_Toc386123377"/>
      <w:bookmarkStart w:id="329" w:name="_Toc6665592"/>
      <w:bookmarkStart w:id="330" w:name="_Toc523911448"/>
      <w:r>
        <w:rPr>
          <w:sz w:val="24"/>
        </w:rPr>
        <w:t>13 投标人企业类型声明函</w:t>
      </w:r>
      <w:bookmarkEnd w:id="327"/>
      <w:bookmarkEnd w:id="328"/>
      <w:r>
        <w:rPr>
          <w:sz w:val="24"/>
        </w:rPr>
        <w:t>（格式）</w:t>
      </w:r>
      <w:bookmarkEnd w:id="329"/>
      <w:bookmarkEnd w:id="330"/>
    </w:p>
    <w:p>
      <w:pPr>
        <w:spacing w:line="240" w:lineRule="atLeast"/>
        <w:ind w:left="1080" w:leftChars="257" w:hanging="540"/>
        <w:jc w:val="center"/>
        <w:rPr>
          <w:rFonts w:ascii="仿宋_GB2312" w:hAnsi="Arial" w:eastAsia="仿宋_GB2312"/>
          <w:b/>
          <w:kern w:val="0"/>
          <w:sz w:val="24"/>
          <w:szCs w:val="20"/>
        </w:rPr>
      </w:pPr>
    </w:p>
    <w:p>
      <w:pPr>
        <w:widowControl/>
        <w:snapToGrid w:val="0"/>
        <w:spacing w:beforeLines="100" w:after="100" w:afterAutospacing="1" w:line="360" w:lineRule="auto"/>
        <w:jc w:val="left"/>
        <w:rPr>
          <w:sz w:val="24"/>
        </w:rPr>
      </w:pPr>
      <w:r>
        <w:rPr>
          <w:rFonts w:ascii="宋体" w:hAnsi="宋体" w:cs="宋体"/>
          <w:color w:val="000000"/>
          <w:kern w:val="0"/>
          <w:szCs w:val="21"/>
        </w:rPr>
        <w:t>　</w:t>
      </w:r>
      <w:r>
        <w:rPr>
          <w:sz w:val="24"/>
        </w:rPr>
        <w:t>本公司郑重声明，根据《政府采购促进中小企业发展暂行办法》（财库[2011]181号）的规定，本公司为______（请填写：</w:t>
      </w:r>
      <w:r>
        <w:rPr>
          <w:rFonts w:hint="eastAsia"/>
          <w:sz w:val="24"/>
        </w:rPr>
        <w:t>大型、</w:t>
      </w:r>
      <w:r>
        <w:rPr>
          <w:sz w:val="24"/>
        </w:rPr>
        <w:t>中型、小型、微型）企业。即，本公司同时满足以下条件：</w:t>
      </w:r>
    </w:p>
    <w:p>
      <w:pPr>
        <w:widowControl/>
        <w:snapToGrid w:val="0"/>
        <w:spacing w:beforeLines="100" w:after="100" w:afterAutospacing="1" w:line="360" w:lineRule="auto"/>
        <w:jc w:val="left"/>
        <w:rPr>
          <w:sz w:val="24"/>
        </w:rPr>
      </w:pPr>
      <w:r>
        <w:rPr>
          <w:sz w:val="24"/>
        </w:rPr>
        <w:t>　　1.根据《工业和信息化部、国家统计局、国家发展和改革委员会、财政部关于印发中小企业划型标准规定的通知》（工信部联企业[2011]300号）规定的划分标准，本公司为______（请填写：</w:t>
      </w:r>
      <w:r>
        <w:rPr>
          <w:rFonts w:hint="eastAsia"/>
          <w:sz w:val="24"/>
        </w:rPr>
        <w:t>大型、</w:t>
      </w:r>
      <w:r>
        <w:rPr>
          <w:sz w:val="24"/>
        </w:rPr>
        <w:t>中型、小型、微型）企业。</w:t>
      </w:r>
    </w:p>
    <w:p>
      <w:pPr>
        <w:widowControl/>
        <w:snapToGrid w:val="0"/>
        <w:spacing w:beforeLines="100" w:after="100" w:afterAutospacing="1" w:line="360" w:lineRule="auto"/>
        <w:ind w:firstLine="420"/>
        <w:jc w:val="left"/>
        <w:rPr>
          <w:sz w:val="24"/>
        </w:rPr>
      </w:pPr>
      <w:r>
        <w:rPr>
          <w:sz w:val="24"/>
        </w:rPr>
        <w:t>2.本公司参加______单位的______项目采购活动</w:t>
      </w:r>
      <w:r>
        <w:rPr>
          <w:rFonts w:hint="eastAsia"/>
          <w:sz w:val="24"/>
        </w:rPr>
        <w:t>（按投标形式选择填写）：</w:t>
      </w:r>
    </w:p>
    <w:p>
      <w:pPr>
        <w:widowControl/>
        <w:snapToGrid w:val="0"/>
        <w:spacing w:line="360" w:lineRule="auto"/>
        <w:ind w:firstLine="420"/>
        <w:jc w:val="left"/>
        <w:rPr>
          <w:sz w:val="24"/>
        </w:rPr>
      </w:pPr>
      <w:r>
        <w:rPr>
          <w:rFonts w:hint="eastAsia"/>
          <w:sz w:val="24"/>
        </w:rPr>
        <w:t>（1）□本公司为直接投标人</w:t>
      </w:r>
      <w:r>
        <w:rPr>
          <w:sz w:val="24"/>
        </w:rPr>
        <w:t>提供本企业制造的货物，由本企业承担工程、提供服务</w:t>
      </w:r>
      <w:r>
        <w:rPr>
          <w:rFonts w:hint="eastAsia"/>
          <w:sz w:val="24"/>
        </w:rPr>
        <w:t>。</w:t>
      </w:r>
    </w:p>
    <w:p>
      <w:pPr>
        <w:widowControl/>
        <w:snapToGrid w:val="0"/>
        <w:spacing w:line="360" w:lineRule="auto"/>
        <w:ind w:firstLine="420"/>
        <w:jc w:val="left"/>
        <w:rPr>
          <w:sz w:val="24"/>
        </w:rPr>
      </w:pPr>
      <w:r>
        <w:rPr>
          <w:rFonts w:hint="eastAsia"/>
          <w:sz w:val="24"/>
        </w:rPr>
        <w:t>（2）□本公司为代理商，</w:t>
      </w:r>
      <w:r>
        <w:rPr>
          <w:sz w:val="24"/>
        </w:rPr>
        <w:t>提供其他______（请填写：中型、小型、微型）企业制造的货物。本条所称货物不包括使用大型企业注册商标的货物。</w:t>
      </w:r>
      <w:r>
        <w:rPr>
          <w:rFonts w:hint="eastAsia"/>
          <w:sz w:val="24"/>
        </w:rPr>
        <w:t>（后附制造商</w:t>
      </w:r>
      <w:r>
        <w:rPr>
          <w:sz w:val="24"/>
        </w:rPr>
        <w:t>投标人企业类型声明函</w:t>
      </w:r>
      <w:r>
        <w:rPr>
          <w:rFonts w:hint="eastAsia"/>
          <w:sz w:val="24"/>
        </w:rPr>
        <w:t>）</w:t>
      </w:r>
    </w:p>
    <w:p>
      <w:pPr>
        <w:widowControl/>
        <w:snapToGrid w:val="0"/>
        <w:spacing w:line="360" w:lineRule="auto"/>
        <w:ind w:firstLine="420"/>
        <w:jc w:val="left"/>
        <w:rPr>
          <w:sz w:val="24"/>
        </w:rPr>
      </w:pPr>
      <w:r>
        <w:rPr>
          <w:rFonts w:hint="eastAsia"/>
          <w:sz w:val="24"/>
        </w:rPr>
        <w:t>（3）□本公司为联合体一方，</w:t>
      </w:r>
      <w:r>
        <w:rPr>
          <w:sz w:val="24"/>
        </w:rPr>
        <w:t>提供本企业制造的货物，由本企业承担工程、提供服务</w:t>
      </w:r>
      <w:r>
        <w:rPr>
          <w:rFonts w:hint="eastAsia"/>
          <w:sz w:val="24"/>
        </w:rPr>
        <w:t>。我公司提供</w:t>
      </w:r>
      <w:r>
        <w:rPr>
          <w:sz w:val="24"/>
        </w:rPr>
        <w:t>协议合同金额占到</w:t>
      </w:r>
      <w:r>
        <w:rPr>
          <w:rFonts w:hint="eastAsia"/>
          <w:sz w:val="24"/>
        </w:rPr>
        <w:t>联合协议</w:t>
      </w:r>
      <w:r>
        <w:rPr>
          <w:sz w:val="24"/>
        </w:rPr>
        <w:t>合同总金额</w:t>
      </w:r>
      <w:r>
        <w:rPr>
          <w:rFonts w:hint="eastAsia"/>
          <w:sz w:val="24"/>
        </w:rPr>
        <w:t>的比例为。</w:t>
      </w:r>
    </w:p>
    <w:p>
      <w:pPr>
        <w:widowControl/>
        <w:snapToGrid w:val="0"/>
        <w:spacing w:beforeLines="100" w:after="100" w:afterAutospacing="1" w:line="360" w:lineRule="auto"/>
        <w:jc w:val="left"/>
        <w:rPr>
          <w:sz w:val="24"/>
        </w:rPr>
      </w:pPr>
      <w:r>
        <w:rPr>
          <w:sz w:val="24"/>
        </w:rPr>
        <w:t>　　本公司对上述声明的真实性负责。如有虚假，将依法承担相应责任。</w:t>
      </w:r>
    </w:p>
    <w:p>
      <w:pPr>
        <w:widowControl/>
        <w:snapToGrid w:val="0"/>
        <w:spacing w:beforeLines="100" w:after="100" w:afterAutospacing="1" w:line="360" w:lineRule="auto"/>
        <w:jc w:val="left"/>
        <w:rPr>
          <w:sz w:val="24"/>
        </w:rPr>
      </w:pPr>
      <w:r>
        <w:rPr>
          <w:sz w:val="24"/>
        </w:rPr>
        <w:t>　　企业名称（盖章）：</w:t>
      </w:r>
    </w:p>
    <w:p>
      <w:pPr>
        <w:widowControl/>
        <w:snapToGrid w:val="0"/>
        <w:spacing w:beforeLines="100" w:after="100" w:afterAutospacing="1" w:line="360" w:lineRule="auto"/>
        <w:ind w:firstLine="420"/>
        <w:jc w:val="left"/>
        <w:rPr>
          <w:sz w:val="24"/>
        </w:rPr>
      </w:pPr>
      <w:r>
        <w:rPr>
          <w:sz w:val="24"/>
        </w:rPr>
        <w:t>日　期：</w:t>
      </w:r>
    </w:p>
    <w:p>
      <w:pPr>
        <w:jc w:val="center"/>
        <w:rPr>
          <w:rFonts w:asciiTheme="minorEastAsia" w:hAnsiTheme="minorEastAsia" w:eastAsiaTheme="minorEastAsia"/>
          <w:kern w:val="0"/>
          <w:sz w:val="24"/>
          <w:szCs w:val="20"/>
        </w:rPr>
      </w:pPr>
      <w:r>
        <w:br w:type="page"/>
      </w:r>
      <w:r>
        <w:rPr>
          <w:rFonts w:asciiTheme="minorEastAsia" w:hAnsiTheme="minorEastAsia" w:eastAsiaTheme="minorEastAsia"/>
          <w:sz w:val="24"/>
        </w:rPr>
        <w:t>制造商企业类型声明函</w:t>
      </w:r>
    </w:p>
    <w:p>
      <w:pPr>
        <w:widowControl/>
        <w:spacing w:beforeLines="100" w:after="100" w:afterAutospacing="1" w:line="360" w:lineRule="auto"/>
        <w:ind w:firstLine="720" w:firstLineChars="300"/>
        <w:jc w:val="left"/>
        <w:rPr>
          <w:sz w:val="24"/>
        </w:rPr>
      </w:pPr>
      <w:r>
        <w:rPr>
          <w:sz w:val="24"/>
        </w:rPr>
        <w:t>本公司</w:t>
      </w:r>
      <w:r>
        <w:rPr>
          <w:rFonts w:hint="eastAsia"/>
          <w:sz w:val="24"/>
        </w:rPr>
        <w:t>作</w:t>
      </w:r>
      <w:r>
        <w:rPr>
          <w:sz w:val="24"/>
        </w:rPr>
        <w:t>为______单位的______</w:t>
      </w:r>
      <w:r>
        <w:rPr>
          <w:rFonts w:hint="eastAsia"/>
          <w:sz w:val="24"/>
        </w:rPr>
        <w:t>项目的设备制造商，</w:t>
      </w:r>
      <w:r>
        <w:rPr>
          <w:sz w:val="24"/>
        </w:rPr>
        <w:t>参加</w:t>
      </w:r>
      <w:r>
        <w:rPr>
          <w:rFonts w:hint="eastAsia"/>
          <w:sz w:val="24"/>
        </w:rPr>
        <w:t>政府</w:t>
      </w:r>
      <w:r>
        <w:rPr>
          <w:sz w:val="24"/>
        </w:rPr>
        <w:t>采购活动</w:t>
      </w:r>
      <w:r>
        <w:rPr>
          <w:rFonts w:hint="eastAsia"/>
          <w:sz w:val="24"/>
        </w:rPr>
        <w:t>。</w:t>
      </w:r>
      <w:r>
        <w:rPr>
          <w:sz w:val="24"/>
        </w:rPr>
        <w:t>根据《政府采购促进中小企业发展暂行办法》（财库[2011]181号）的规定</w:t>
      </w:r>
      <w:r>
        <w:rPr>
          <w:rFonts w:hint="eastAsia"/>
          <w:sz w:val="24"/>
        </w:rPr>
        <w:t>，及</w:t>
      </w:r>
      <w:r>
        <w:rPr>
          <w:sz w:val="24"/>
        </w:rPr>
        <w:t>《工业和信息化部、国家统计局、国家发展和改革委员会、财政部关于印发中小企业划型标准规定的通知》（工信部联企业[2011]300号）规定的划分标准，</w:t>
      </w:r>
      <w:r>
        <w:rPr>
          <w:rFonts w:hint="eastAsia"/>
          <w:sz w:val="24"/>
        </w:rPr>
        <w:t>作出如下声明：</w:t>
      </w:r>
    </w:p>
    <w:p>
      <w:pPr>
        <w:widowControl/>
        <w:spacing w:beforeLines="100" w:after="100" w:afterAutospacing="1" w:line="360" w:lineRule="auto"/>
        <w:ind w:firstLine="420"/>
        <w:jc w:val="left"/>
        <w:rPr>
          <w:sz w:val="24"/>
        </w:rPr>
      </w:pPr>
      <w:r>
        <w:rPr>
          <w:sz w:val="24"/>
        </w:rPr>
        <w:t>本公司为______（请填写：中型、小型、微型）企业</w:t>
      </w:r>
      <w:r>
        <w:rPr>
          <w:rFonts w:hint="eastAsia"/>
          <w:sz w:val="24"/>
        </w:rPr>
        <w:t>，</w:t>
      </w:r>
      <w:r>
        <w:rPr>
          <w:sz w:val="24"/>
        </w:rPr>
        <w:t>提供本企业制造的货物，由本企业承担工程、提供服务。</w:t>
      </w:r>
    </w:p>
    <w:p>
      <w:pPr>
        <w:widowControl/>
        <w:spacing w:beforeLines="100" w:after="100" w:afterAutospacing="1" w:line="360" w:lineRule="auto"/>
        <w:ind w:firstLine="420"/>
        <w:jc w:val="left"/>
        <w:rPr>
          <w:sz w:val="24"/>
        </w:rPr>
      </w:pPr>
      <w:r>
        <w:rPr>
          <w:sz w:val="24"/>
        </w:rPr>
        <w:t>本公司对上述声明的真实性负责。如有虚假，将依法承担相应责任。</w:t>
      </w:r>
    </w:p>
    <w:p>
      <w:pPr>
        <w:widowControl/>
        <w:spacing w:before="100" w:beforeAutospacing="1" w:after="100" w:afterAutospacing="1" w:line="330" w:lineRule="atLeast"/>
        <w:ind w:firstLine="5160" w:firstLineChars="2150"/>
        <w:jc w:val="left"/>
        <w:rPr>
          <w:sz w:val="24"/>
        </w:rPr>
      </w:pPr>
    </w:p>
    <w:p>
      <w:pPr>
        <w:widowControl/>
        <w:spacing w:before="100" w:beforeAutospacing="1" w:after="100" w:afterAutospacing="1" w:line="330" w:lineRule="atLeast"/>
        <w:ind w:firstLine="5160" w:firstLineChars="2150"/>
        <w:jc w:val="left"/>
        <w:rPr>
          <w:sz w:val="24"/>
        </w:rPr>
      </w:pPr>
    </w:p>
    <w:p>
      <w:pPr>
        <w:widowControl/>
        <w:spacing w:before="100" w:beforeAutospacing="1" w:after="100" w:afterAutospacing="1" w:line="330" w:lineRule="atLeast"/>
        <w:ind w:firstLine="5160" w:firstLineChars="2150"/>
        <w:jc w:val="left"/>
        <w:rPr>
          <w:sz w:val="24"/>
        </w:rPr>
      </w:pPr>
    </w:p>
    <w:p>
      <w:pPr>
        <w:widowControl/>
        <w:spacing w:before="100" w:beforeAutospacing="1" w:after="100" w:afterAutospacing="1" w:line="330" w:lineRule="atLeast"/>
        <w:ind w:firstLine="5160" w:firstLineChars="2150"/>
        <w:jc w:val="left"/>
        <w:rPr>
          <w:sz w:val="24"/>
        </w:rPr>
      </w:pPr>
    </w:p>
    <w:p>
      <w:pPr>
        <w:widowControl/>
        <w:spacing w:before="100" w:beforeAutospacing="1" w:after="100" w:afterAutospacing="1" w:line="330" w:lineRule="atLeast"/>
        <w:ind w:firstLine="5160" w:firstLineChars="2150"/>
        <w:jc w:val="left"/>
        <w:rPr>
          <w:sz w:val="24"/>
        </w:rPr>
      </w:pPr>
    </w:p>
    <w:p>
      <w:pPr>
        <w:widowControl/>
        <w:spacing w:before="100" w:beforeAutospacing="1" w:after="100" w:afterAutospacing="1" w:line="330" w:lineRule="atLeast"/>
        <w:ind w:firstLine="5160" w:firstLineChars="2150"/>
        <w:jc w:val="left"/>
        <w:rPr>
          <w:sz w:val="24"/>
        </w:rPr>
      </w:pPr>
      <w:r>
        <w:rPr>
          <w:sz w:val="24"/>
        </w:rPr>
        <w:t>企业名称（盖章）：</w:t>
      </w:r>
    </w:p>
    <w:p>
      <w:pPr>
        <w:widowControl/>
        <w:spacing w:before="100" w:beforeAutospacing="1" w:after="100" w:afterAutospacing="1" w:line="330" w:lineRule="atLeast"/>
        <w:ind w:firstLine="5040" w:firstLineChars="2100"/>
        <w:jc w:val="left"/>
        <w:rPr>
          <w:sz w:val="24"/>
        </w:rPr>
      </w:pPr>
      <w:r>
        <w:rPr>
          <w:sz w:val="24"/>
        </w:rPr>
        <w:t>　　日　期：</w:t>
      </w:r>
    </w:p>
    <w:p>
      <w:pPr>
        <w:tabs>
          <w:tab w:val="left" w:pos="5580"/>
        </w:tabs>
        <w:spacing w:before="360" w:line="360" w:lineRule="auto"/>
        <w:ind w:left="540" w:firstLine="360"/>
        <w:rPr>
          <w:rFonts w:ascii="宋体" w:hAnsi="宋体"/>
          <w:bCs/>
          <w:sz w:val="24"/>
        </w:rPr>
      </w:pPr>
    </w:p>
    <w:p>
      <w:pPr>
        <w:tabs>
          <w:tab w:val="left" w:pos="5580"/>
        </w:tabs>
        <w:spacing w:before="360" w:line="360" w:lineRule="auto"/>
        <w:ind w:left="540" w:firstLine="360"/>
        <w:rPr>
          <w:rFonts w:ascii="宋体" w:hAnsi="宋体"/>
          <w:bCs/>
          <w:sz w:val="24"/>
        </w:rPr>
      </w:pPr>
    </w:p>
    <w:p>
      <w:pPr>
        <w:tabs>
          <w:tab w:val="left" w:pos="5580"/>
        </w:tabs>
        <w:spacing w:before="120" w:line="360" w:lineRule="auto"/>
        <w:ind w:left="-2" w:leftChars="-1" w:firstLine="2"/>
        <w:jc w:val="center"/>
        <w:rPr>
          <w:sz w:val="24"/>
        </w:rPr>
      </w:pPr>
    </w:p>
    <w:p>
      <w:pPr>
        <w:pStyle w:val="8"/>
        <w:rPr>
          <w:lang w:val="en-US"/>
        </w:rPr>
        <w:sectPr>
          <w:pgSz w:w="11907" w:h="16840"/>
          <w:pgMar w:top="1089" w:right="1418" w:bottom="1400" w:left="1418" w:header="851" w:footer="992" w:gutter="0"/>
          <w:cols w:space="720" w:num="1"/>
          <w:docGrid w:linePitch="312" w:charSpace="0"/>
        </w:sectPr>
      </w:pPr>
    </w:p>
    <w:p>
      <w:pPr>
        <w:pStyle w:val="4"/>
        <w:tabs>
          <w:tab w:val="left" w:pos="900"/>
        </w:tabs>
        <w:spacing w:line="360" w:lineRule="auto"/>
        <w:jc w:val="center"/>
        <w:rPr>
          <w:rFonts w:hint="default"/>
          <w:sz w:val="24"/>
        </w:rPr>
      </w:pPr>
      <w:bookmarkStart w:id="331" w:name="_Toc523911449"/>
      <w:bookmarkStart w:id="332" w:name="_Toc6665593"/>
      <w:r>
        <w:rPr>
          <w:sz w:val="24"/>
        </w:rPr>
        <w:t>14 残疾人福利性单位声明函（如适用）</w:t>
      </w:r>
      <w:bookmarkEnd w:id="331"/>
      <w:bookmarkEnd w:id="332"/>
    </w:p>
    <w:p>
      <w:pPr>
        <w:pStyle w:val="8"/>
        <w:rPr>
          <w:lang w:val="en-US"/>
        </w:rPr>
      </w:pPr>
    </w:p>
    <w:p>
      <w:pPr>
        <w:pStyle w:val="8"/>
        <w:spacing w:line="360" w:lineRule="auto"/>
        <w:rPr>
          <w:lang w:val="en-US"/>
        </w:rPr>
      </w:pPr>
      <w:r>
        <w:rPr>
          <w:rFonts w:hint="eastAsia"/>
          <w:lang w:val="en-US"/>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8"/>
        <w:spacing w:line="360" w:lineRule="auto"/>
        <w:rPr>
          <w:lang w:val="en-US"/>
        </w:rPr>
      </w:pPr>
      <w:r>
        <w:rPr>
          <w:rFonts w:hint="eastAsia"/>
          <w:lang w:val="en-US"/>
        </w:rPr>
        <w:t>本单位对上述声明的真实性负责。如有虚假，将依法承担相应责任。</w:t>
      </w:r>
    </w:p>
    <w:p>
      <w:pPr>
        <w:pStyle w:val="8"/>
        <w:spacing w:line="360" w:lineRule="auto"/>
        <w:rPr>
          <w:lang w:val="en-US"/>
        </w:rPr>
      </w:pPr>
    </w:p>
    <w:p>
      <w:pPr>
        <w:pStyle w:val="8"/>
        <w:spacing w:line="360" w:lineRule="auto"/>
        <w:rPr>
          <w:lang w:val="en-US"/>
        </w:rPr>
      </w:pPr>
    </w:p>
    <w:p>
      <w:pPr>
        <w:pStyle w:val="8"/>
        <w:spacing w:line="360" w:lineRule="auto"/>
        <w:rPr>
          <w:lang w:val="en-US"/>
        </w:rPr>
      </w:pPr>
      <w:r>
        <w:rPr>
          <w:rFonts w:hint="eastAsia"/>
          <w:lang w:val="en-US"/>
        </w:rPr>
        <w:t>单位名称（盖章）：</w:t>
      </w:r>
    </w:p>
    <w:p>
      <w:pPr>
        <w:pStyle w:val="8"/>
        <w:spacing w:line="360" w:lineRule="auto"/>
        <w:rPr>
          <w:lang w:val="en-US"/>
        </w:rPr>
      </w:pPr>
      <w:r>
        <w:rPr>
          <w:rFonts w:hint="eastAsia"/>
          <w:lang w:val="en-US"/>
        </w:rPr>
        <w:t>日  期：</w:t>
      </w:r>
    </w:p>
    <w:p>
      <w:pPr>
        <w:widowControl/>
        <w:jc w:val="left"/>
        <w:rPr>
          <w:rFonts w:ascii="宋体"/>
          <w:kern w:val="0"/>
          <w:sz w:val="24"/>
          <w:szCs w:val="20"/>
        </w:rPr>
      </w:pPr>
      <w:r>
        <w:rPr>
          <w:rFonts w:ascii="宋体"/>
          <w:kern w:val="0"/>
          <w:sz w:val="24"/>
          <w:szCs w:val="20"/>
        </w:rPr>
        <w:br w:type="page"/>
      </w:r>
    </w:p>
    <w:p>
      <w:pPr>
        <w:pStyle w:val="4"/>
        <w:tabs>
          <w:tab w:val="left" w:pos="900"/>
        </w:tabs>
        <w:spacing w:line="360" w:lineRule="auto"/>
        <w:jc w:val="center"/>
        <w:rPr>
          <w:rFonts w:hint="default"/>
          <w:sz w:val="24"/>
        </w:rPr>
      </w:pPr>
      <w:bookmarkStart w:id="333" w:name="_Toc6665594"/>
      <w:r>
        <w:rPr>
          <w:sz w:val="24"/>
          <w:lang w:val="en-US"/>
        </w:rPr>
        <w:t xml:space="preserve">15 </w:t>
      </w:r>
      <w:r>
        <w:rPr>
          <w:sz w:val="24"/>
        </w:rPr>
        <w:t>《</w:t>
      </w:r>
      <w:r>
        <w:rPr>
          <w:rFonts w:cs="Arial"/>
          <w:b/>
          <w:bCs/>
          <w:sz w:val="28"/>
          <w:szCs w:val="28"/>
        </w:rPr>
        <w:t>监狱、戒毒企业声明函</w:t>
      </w:r>
      <w:r>
        <w:rPr>
          <w:sz w:val="24"/>
        </w:rPr>
        <w:t>》（如适用）</w:t>
      </w:r>
      <w:bookmarkEnd w:id="333"/>
    </w:p>
    <w:p>
      <w:pPr>
        <w:tabs>
          <w:tab w:val="left" w:pos="5580"/>
        </w:tabs>
        <w:spacing w:before="120" w:line="360" w:lineRule="auto"/>
        <w:ind w:left="-2" w:leftChars="-1" w:firstLine="2"/>
        <w:jc w:val="center"/>
        <w:rPr>
          <w:sz w:val="24"/>
        </w:rPr>
      </w:pPr>
    </w:p>
    <w:p>
      <w:pPr>
        <w:spacing w:line="480" w:lineRule="auto"/>
        <w:jc w:val="center"/>
        <w:rPr>
          <w:rFonts w:ascii="宋体" w:hAnsi="宋体" w:cs="Arial"/>
          <w:sz w:val="24"/>
        </w:rPr>
      </w:pPr>
      <w:r>
        <w:rPr>
          <w:rFonts w:hint="eastAsia" w:ascii="宋体" w:hAnsi="宋体"/>
          <w:sz w:val="24"/>
        </w:rPr>
        <w:t>（如为</w:t>
      </w:r>
      <w:r>
        <w:rPr>
          <w:rFonts w:ascii="宋体" w:hAnsi="宋体"/>
          <w:sz w:val="24"/>
        </w:rPr>
        <w:t>监狱</w:t>
      </w:r>
      <w:r>
        <w:rPr>
          <w:rFonts w:hint="eastAsia" w:ascii="宋体" w:hAnsi="宋体"/>
          <w:sz w:val="24"/>
        </w:rPr>
        <w:t>、</w:t>
      </w:r>
      <w:r>
        <w:rPr>
          <w:rFonts w:ascii="宋体" w:hAnsi="宋体"/>
          <w:sz w:val="24"/>
        </w:rPr>
        <w:t>戒毒</w:t>
      </w:r>
      <w:r>
        <w:rPr>
          <w:rFonts w:hint="eastAsia" w:ascii="宋体" w:hAnsi="宋体"/>
          <w:sz w:val="24"/>
        </w:rPr>
        <w:t>企业，须提供声明函</w:t>
      </w:r>
      <w:r>
        <w:rPr>
          <w:rFonts w:hint="eastAsia" w:ascii="宋体" w:hAnsi="宋体" w:cs="Arial"/>
          <w:sz w:val="24"/>
        </w:rPr>
        <w:t>）</w:t>
      </w:r>
    </w:p>
    <w:p>
      <w:pPr>
        <w:spacing w:line="480" w:lineRule="auto"/>
        <w:jc w:val="center"/>
        <w:rPr>
          <w:rFonts w:ascii="宋体" w:hAnsi="宋体" w:cs="Arial"/>
          <w:b/>
          <w:bCs/>
          <w:sz w:val="24"/>
        </w:rPr>
      </w:pPr>
    </w:p>
    <w:p>
      <w:pPr>
        <w:pStyle w:val="102"/>
        <w:widowControl w:val="0"/>
        <w:spacing w:line="360" w:lineRule="auto"/>
        <w:ind w:firstLine="424" w:firstLineChars="177"/>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本公司为______（请填写：监狱、戒毒）企业。即，本公司同时满足以下条件：</w:t>
      </w:r>
    </w:p>
    <w:p>
      <w:pPr>
        <w:pStyle w:val="102"/>
        <w:widowControl w:val="0"/>
        <w:spacing w:line="360" w:lineRule="auto"/>
        <w:ind w:firstLine="424" w:firstLineChars="177"/>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1.本公司为______（请填写：监狱、戒毒）企业。</w:t>
      </w:r>
    </w:p>
    <w:p>
      <w:pPr>
        <w:pStyle w:val="102"/>
        <w:widowControl w:val="0"/>
        <w:spacing w:line="360" w:lineRule="auto"/>
        <w:ind w:firstLine="424" w:firstLineChars="177"/>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2.本公司参加______单位的______项目采购活动提供本企业制造的货物，由本企业承担工程、提供服务，或者提供其他______（请填写：监狱、戒毒）企业制造的货物。</w:t>
      </w:r>
    </w:p>
    <w:p>
      <w:pPr>
        <w:pStyle w:val="102"/>
        <w:widowControl w:val="0"/>
        <w:spacing w:line="360" w:lineRule="auto"/>
        <w:ind w:firstLine="424" w:firstLineChars="177"/>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本公司对上述声明的真实性负责。如有虚假，将依法承担相应责任。</w:t>
      </w:r>
    </w:p>
    <w:p>
      <w:pPr>
        <w:spacing w:line="480" w:lineRule="auto"/>
        <w:ind w:firstLine="152"/>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spacing w:line="480" w:lineRule="auto"/>
        <w:ind w:firstLine="152"/>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企业名称（盖章）：</w:t>
      </w:r>
    </w:p>
    <w:p>
      <w:pPr>
        <w:spacing w:line="480" w:lineRule="auto"/>
        <w:ind w:firstLine="426"/>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           期：</w:t>
      </w:r>
    </w:p>
    <w:p>
      <w:pPr>
        <w:pStyle w:val="102"/>
        <w:widowControl w:val="0"/>
        <w:spacing w:line="480" w:lineRule="auto"/>
        <w:ind w:firstLine="373" w:firstLineChars="177"/>
        <w:rPr>
          <w:rFonts w:asciiTheme="minorEastAsia" w:hAnsiTheme="minorEastAsia" w:eastAsiaTheme="minorEastAsia" w:cstheme="minorEastAsia"/>
          <w:b/>
          <w:kern w:val="2"/>
        </w:rPr>
      </w:pPr>
    </w:p>
    <w:p>
      <w:pPr>
        <w:pStyle w:val="102"/>
        <w:widowControl w:val="0"/>
        <w:spacing w:line="480" w:lineRule="auto"/>
        <w:ind w:firstLine="373" w:firstLineChars="177"/>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注：</w:t>
      </w:r>
    </w:p>
    <w:p>
      <w:pPr>
        <w:pStyle w:val="102"/>
        <w:widowControl w:val="0"/>
        <w:spacing w:line="480" w:lineRule="auto"/>
        <w:ind w:firstLine="373" w:firstLineChars="177"/>
        <w:rPr>
          <w:rFonts w:asciiTheme="minorEastAsia" w:hAnsiTheme="minorEastAsia" w:eastAsiaTheme="minorEastAsia" w:cstheme="minorEastAsia"/>
          <w:b/>
          <w:kern w:val="2"/>
          <w:szCs w:val="21"/>
        </w:rPr>
      </w:pPr>
      <w:r>
        <w:rPr>
          <w:rFonts w:hint="eastAsia" w:asciiTheme="minorEastAsia" w:hAnsiTheme="minorEastAsia" w:eastAsiaTheme="minorEastAsia" w:cstheme="minorEastAsia"/>
          <w:b/>
          <w:kern w:val="2"/>
          <w:szCs w:val="21"/>
        </w:rPr>
        <w:t>(1)不符合上述情形的投标人无须提供上述声明函件。</w:t>
      </w:r>
    </w:p>
    <w:p>
      <w:pPr>
        <w:pStyle w:val="108"/>
      </w:pPr>
      <w:r>
        <w:rPr>
          <w:rFonts w:hint="eastAsia"/>
        </w:rPr>
        <w:t>(2)提供市监狱管理局、市教育矫治局出具的监狱企业的证明文件。</w:t>
      </w:r>
    </w:p>
    <w:p>
      <w:pPr>
        <w:pStyle w:val="102"/>
        <w:widowControl w:val="0"/>
        <w:spacing w:line="480" w:lineRule="auto"/>
        <w:ind w:firstLine="373" w:firstLineChars="177"/>
        <w:rPr>
          <w:rFonts w:asciiTheme="minorEastAsia" w:hAnsiTheme="minorEastAsia" w:eastAsiaTheme="minorEastAsia" w:cstheme="minorEastAsia"/>
          <w:b/>
          <w:kern w:val="2"/>
          <w:szCs w:val="21"/>
        </w:rPr>
      </w:pPr>
      <w:r>
        <w:rPr>
          <w:rFonts w:hint="eastAsia" w:asciiTheme="minorEastAsia" w:hAnsiTheme="minorEastAsia" w:eastAsiaTheme="minorEastAsia" w:cstheme="minorEastAsia"/>
          <w:b/>
          <w:kern w:val="2"/>
          <w:szCs w:val="21"/>
        </w:rPr>
        <w:t>(3)在政府采购活动中，监狱企业视同小型、微型企业，享受预留份额、评审中价格扣除等政府采购促进中小企业发展的相关政策。向监狱企业采购的金额，计入面向中小企业采购的统计数据。</w:t>
      </w:r>
    </w:p>
    <w:p>
      <w:pPr>
        <w:pStyle w:val="8"/>
        <w:spacing w:line="480" w:lineRule="auto"/>
        <w:rPr>
          <w:rFonts w:asciiTheme="minorEastAsia" w:hAnsiTheme="minorEastAsia" w:eastAsiaTheme="minorEastAsia" w:cstheme="minorEastAsia"/>
          <w:lang w:val="en-US"/>
        </w:rPr>
        <w:sectPr>
          <w:pgSz w:w="11907" w:h="16840"/>
          <w:pgMar w:top="1089" w:right="1418" w:bottom="1400" w:left="1418" w:header="851" w:footer="992" w:gutter="0"/>
          <w:cols w:space="720" w:num="1"/>
          <w:docGrid w:linePitch="312" w:charSpace="0"/>
        </w:sectPr>
      </w:pPr>
    </w:p>
    <w:p>
      <w:pPr>
        <w:pStyle w:val="4"/>
        <w:widowControl/>
        <w:tabs>
          <w:tab w:val="left" w:pos="900"/>
        </w:tabs>
        <w:spacing w:line="360" w:lineRule="auto"/>
        <w:jc w:val="center"/>
        <w:rPr>
          <w:rFonts w:hint="default"/>
          <w:sz w:val="24"/>
        </w:rPr>
      </w:pPr>
      <w:bookmarkStart w:id="334" w:name="_Toc6665595"/>
      <w:r>
        <w:rPr>
          <w:sz w:val="24"/>
        </w:rPr>
        <w:t>1</w:t>
      </w:r>
      <w:r>
        <w:rPr>
          <w:sz w:val="24"/>
          <w:lang w:val="en-US"/>
        </w:rPr>
        <w:t xml:space="preserve">6 </w:t>
      </w:r>
      <w:r>
        <w:rPr>
          <w:sz w:val="24"/>
        </w:rPr>
        <w:t>投标人认为必要的其他证明文件</w:t>
      </w:r>
      <w:bookmarkEnd w:id="334"/>
    </w:p>
    <w:bookmarkEnd w:id="159"/>
    <w:bookmarkEnd w:id="160"/>
    <w:bookmarkEnd w:id="161"/>
    <w:bookmarkEnd w:id="162"/>
    <w:p>
      <w:pPr>
        <w:pStyle w:val="117"/>
      </w:pPr>
    </w:p>
    <w:sectPr>
      <w:pgSz w:w="11907" w:h="16840"/>
      <w:pgMar w:top="1089" w:right="1418" w:bottom="1400" w:left="1418"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kzidenz Grotesk BQ">
    <w:altName w:val="新宋体"/>
    <w:panose1 w:val="00000000000000000000"/>
    <w:charset w:val="00"/>
    <w:family w:val="swiss"/>
    <w:pitch w:val="default"/>
    <w:sig w:usb0="00000000" w:usb1="00000000" w:usb2="00000010" w:usb3="00000000" w:csb0="00040001" w:csb1="00000000"/>
  </w:font>
  <w:font w:name="Frutiger Roman">
    <w:altName w:val="Lucida Sans Unicode"/>
    <w:panose1 w:val="00000000000000000000"/>
    <w:charset w:val="00"/>
    <w:family w:val="swiss"/>
    <w:pitch w:val="default"/>
    <w:sig w:usb0="00000000" w:usb1="00000000" w:usb2="00000000" w:usb3="00000000" w:csb0="00000013"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Helvetica Neue">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Style w:val="51"/>
                            </w:rPr>
                          </w:pPr>
                          <w:r>
                            <w:fldChar w:fldCharType="begin"/>
                          </w:r>
                          <w:r>
                            <w:rPr>
                              <w:rStyle w:val="51"/>
                            </w:rPr>
                            <w:instrText xml:space="preserve">PAGE  </w:instrText>
                          </w:r>
                          <w:r>
                            <w:fldChar w:fldCharType="separate"/>
                          </w:r>
                          <w:r>
                            <w:rPr>
                              <w:rStyle w:val="51"/>
                            </w:rPr>
                            <w:t>36</w:t>
                          </w:r>
                          <w:r>
                            <w:fldChar w:fldCharType="end"/>
                          </w:r>
                        </w:p>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goEsJsQEA&#10;AE4DAAAOAAAAAAAAAAEAIAAAAB4BAABkcnMvZTJvRG9jLnhtbFBLBQYAAAAABgAGAFkBAABBBQAA&#10;AAA=&#10;">
              <v:fill on="f" focussize="0,0"/>
              <v:stroke on="f"/>
              <v:imagedata o:title=""/>
              <o:lock v:ext="edit" aspectratio="f"/>
              <v:textbox inset="0mm,0mm,0mm,0mm" style="mso-fit-shape-to-text:t;">
                <w:txbxContent>
                  <w:p>
                    <w:pPr>
                      <w:pStyle w:val="26"/>
                      <w:rPr>
                        <w:rStyle w:val="51"/>
                      </w:rPr>
                    </w:pPr>
                    <w:r>
                      <w:fldChar w:fldCharType="begin"/>
                    </w:r>
                    <w:r>
                      <w:rPr>
                        <w:rStyle w:val="51"/>
                      </w:rPr>
                      <w:instrText xml:space="preserve">PAGE  </w:instrText>
                    </w:r>
                    <w:r>
                      <w:fldChar w:fldCharType="separate"/>
                    </w:r>
                    <w:r>
                      <w:rPr>
                        <w:rStyle w:val="51"/>
                      </w:rPr>
                      <w:t>36</w:t>
                    </w:r>
                    <w:r>
                      <w:fldChar w:fldCharType="end"/>
                    </w:r>
                  </w:p>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center"/>
      <w:rPr>
        <w:rFonts w:hAnsi="宋体"/>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Style w:val="51"/>
                            </w:rPr>
                          </w:pPr>
                          <w:r>
                            <w:fldChar w:fldCharType="begin"/>
                          </w:r>
                          <w:r>
                            <w:rPr>
                              <w:rStyle w:val="51"/>
                            </w:rPr>
                            <w:instrText xml:space="preserve">PAGE  </w:instrText>
                          </w:r>
                          <w:r>
                            <w:fldChar w:fldCharType="separate"/>
                          </w:r>
                          <w:r>
                            <w:rPr>
                              <w:rStyle w:val="51"/>
                            </w:rPr>
                            <w:t>55</w:t>
                          </w:r>
                          <w:r>
                            <w:fldChar w:fldCharType="end"/>
                          </w:r>
                        </w:p>
                        <w:p/>
                      </w:txbxContent>
                    </wps:txbx>
                    <wps:bodyPr wrap="none" lIns="0" tIns="0" rIns="0" bIns="0" upright="1">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3ktN9sQEA&#10;AE4DAAAOAAAAAAAAAAEAIAAAAB4BAABkcnMvZTJvRG9jLnhtbFBLBQYAAAAABgAGAFkBAABBBQAA&#10;AAA=&#10;">
              <v:fill on="f" focussize="0,0"/>
              <v:stroke on="f"/>
              <v:imagedata o:title=""/>
              <o:lock v:ext="edit" aspectratio="f"/>
              <v:textbox inset="0mm,0mm,0mm,0mm" style="mso-fit-shape-to-text:t;">
                <w:txbxContent>
                  <w:p>
                    <w:pPr>
                      <w:pStyle w:val="26"/>
                      <w:rPr>
                        <w:rStyle w:val="51"/>
                      </w:rPr>
                    </w:pPr>
                    <w:r>
                      <w:fldChar w:fldCharType="begin"/>
                    </w:r>
                    <w:r>
                      <w:rPr>
                        <w:rStyle w:val="51"/>
                      </w:rPr>
                      <w:instrText xml:space="preserve">PAGE  </w:instrText>
                    </w:r>
                    <w:r>
                      <w:fldChar w:fldCharType="separate"/>
                    </w:r>
                    <w:r>
                      <w:rPr>
                        <w:rStyle w:val="51"/>
                      </w:rPr>
                      <w:t>55</w:t>
                    </w:r>
                    <w:r>
                      <w:fldChar w:fldCharType="end"/>
                    </w:r>
                  </w:p>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Style w:val="51"/>
                            </w:rPr>
                          </w:pPr>
                          <w:r>
                            <w:fldChar w:fldCharType="begin"/>
                          </w:r>
                          <w:r>
                            <w:rPr>
                              <w:rStyle w:val="51"/>
                            </w:rPr>
                            <w:instrText xml:space="preserve">PAGE  </w:instrText>
                          </w:r>
                          <w:r>
                            <w:fldChar w:fldCharType="separate"/>
                          </w:r>
                          <w:r>
                            <w:rPr>
                              <w:rStyle w:val="51"/>
                            </w:rPr>
                            <w:t>70</w:t>
                          </w:r>
                          <w:r>
                            <w:fldChar w:fldCharType="end"/>
                          </w:r>
                        </w:p>
                        <w:p/>
                      </w:txbxContent>
                    </wps:txbx>
                    <wps:bodyPr wrap="none" lIns="0" tIns="0" rIns="0" bIns="0" upright="1">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PxXu/bIB&#10;AABOAwAADgAAAAAAAAABACAAAAAeAQAAZHJzL2Uyb0RvYy54bWxQSwUGAAAAAAYABgBZAQAAQgUA&#10;AAAA&#10;">
              <v:fill on="f" focussize="0,0"/>
              <v:stroke on="f"/>
              <v:imagedata o:title=""/>
              <o:lock v:ext="edit" aspectratio="f"/>
              <v:textbox inset="0mm,0mm,0mm,0mm" style="mso-fit-shape-to-text:t;">
                <w:txbxContent>
                  <w:p>
                    <w:pPr>
                      <w:pStyle w:val="26"/>
                      <w:rPr>
                        <w:rStyle w:val="51"/>
                      </w:rPr>
                    </w:pPr>
                    <w:r>
                      <w:fldChar w:fldCharType="begin"/>
                    </w:r>
                    <w:r>
                      <w:rPr>
                        <w:rStyle w:val="51"/>
                      </w:rPr>
                      <w:instrText xml:space="preserve">PAGE  </w:instrText>
                    </w:r>
                    <w:r>
                      <w:fldChar w:fldCharType="separate"/>
                    </w:r>
                    <w:r>
                      <w:rPr>
                        <w:rStyle w:val="51"/>
                      </w:rPr>
                      <w:t>70</w:t>
                    </w:r>
                    <w:r>
                      <w:fldChar w:fldCharType="end"/>
                    </w:r>
                  </w:p>
                  <w:p/>
                </w:txbxContent>
              </v:textbox>
            </v:shape>
          </w:pict>
        </mc:Fallback>
      </mc:AlternateContent>
    </w:r>
  </w:p>
  <w:p>
    <w:pPr>
      <w:pStyle w:val="26"/>
      <w:jc w:val="right"/>
      <w:rPr>
        <w:rFonts w:hAnsi="宋体"/>
      </w:rPr>
    </w:pPr>
    <w:r>
      <w:rPr>
        <w:rFonts w:hint="eastAsia" w:ascii="仿宋_GB2312" w:eastAsia="仿宋_GB2312"/>
      </w:rPr>
      <w:t xml:space="preserve">                                                                 　　</w:t>
    </w:r>
    <w:r>
      <w:rPr>
        <w:rFonts w:hint="eastAsia" w:hAnsi="宋体"/>
      </w:rPr>
      <w:t>北京华采招标代理有限公司(HCZB)</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51"/>
      </w:rPr>
    </w:pPr>
    <w:r>
      <w:fldChar w:fldCharType="begin"/>
    </w:r>
    <w:r>
      <w:rPr>
        <w:rStyle w:val="51"/>
      </w:rPr>
      <w:instrText xml:space="preserve">PAGE  </w:instrText>
    </w:r>
    <w:r>
      <w:fldChar w:fldCharType="separate"/>
    </w:r>
    <w:r>
      <w:rPr>
        <w:rStyle w:val="51"/>
      </w:rPr>
      <w:t>66</w:t>
    </w:r>
    <w:r>
      <w:fldChar w:fldCharType="end"/>
    </w:r>
  </w:p>
  <w:p>
    <w:pPr>
      <w:pStyle w:val="26"/>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51"/>
      </w:rPr>
    </w:pPr>
  </w:p>
  <w:p>
    <w:pPr>
      <w:pStyle w:val="26"/>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51"/>
      </w:rPr>
    </w:pPr>
    <w:r>
      <w:fldChar w:fldCharType="begin"/>
    </w:r>
    <w:r>
      <w:rPr>
        <w:rStyle w:val="51"/>
      </w:rPr>
      <w:instrText xml:space="preserve">PAGE  </w:instrTex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hOD5bIB&#10;AABOAwAADgAAAAAAAAABACAAAAAeAQAAZHJzL2Uyb0RvYy54bWxQSwUGAAAAAAYABgBZAQAAQgUA&#10;AAAA&#10;">
              <v:fill on="f" focussize="0,0"/>
              <v:stroke on="f"/>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51786373"/>
                          </w:sdtPr>
                          <w:sdtContent>
                            <w:p>
                              <w:pPr>
                                <w:pStyle w:val="26"/>
                                <w:jc w:val="center"/>
                              </w:pPr>
                              <w:r>
                                <w:fldChar w:fldCharType="begin"/>
                              </w:r>
                              <w:r>
                                <w:instrText xml:space="preserve">PAGE   \* MERGEFORMAT</w:instrText>
                              </w:r>
                              <w:r>
                                <w:fldChar w:fldCharType="separate"/>
                              </w:r>
                              <w:r>
                                <w:t>29</w:t>
                              </w:r>
                              <w:r>
                                <w:fldChar w:fldCharType="end"/>
                              </w:r>
                            </w:p>
                          </w:sdtContent>
                        </w:sdt>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WqGnSsQEA&#10;AE4DAAAOAAAAAAAAAAEAIAAAAB4BAABkcnMvZTJvRG9jLnhtbFBLBQYAAAAABgAGAFkBAABBBQAA&#10;AAA=&#10;">
              <v:fill on="f" focussize="0,0"/>
              <v:stroke on="f"/>
              <v:imagedata o:title=""/>
              <o:lock v:ext="edit" aspectratio="f"/>
              <v:textbox inset="0mm,0mm,0mm,0mm" style="mso-fit-shape-to-text:t;">
                <w:txbxContent>
                  <w:sdt>
                    <w:sdtPr>
                      <w:id w:val="51786373"/>
                    </w:sdtPr>
                    <w:sdtContent>
                      <w:p>
                        <w:pPr>
                          <w:pStyle w:val="26"/>
                          <w:jc w:val="center"/>
                        </w:pPr>
                        <w:r>
                          <w:fldChar w:fldCharType="begin"/>
                        </w:r>
                        <w:r>
                          <w:instrText xml:space="preserve">PAGE   \* MERGEFORMAT</w:instrText>
                        </w:r>
                        <w:r>
                          <w:fldChar w:fldCharType="separate"/>
                        </w:r>
                        <w:r>
                          <w:t>29</w:t>
                        </w:r>
                        <w:r>
                          <w:fldChar w:fldCharType="end"/>
                        </w:r>
                      </w:p>
                    </w:sdtContent>
                  </w:sd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mc:AlternateContent>
        <mc:Choice Requires="wps">
          <w:drawing>
            <wp:anchor distT="0" distB="0" distL="114300" distR="114300" simplePos="0" relativeHeight="251658240" behindDoc="1" locked="0" layoutInCell="0" allowOverlap="1">
              <wp:simplePos x="0" y="0"/>
              <wp:positionH relativeFrom="page">
                <wp:posOffset>1151255</wp:posOffset>
              </wp:positionH>
              <wp:positionV relativeFrom="page">
                <wp:posOffset>9777095</wp:posOffset>
              </wp:positionV>
              <wp:extent cx="5277485" cy="28384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5277485" cy="28384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文本框 1025" o:spid="_x0000_s1026" o:spt="202" type="#_x0000_t202" style="position:absolute;left:0pt;margin-left:90.65pt;margin-top:769.85pt;height:22.35pt;width:415.55pt;mso-position-horizontal-relative:page;mso-position-vertical-relative:page;z-index:-251658240;mso-width-relative:page;mso-height-relative:page;" filled="f" stroked="f" coordsize="21600,21600" o:allowincell="f" o:gfxdata="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WLt+NoAAAAOAQAADwAAAAAAAAABACAA&#10;AAAiAAAAZHJzL2Rvd25yZXYueG1sUEsBAhQAFAAAAAgAh07iQO19lTHSAQAAhwMAAA4AAAAAAAAA&#10;AQAgAAAAKQEAAGRycy9lMm9Eb2MueG1sUEsFBgAAAAAGAAYAWQEAAG0FAAAAAA==&#10;">
              <v:fill on="f" focussize="0,0"/>
              <v:stroke on="f"/>
              <v:imagedata o:title=""/>
              <o:lock v:ext="edit" aspectratio="f"/>
              <v:shadow on="t" color="#A0A0A4" offset="0pt,0pt" origin="0f,0f" matrix="65536f,0f,0f,65536f"/>
              <v:textbox inset="0mm,0mm,0mm,0mm"/>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tabs>
                              <w:tab w:val="left" w:pos="4149"/>
                              <w:tab w:val="left" w:pos="8016"/>
                              <w:tab w:val="clear" w:pos="4153"/>
                              <w:tab w:val="clear" w:pos="8306"/>
                            </w:tabs>
                            <w:rPr>
                              <w:rStyle w:val="51"/>
                            </w:rPr>
                          </w:pPr>
                          <w:r>
                            <w:rPr>
                              <w:rStyle w:val="51"/>
                            </w:rPr>
                            <w:fldChar w:fldCharType="begin"/>
                          </w:r>
                          <w:r>
                            <w:rPr>
                              <w:rStyle w:val="51"/>
                            </w:rPr>
                            <w:instrText xml:space="preserve">PAGE  </w:instrText>
                          </w:r>
                          <w:r>
                            <w:rPr>
                              <w:rStyle w:val="51"/>
                            </w:rPr>
                            <w:fldChar w:fldCharType="separate"/>
                          </w:r>
                          <w:r>
                            <w:rPr>
                              <w:rStyle w:val="51"/>
                            </w:rPr>
                            <w:t>53</w:t>
                          </w:r>
                          <w:r>
                            <w:rPr>
                              <w:rStyle w:val="51"/>
                            </w:rPr>
                            <w:fldChar w:fldCharType="end"/>
                          </w:r>
                        </w:p>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LMhPksQEA&#10;AE4DAAAOAAAAAAAAAAEAIAAAAB4BAABkcnMvZTJvRG9jLnhtbFBLBQYAAAAABgAGAFkBAABBBQAA&#10;AAA=&#10;">
              <v:fill on="f" focussize="0,0"/>
              <v:stroke on="f"/>
              <v:imagedata o:title=""/>
              <o:lock v:ext="edit" aspectratio="f"/>
              <v:textbox inset="0mm,0mm,0mm,0mm" style="mso-fit-shape-to-text:t;">
                <w:txbxContent>
                  <w:p>
                    <w:pPr>
                      <w:pStyle w:val="26"/>
                      <w:tabs>
                        <w:tab w:val="left" w:pos="4149"/>
                        <w:tab w:val="left" w:pos="8016"/>
                        <w:tab w:val="clear" w:pos="4153"/>
                        <w:tab w:val="clear" w:pos="8306"/>
                      </w:tabs>
                      <w:rPr>
                        <w:rStyle w:val="51"/>
                      </w:rPr>
                    </w:pPr>
                    <w:r>
                      <w:rPr>
                        <w:rStyle w:val="51"/>
                      </w:rPr>
                      <w:fldChar w:fldCharType="begin"/>
                    </w:r>
                    <w:r>
                      <w:rPr>
                        <w:rStyle w:val="51"/>
                      </w:rPr>
                      <w:instrText xml:space="preserve">PAGE  </w:instrText>
                    </w:r>
                    <w:r>
                      <w:rPr>
                        <w:rStyle w:val="51"/>
                      </w:rPr>
                      <w:fldChar w:fldCharType="separate"/>
                    </w:r>
                    <w:r>
                      <w:rPr>
                        <w:rStyle w:val="51"/>
                      </w:rPr>
                      <w:t>53</w:t>
                    </w:r>
                    <w:r>
                      <w:rPr>
                        <w:rStyle w:val="51"/>
                      </w:rPr>
                      <w:fldChar w:fldCharType="end"/>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tabs>
        <w:tab w:val="left" w:pos="4149"/>
        <w:tab w:val="left" w:pos="8016"/>
        <w:tab w:val="clear" w:pos="4153"/>
        <w:tab w:val="clear" w:pos="8306"/>
      </w:tabs>
      <w:rPr>
        <w:rStyle w:val="51"/>
      </w:rPr>
    </w:pPr>
    <w:r>
      <w:rPr>
        <w:rStyle w:val="51"/>
      </w:rPr>
      <w:fldChar w:fldCharType="begin"/>
    </w:r>
    <w:r>
      <w:rPr>
        <w:rStyle w:val="51"/>
      </w:rPr>
      <w:instrText xml:space="preserve">PAGE  </w:instrText>
    </w:r>
    <w:r>
      <w:rPr>
        <w:rStyle w:val="51"/>
      </w:rPr>
      <w:fldChar w:fldCharType="end"/>
    </w:r>
  </w:p>
  <w:p>
    <w:pPr>
      <w:pStyle w:val="26"/>
      <w:tabs>
        <w:tab w:val="left" w:pos="4149"/>
        <w:tab w:val="left" w:pos="8016"/>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4149"/>
        <w:tab w:val="left" w:pos="8016"/>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szCs w:val="18"/>
      </w:rPr>
    </w:pPr>
    <w:r>
      <w:rPr>
        <w:rFonts w:hint="eastAsia"/>
      </w:rPr>
      <w:t xml:space="preserve">2                        </w:t>
    </w:r>
    <w:r>
      <w:rPr>
        <w:rFonts w:hint="eastAsia"/>
        <w:szCs w:val="18"/>
      </w:rPr>
      <w:t>北京华采招标代理有限公司(HCZB)</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center"/>
      <w:rPr>
        <w:rFonts w:hAnsi="宋体"/>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Style w:val="51"/>
                            </w:rPr>
                          </w:pPr>
                          <w:r>
                            <w:fldChar w:fldCharType="begin"/>
                          </w:r>
                          <w:r>
                            <w:rPr>
                              <w:rStyle w:val="51"/>
                            </w:rPr>
                            <w:instrText xml:space="preserve">PAGE  </w:instrText>
                          </w:r>
                          <w:r>
                            <w:fldChar w:fldCharType="separate"/>
                          </w:r>
                          <w:r>
                            <w:rPr>
                              <w:rStyle w:val="51"/>
                            </w:rPr>
                            <w:t>54</w:t>
                          </w:r>
                          <w:r>
                            <w:fldChar w:fldCharType="end"/>
                          </w:r>
                        </w:p>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adA7/sQEA&#10;AE4DAAAOAAAAAAAAAAEAIAAAAB4BAABkcnMvZTJvRG9jLnhtbFBLBQYAAAAABgAGAFkBAABBBQAA&#10;AAA=&#10;">
              <v:fill on="f" focussize="0,0"/>
              <v:stroke on="f"/>
              <v:imagedata o:title=""/>
              <o:lock v:ext="edit" aspectratio="f"/>
              <v:textbox inset="0mm,0mm,0mm,0mm" style="mso-fit-shape-to-text:t;">
                <w:txbxContent>
                  <w:p>
                    <w:pPr>
                      <w:pStyle w:val="26"/>
                      <w:rPr>
                        <w:rStyle w:val="51"/>
                      </w:rPr>
                    </w:pPr>
                    <w:r>
                      <w:fldChar w:fldCharType="begin"/>
                    </w:r>
                    <w:r>
                      <w:rPr>
                        <w:rStyle w:val="51"/>
                      </w:rPr>
                      <w:instrText xml:space="preserve">PAGE  </w:instrText>
                    </w:r>
                    <w:r>
                      <w:fldChar w:fldCharType="separate"/>
                    </w:r>
                    <w:r>
                      <w:rPr>
                        <w:rStyle w:val="51"/>
                      </w:rPr>
                      <w:t>54</w:t>
                    </w:r>
                    <w:r>
                      <w:fldChar w:fldCharType="end"/>
                    </w:r>
                  </w:p>
                  <w:p/>
                </w:txbxContent>
              </v:textbox>
            </v:shape>
          </w:pict>
        </mc:Fallback>
      </mc:AlternateContent>
    </w:r>
    <w:r>
      <w:rPr>
        <w:rFonts w:hint="eastAsia"/>
      </w:rPr>
      <w:t>北京华采招标代理有限公司(HCZB)</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rFonts w:ascii="Cambria"/>
        <w:color w:val="FF0000"/>
        <w:sz w:val="20"/>
        <w:szCs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Cambria"/>
        <w:sz w:val="20"/>
        <w:szCs w:val="20"/>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tabs>
        <w:tab w:val="left" w:pos="4149"/>
        <w:tab w:val="left" w:pos="8016"/>
        <w:tab w:val="clear" w:pos="4153"/>
        <w:tab w:val="clear" w:pos="830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4149"/>
        <w:tab w:val="left" w:pos="8016"/>
        <w:tab w:val="clear" w:pos="4153"/>
        <w:tab w:val="clear"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4149"/>
        <w:tab w:val="left" w:pos="8016"/>
        <w:tab w:val="clear" w:pos="4153"/>
        <w:tab w:val="clear" w:pos="8306"/>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6" w:lineRule="auto"/>
      <w:rPr>
        <w:rFonts w:ascii="Cambria"/>
        <w:sz w:val="18"/>
        <w:szCs w:val="18"/>
        <w:u w:val="single"/>
      </w:rPr>
    </w:pPr>
  </w:p>
  <w:p>
    <w:pPr>
      <w:spacing w:line="360" w:lineRule="auto"/>
      <w:jc w:val="left"/>
      <w:rPr>
        <w:rFonts w:ascii="Cambria"/>
        <w:sz w:val="18"/>
        <w:szCs w:val="18"/>
        <w:u w:val="single"/>
      </w:rPr>
    </w:pPr>
    <w:r>
      <w:rPr>
        <w:rFonts w:hint="eastAsia" w:ascii="Cambria"/>
        <w:sz w:val="18"/>
        <w:szCs w:val="18"/>
        <w:u w:val="single"/>
      </w:rPr>
      <w:t xml:space="preserve">向基础教育倾斜-2015年北京市青少年校园足球-全国校园足球冠军杯赛项目                HCZB-2015-ZB1446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AF4F2"/>
    <w:multiLevelType w:val="singleLevel"/>
    <w:tmpl w:val="889AF4F2"/>
    <w:lvl w:ilvl="0" w:tentative="0">
      <w:start w:val="4"/>
      <w:numFmt w:val="chineseCounting"/>
      <w:suff w:val="space"/>
      <w:lvlText w:val="第%1章"/>
      <w:lvlJc w:val="left"/>
      <w:rPr>
        <w:rFonts w:hint="eastAsia"/>
      </w:rPr>
    </w:lvl>
  </w:abstractNum>
  <w:abstractNum w:abstractNumId="1">
    <w:nsid w:val="CFB9A289"/>
    <w:multiLevelType w:val="singleLevel"/>
    <w:tmpl w:val="CFB9A289"/>
    <w:lvl w:ilvl="0" w:tentative="0">
      <w:start w:val="2"/>
      <w:numFmt w:val="decimal"/>
      <w:suff w:val="nothing"/>
      <w:lvlText w:val="%1）"/>
      <w:lvlJc w:val="left"/>
    </w:lvl>
  </w:abstractNum>
  <w:abstractNum w:abstractNumId="2">
    <w:nsid w:val="D072F79A"/>
    <w:multiLevelType w:val="singleLevel"/>
    <w:tmpl w:val="D072F79A"/>
    <w:lvl w:ilvl="0" w:tentative="0">
      <w:start w:val="2"/>
      <w:numFmt w:val="decimal"/>
      <w:suff w:val="space"/>
      <w:lvlText w:val="%1."/>
      <w:lvlJc w:val="left"/>
    </w:lvl>
  </w:abstractNum>
  <w:abstractNum w:abstractNumId="3">
    <w:nsid w:val="05F81F64"/>
    <w:multiLevelType w:val="singleLevel"/>
    <w:tmpl w:val="05F81F64"/>
    <w:lvl w:ilvl="0" w:tentative="0">
      <w:start w:val="1"/>
      <w:numFmt w:val="decimal"/>
      <w:lvlText w:val="%1."/>
      <w:lvlJc w:val="left"/>
      <w:pPr>
        <w:tabs>
          <w:tab w:val="left" w:pos="360"/>
        </w:tabs>
        <w:ind w:left="360" w:hanging="360"/>
      </w:pPr>
    </w:lvl>
  </w:abstractNum>
  <w:abstractNum w:abstractNumId="4">
    <w:nsid w:val="0F8C110F"/>
    <w:multiLevelType w:val="multilevel"/>
    <w:tmpl w:val="0F8C110F"/>
    <w:lvl w:ilvl="0" w:tentative="0">
      <w:start w:val="1"/>
      <w:numFmt w:val="decimal"/>
      <w:lvlText w:val="%1."/>
      <w:lvlJc w:val="left"/>
      <w:pPr>
        <w:ind w:left="720" w:hanging="360"/>
      </w:pPr>
      <w:rPr>
        <w:rFonts w:hint="default" w:ascii="Arial" w:hAnsi="Arial" w:eastAsia="宋体" w:cs="Arial"/>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52D5D8C"/>
    <w:multiLevelType w:val="multilevel"/>
    <w:tmpl w:val="252D5D8C"/>
    <w:lvl w:ilvl="0" w:tentative="0">
      <w:start w:val="1"/>
      <w:numFmt w:val="none"/>
      <w:lvlText w:val="一、"/>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AC84DEB"/>
    <w:multiLevelType w:val="singleLevel"/>
    <w:tmpl w:val="2AC84DEB"/>
    <w:lvl w:ilvl="0" w:tentative="0">
      <w:start w:val="6"/>
      <w:numFmt w:val="decimal"/>
      <w:suff w:val="space"/>
      <w:lvlText w:val="%1."/>
      <w:lvlJc w:val="left"/>
    </w:lvl>
  </w:abstractNum>
  <w:abstractNum w:abstractNumId="7">
    <w:nsid w:val="423C354E"/>
    <w:multiLevelType w:val="multilevel"/>
    <w:tmpl w:val="423C354E"/>
    <w:lvl w:ilvl="0" w:tentative="0">
      <w:start w:val="1"/>
      <w:numFmt w:val="decimal"/>
      <w:lvlText w:val="%1."/>
      <w:lvlJc w:val="left"/>
      <w:pPr>
        <w:tabs>
          <w:tab w:val="left" w:pos="420"/>
        </w:tabs>
        <w:ind w:left="420" w:hanging="420"/>
      </w:pPr>
    </w:lvl>
    <w:lvl w:ilvl="1" w:tentative="0">
      <w:start w:val="1"/>
      <w:numFmt w:val="bullet"/>
      <w:pStyle w:val="10"/>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883097A"/>
    <w:multiLevelType w:val="multilevel"/>
    <w:tmpl w:val="7883097A"/>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0"/>
  </w:num>
  <w:num w:numId="3">
    <w:abstractNumId w:val="3"/>
  </w:num>
  <w:num w:numId="4">
    <w:abstractNumId w:val="4"/>
  </w:num>
  <w:num w:numId="5">
    <w:abstractNumId w:val="5"/>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66"/>
    <w:rsid w:val="00001B81"/>
    <w:rsid w:val="00012F60"/>
    <w:rsid w:val="00014632"/>
    <w:rsid w:val="00015781"/>
    <w:rsid w:val="00025F58"/>
    <w:rsid w:val="00034F18"/>
    <w:rsid w:val="00050E9E"/>
    <w:rsid w:val="00060675"/>
    <w:rsid w:val="00063F07"/>
    <w:rsid w:val="00071D7C"/>
    <w:rsid w:val="00087239"/>
    <w:rsid w:val="00087CA8"/>
    <w:rsid w:val="00090EC7"/>
    <w:rsid w:val="00092666"/>
    <w:rsid w:val="000B51AF"/>
    <w:rsid w:val="000B682C"/>
    <w:rsid w:val="000D6A3E"/>
    <w:rsid w:val="000D7EC1"/>
    <w:rsid w:val="000E1FD3"/>
    <w:rsid w:val="000E53E6"/>
    <w:rsid w:val="000E5F22"/>
    <w:rsid w:val="000F35DA"/>
    <w:rsid w:val="000F51CF"/>
    <w:rsid w:val="000F51D4"/>
    <w:rsid w:val="000F5266"/>
    <w:rsid w:val="00104BA8"/>
    <w:rsid w:val="00140529"/>
    <w:rsid w:val="001440C1"/>
    <w:rsid w:val="0014753A"/>
    <w:rsid w:val="0014761F"/>
    <w:rsid w:val="001560A9"/>
    <w:rsid w:val="00156236"/>
    <w:rsid w:val="0018300D"/>
    <w:rsid w:val="00183B0A"/>
    <w:rsid w:val="001872AA"/>
    <w:rsid w:val="001A57A7"/>
    <w:rsid w:val="001B15A2"/>
    <w:rsid w:val="001D292E"/>
    <w:rsid w:val="001D2BE8"/>
    <w:rsid w:val="001E3254"/>
    <w:rsid w:val="001E4C9E"/>
    <w:rsid w:val="001E7A79"/>
    <w:rsid w:val="001E7F9B"/>
    <w:rsid w:val="00206150"/>
    <w:rsid w:val="00211340"/>
    <w:rsid w:val="002133C9"/>
    <w:rsid w:val="00213D88"/>
    <w:rsid w:val="00216A30"/>
    <w:rsid w:val="00222990"/>
    <w:rsid w:val="0023384E"/>
    <w:rsid w:val="002340F7"/>
    <w:rsid w:val="00242A43"/>
    <w:rsid w:val="002441ED"/>
    <w:rsid w:val="0025373F"/>
    <w:rsid w:val="002A1F1B"/>
    <w:rsid w:val="002B41F0"/>
    <w:rsid w:val="002B7BA8"/>
    <w:rsid w:val="002C7375"/>
    <w:rsid w:val="002D23F6"/>
    <w:rsid w:val="002D7D9F"/>
    <w:rsid w:val="002E009B"/>
    <w:rsid w:val="002F6E20"/>
    <w:rsid w:val="00310877"/>
    <w:rsid w:val="00313501"/>
    <w:rsid w:val="00322CB2"/>
    <w:rsid w:val="00332446"/>
    <w:rsid w:val="00332CF9"/>
    <w:rsid w:val="003471B2"/>
    <w:rsid w:val="00373F2F"/>
    <w:rsid w:val="003860DC"/>
    <w:rsid w:val="003A3B0E"/>
    <w:rsid w:val="003B3279"/>
    <w:rsid w:val="003B36B4"/>
    <w:rsid w:val="003B3FAE"/>
    <w:rsid w:val="003B777F"/>
    <w:rsid w:val="003C0371"/>
    <w:rsid w:val="003C0A0D"/>
    <w:rsid w:val="003C2AD8"/>
    <w:rsid w:val="003C36B0"/>
    <w:rsid w:val="003C733C"/>
    <w:rsid w:val="003D75C1"/>
    <w:rsid w:val="003E512D"/>
    <w:rsid w:val="003F6965"/>
    <w:rsid w:val="00423873"/>
    <w:rsid w:val="00424352"/>
    <w:rsid w:val="0043459A"/>
    <w:rsid w:val="00437B16"/>
    <w:rsid w:val="00440904"/>
    <w:rsid w:val="00445ABB"/>
    <w:rsid w:val="00454B9D"/>
    <w:rsid w:val="00464B45"/>
    <w:rsid w:val="00467752"/>
    <w:rsid w:val="00491EE2"/>
    <w:rsid w:val="004A7C36"/>
    <w:rsid w:val="004C14BE"/>
    <w:rsid w:val="004C4AD8"/>
    <w:rsid w:val="004D6D3F"/>
    <w:rsid w:val="004D79E9"/>
    <w:rsid w:val="004D7A8C"/>
    <w:rsid w:val="004E62F2"/>
    <w:rsid w:val="004F373D"/>
    <w:rsid w:val="00513660"/>
    <w:rsid w:val="0051761F"/>
    <w:rsid w:val="005206D2"/>
    <w:rsid w:val="005304B9"/>
    <w:rsid w:val="00534F8D"/>
    <w:rsid w:val="005455D1"/>
    <w:rsid w:val="00550676"/>
    <w:rsid w:val="00555B80"/>
    <w:rsid w:val="005577D5"/>
    <w:rsid w:val="00563955"/>
    <w:rsid w:val="00567F80"/>
    <w:rsid w:val="005724D6"/>
    <w:rsid w:val="00581134"/>
    <w:rsid w:val="005833D8"/>
    <w:rsid w:val="00586B97"/>
    <w:rsid w:val="005915BF"/>
    <w:rsid w:val="005D0A26"/>
    <w:rsid w:val="005E6A66"/>
    <w:rsid w:val="005F13DA"/>
    <w:rsid w:val="005F2F25"/>
    <w:rsid w:val="005F6FCD"/>
    <w:rsid w:val="006037C4"/>
    <w:rsid w:val="00603D47"/>
    <w:rsid w:val="00604732"/>
    <w:rsid w:val="00607CB3"/>
    <w:rsid w:val="00611779"/>
    <w:rsid w:val="006142A7"/>
    <w:rsid w:val="0062288D"/>
    <w:rsid w:val="00623AE6"/>
    <w:rsid w:val="0064422D"/>
    <w:rsid w:val="00646509"/>
    <w:rsid w:val="00650FBC"/>
    <w:rsid w:val="006517F2"/>
    <w:rsid w:val="00652DC4"/>
    <w:rsid w:val="006602E6"/>
    <w:rsid w:val="00665BD3"/>
    <w:rsid w:val="00673A05"/>
    <w:rsid w:val="00685F46"/>
    <w:rsid w:val="0068602B"/>
    <w:rsid w:val="00687054"/>
    <w:rsid w:val="006878F1"/>
    <w:rsid w:val="00692F14"/>
    <w:rsid w:val="006959F9"/>
    <w:rsid w:val="006A3840"/>
    <w:rsid w:val="006A5659"/>
    <w:rsid w:val="006A6F37"/>
    <w:rsid w:val="006B2F6B"/>
    <w:rsid w:val="006D4294"/>
    <w:rsid w:val="006D4BAA"/>
    <w:rsid w:val="006E20DC"/>
    <w:rsid w:val="006E4C13"/>
    <w:rsid w:val="006E7D5B"/>
    <w:rsid w:val="00702324"/>
    <w:rsid w:val="0071489E"/>
    <w:rsid w:val="00727F9B"/>
    <w:rsid w:val="007370D3"/>
    <w:rsid w:val="00753421"/>
    <w:rsid w:val="007611A3"/>
    <w:rsid w:val="00763680"/>
    <w:rsid w:val="00771ED9"/>
    <w:rsid w:val="00776488"/>
    <w:rsid w:val="007867F8"/>
    <w:rsid w:val="00795D7A"/>
    <w:rsid w:val="00797D18"/>
    <w:rsid w:val="007A2989"/>
    <w:rsid w:val="007A2F68"/>
    <w:rsid w:val="007B0AEC"/>
    <w:rsid w:val="007B74D8"/>
    <w:rsid w:val="007C70C4"/>
    <w:rsid w:val="007E39A3"/>
    <w:rsid w:val="008159C4"/>
    <w:rsid w:val="0082014D"/>
    <w:rsid w:val="00820838"/>
    <w:rsid w:val="008254F9"/>
    <w:rsid w:val="008277AD"/>
    <w:rsid w:val="00843191"/>
    <w:rsid w:val="00850814"/>
    <w:rsid w:val="008577F4"/>
    <w:rsid w:val="00862213"/>
    <w:rsid w:val="00863674"/>
    <w:rsid w:val="00880999"/>
    <w:rsid w:val="0088346F"/>
    <w:rsid w:val="008A2221"/>
    <w:rsid w:val="008A6324"/>
    <w:rsid w:val="008A7BF9"/>
    <w:rsid w:val="008C151A"/>
    <w:rsid w:val="008C3DA9"/>
    <w:rsid w:val="008D435D"/>
    <w:rsid w:val="008F35FC"/>
    <w:rsid w:val="008F5682"/>
    <w:rsid w:val="009002E6"/>
    <w:rsid w:val="009009E0"/>
    <w:rsid w:val="00906D50"/>
    <w:rsid w:val="00916D5E"/>
    <w:rsid w:val="009227D8"/>
    <w:rsid w:val="00925115"/>
    <w:rsid w:val="00933544"/>
    <w:rsid w:val="009349E7"/>
    <w:rsid w:val="009410C5"/>
    <w:rsid w:val="009432EE"/>
    <w:rsid w:val="00946C72"/>
    <w:rsid w:val="00954F70"/>
    <w:rsid w:val="00960074"/>
    <w:rsid w:val="00965196"/>
    <w:rsid w:val="00971C7E"/>
    <w:rsid w:val="00976951"/>
    <w:rsid w:val="009771ED"/>
    <w:rsid w:val="0098502C"/>
    <w:rsid w:val="00992C43"/>
    <w:rsid w:val="0099447C"/>
    <w:rsid w:val="009A0851"/>
    <w:rsid w:val="009A5578"/>
    <w:rsid w:val="009B136E"/>
    <w:rsid w:val="009B2C4F"/>
    <w:rsid w:val="009C6C30"/>
    <w:rsid w:val="009F20DE"/>
    <w:rsid w:val="009F38CE"/>
    <w:rsid w:val="009F47C5"/>
    <w:rsid w:val="009F53A4"/>
    <w:rsid w:val="009F67BA"/>
    <w:rsid w:val="00A12D57"/>
    <w:rsid w:val="00A32582"/>
    <w:rsid w:val="00A361F6"/>
    <w:rsid w:val="00A4152E"/>
    <w:rsid w:val="00A43723"/>
    <w:rsid w:val="00A44865"/>
    <w:rsid w:val="00A6305C"/>
    <w:rsid w:val="00A63171"/>
    <w:rsid w:val="00A64F74"/>
    <w:rsid w:val="00A741AC"/>
    <w:rsid w:val="00A74D4F"/>
    <w:rsid w:val="00AA32F1"/>
    <w:rsid w:val="00AA4472"/>
    <w:rsid w:val="00AA6B46"/>
    <w:rsid w:val="00AB3EB2"/>
    <w:rsid w:val="00AB6748"/>
    <w:rsid w:val="00AC0724"/>
    <w:rsid w:val="00AE0D8F"/>
    <w:rsid w:val="00AF39E8"/>
    <w:rsid w:val="00AF4F40"/>
    <w:rsid w:val="00AF69D5"/>
    <w:rsid w:val="00AF727F"/>
    <w:rsid w:val="00AF776F"/>
    <w:rsid w:val="00B10D86"/>
    <w:rsid w:val="00B15442"/>
    <w:rsid w:val="00B1589A"/>
    <w:rsid w:val="00B20CD9"/>
    <w:rsid w:val="00B24AD6"/>
    <w:rsid w:val="00B37A7F"/>
    <w:rsid w:val="00B5163B"/>
    <w:rsid w:val="00B571FE"/>
    <w:rsid w:val="00B574A6"/>
    <w:rsid w:val="00B62FCB"/>
    <w:rsid w:val="00B655CA"/>
    <w:rsid w:val="00B803A5"/>
    <w:rsid w:val="00B82EC3"/>
    <w:rsid w:val="00B85A89"/>
    <w:rsid w:val="00B92E3C"/>
    <w:rsid w:val="00B95512"/>
    <w:rsid w:val="00BA07DC"/>
    <w:rsid w:val="00BA3ADF"/>
    <w:rsid w:val="00BB2B7A"/>
    <w:rsid w:val="00BB3D27"/>
    <w:rsid w:val="00BC28D9"/>
    <w:rsid w:val="00BC484C"/>
    <w:rsid w:val="00BF1320"/>
    <w:rsid w:val="00BF3CD2"/>
    <w:rsid w:val="00C12A18"/>
    <w:rsid w:val="00C21B06"/>
    <w:rsid w:val="00C33328"/>
    <w:rsid w:val="00C342C4"/>
    <w:rsid w:val="00C34981"/>
    <w:rsid w:val="00C44197"/>
    <w:rsid w:val="00C80B79"/>
    <w:rsid w:val="00C82F55"/>
    <w:rsid w:val="00C925F6"/>
    <w:rsid w:val="00C931C8"/>
    <w:rsid w:val="00CB5422"/>
    <w:rsid w:val="00CC39E4"/>
    <w:rsid w:val="00CC475C"/>
    <w:rsid w:val="00CC570E"/>
    <w:rsid w:val="00CC6D1C"/>
    <w:rsid w:val="00CC7787"/>
    <w:rsid w:val="00CF4EBF"/>
    <w:rsid w:val="00CF7BF7"/>
    <w:rsid w:val="00D05047"/>
    <w:rsid w:val="00D05636"/>
    <w:rsid w:val="00D15812"/>
    <w:rsid w:val="00D16938"/>
    <w:rsid w:val="00D17088"/>
    <w:rsid w:val="00D249DC"/>
    <w:rsid w:val="00D4141B"/>
    <w:rsid w:val="00D465B7"/>
    <w:rsid w:val="00D62CCF"/>
    <w:rsid w:val="00D752BC"/>
    <w:rsid w:val="00D760D8"/>
    <w:rsid w:val="00D80746"/>
    <w:rsid w:val="00D908C8"/>
    <w:rsid w:val="00DA1D0F"/>
    <w:rsid w:val="00DB2DC6"/>
    <w:rsid w:val="00DB641C"/>
    <w:rsid w:val="00DC2ABC"/>
    <w:rsid w:val="00DD498E"/>
    <w:rsid w:val="00DE0EEB"/>
    <w:rsid w:val="00DE4295"/>
    <w:rsid w:val="00DE7492"/>
    <w:rsid w:val="00DE7A7E"/>
    <w:rsid w:val="00DF271F"/>
    <w:rsid w:val="00DF5232"/>
    <w:rsid w:val="00E01D37"/>
    <w:rsid w:val="00E02444"/>
    <w:rsid w:val="00E03C4A"/>
    <w:rsid w:val="00E07117"/>
    <w:rsid w:val="00E24E5B"/>
    <w:rsid w:val="00E2565B"/>
    <w:rsid w:val="00E45296"/>
    <w:rsid w:val="00E5712B"/>
    <w:rsid w:val="00E76AAC"/>
    <w:rsid w:val="00E813F8"/>
    <w:rsid w:val="00E8393E"/>
    <w:rsid w:val="00E84D49"/>
    <w:rsid w:val="00EA5167"/>
    <w:rsid w:val="00ED5B36"/>
    <w:rsid w:val="00F050FC"/>
    <w:rsid w:val="00F06030"/>
    <w:rsid w:val="00F112A9"/>
    <w:rsid w:val="00F13E9D"/>
    <w:rsid w:val="00F25697"/>
    <w:rsid w:val="00F47249"/>
    <w:rsid w:val="00F55CF3"/>
    <w:rsid w:val="00F7093E"/>
    <w:rsid w:val="00F734DD"/>
    <w:rsid w:val="00F73CA1"/>
    <w:rsid w:val="00F77300"/>
    <w:rsid w:val="00F84A78"/>
    <w:rsid w:val="00F86656"/>
    <w:rsid w:val="00F8774E"/>
    <w:rsid w:val="00F87D6F"/>
    <w:rsid w:val="00F93BB8"/>
    <w:rsid w:val="00FA4C1B"/>
    <w:rsid w:val="00FB526A"/>
    <w:rsid w:val="00FC2328"/>
    <w:rsid w:val="00FD2FCD"/>
    <w:rsid w:val="00FF2898"/>
    <w:rsid w:val="00FF7144"/>
    <w:rsid w:val="0266360F"/>
    <w:rsid w:val="049E0F2A"/>
    <w:rsid w:val="04FA0AC5"/>
    <w:rsid w:val="08445223"/>
    <w:rsid w:val="08C32682"/>
    <w:rsid w:val="08C40A30"/>
    <w:rsid w:val="0A41579E"/>
    <w:rsid w:val="0B336F32"/>
    <w:rsid w:val="0D710EC8"/>
    <w:rsid w:val="10921E1B"/>
    <w:rsid w:val="187A503E"/>
    <w:rsid w:val="1D20017A"/>
    <w:rsid w:val="1D422117"/>
    <w:rsid w:val="20123CE5"/>
    <w:rsid w:val="20A5506B"/>
    <w:rsid w:val="20A648C4"/>
    <w:rsid w:val="20C30CEE"/>
    <w:rsid w:val="22F77600"/>
    <w:rsid w:val="24546EA4"/>
    <w:rsid w:val="24A64C7D"/>
    <w:rsid w:val="256543FA"/>
    <w:rsid w:val="25811740"/>
    <w:rsid w:val="2AC16BD0"/>
    <w:rsid w:val="2B862E1D"/>
    <w:rsid w:val="2C643B47"/>
    <w:rsid w:val="2C9B3089"/>
    <w:rsid w:val="2D56686E"/>
    <w:rsid w:val="2E186A9F"/>
    <w:rsid w:val="2EAA2EF6"/>
    <w:rsid w:val="31C355F6"/>
    <w:rsid w:val="33E10F2D"/>
    <w:rsid w:val="365F6478"/>
    <w:rsid w:val="3665533B"/>
    <w:rsid w:val="39634F2F"/>
    <w:rsid w:val="3F6F0E7A"/>
    <w:rsid w:val="40535C52"/>
    <w:rsid w:val="40846B81"/>
    <w:rsid w:val="43C02AC5"/>
    <w:rsid w:val="44F47194"/>
    <w:rsid w:val="458B61B2"/>
    <w:rsid w:val="483B35EC"/>
    <w:rsid w:val="4AAA7FCB"/>
    <w:rsid w:val="4BC66246"/>
    <w:rsid w:val="4BCA6162"/>
    <w:rsid w:val="4D304DB6"/>
    <w:rsid w:val="4F070D9D"/>
    <w:rsid w:val="4F330EAD"/>
    <w:rsid w:val="50144180"/>
    <w:rsid w:val="50F71EEC"/>
    <w:rsid w:val="53C85A3C"/>
    <w:rsid w:val="5402230E"/>
    <w:rsid w:val="54495DBB"/>
    <w:rsid w:val="55F13045"/>
    <w:rsid w:val="57B56DD8"/>
    <w:rsid w:val="5B5A2555"/>
    <w:rsid w:val="5E984BBB"/>
    <w:rsid w:val="617308B6"/>
    <w:rsid w:val="6181793C"/>
    <w:rsid w:val="62493CD0"/>
    <w:rsid w:val="628C714D"/>
    <w:rsid w:val="62A57BEB"/>
    <w:rsid w:val="63835032"/>
    <w:rsid w:val="640A7410"/>
    <w:rsid w:val="648B4024"/>
    <w:rsid w:val="66373794"/>
    <w:rsid w:val="669B6419"/>
    <w:rsid w:val="670265C7"/>
    <w:rsid w:val="692E53AE"/>
    <w:rsid w:val="6ACC2B23"/>
    <w:rsid w:val="6B822C8D"/>
    <w:rsid w:val="6C3E5935"/>
    <w:rsid w:val="6C562A44"/>
    <w:rsid w:val="6E9267BA"/>
    <w:rsid w:val="7198468F"/>
    <w:rsid w:val="72137F6E"/>
    <w:rsid w:val="723A7CD6"/>
    <w:rsid w:val="74167256"/>
    <w:rsid w:val="744F02BC"/>
    <w:rsid w:val="759E135D"/>
    <w:rsid w:val="79DA626A"/>
    <w:rsid w:val="7B6E356E"/>
    <w:rsid w:val="7BA72507"/>
    <w:rsid w:val="7C076D3C"/>
    <w:rsid w:val="7C844CC0"/>
    <w:rsid w:val="7CEA68F8"/>
    <w:rsid w:val="7E426CB2"/>
    <w:rsid w:val="7E52403B"/>
    <w:rsid w:val="7E96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uiPriority="1"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7"/>
    <w:qFormat/>
    <w:uiPriority w:val="99"/>
    <w:pPr>
      <w:keepNext/>
      <w:keepLines/>
      <w:autoSpaceDE w:val="0"/>
      <w:autoSpaceDN w:val="0"/>
      <w:adjustRightInd w:val="0"/>
      <w:spacing w:before="240" w:after="120" w:line="300" w:lineRule="auto"/>
      <w:jc w:val="center"/>
      <w:outlineLvl w:val="0"/>
    </w:pPr>
    <w:rPr>
      <w:b/>
      <w:bCs/>
      <w:kern w:val="44"/>
      <w:sz w:val="28"/>
      <w:szCs w:val="44"/>
      <w:lang w:val="zh-CN"/>
    </w:rPr>
  </w:style>
  <w:style w:type="paragraph" w:styleId="3">
    <w:name w:val="heading 2"/>
    <w:basedOn w:val="1"/>
    <w:next w:val="1"/>
    <w:link w:val="58"/>
    <w:qFormat/>
    <w:uiPriority w:val="0"/>
    <w:pPr>
      <w:keepNext/>
      <w:keepLines/>
      <w:autoSpaceDE w:val="0"/>
      <w:autoSpaceDN w:val="0"/>
      <w:adjustRightInd w:val="0"/>
      <w:spacing w:before="120" w:line="300" w:lineRule="auto"/>
      <w:jc w:val="center"/>
      <w:outlineLvl w:val="1"/>
    </w:pPr>
    <w:rPr>
      <w:rFonts w:ascii="Cambria" w:hAnsi="Cambria"/>
      <w:b/>
      <w:bCs/>
      <w:sz w:val="32"/>
      <w:szCs w:val="32"/>
      <w:lang w:val="zh-CN"/>
    </w:rPr>
  </w:style>
  <w:style w:type="paragraph" w:styleId="4">
    <w:name w:val="heading 3"/>
    <w:basedOn w:val="1"/>
    <w:next w:val="1"/>
    <w:link w:val="59"/>
    <w:qFormat/>
    <w:uiPriority w:val="0"/>
    <w:pPr>
      <w:keepNext/>
      <w:keepLines/>
      <w:autoSpaceDE w:val="0"/>
      <w:autoSpaceDN w:val="0"/>
      <w:adjustRightInd w:val="0"/>
      <w:spacing w:before="360" w:after="120"/>
      <w:jc w:val="left"/>
      <w:outlineLvl w:val="2"/>
    </w:pPr>
    <w:rPr>
      <w:rFonts w:hint="eastAsia" w:ascii="宋体" w:hAnsi="宋体"/>
      <w:kern w:val="0"/>
      <w:sz w:val="20"/>
      <w:szCs w:val="20"/>
      <w:lang w:val="zh-CN"/>
    </w:rPr>
  </w:style>
  <w:style w:type="paragraph" w:styleId="5">
    <w:name w:val="heading 4"/>
    <w:basedOn w:val="1"/>
    <w:next w:val="1"/>
    <w:link w:val="60"/>
    <w:qFormat/>
    <w:uiPriority w:val="0"/>
    <w:pPr>
      <w:keepNext/>
      <w:keepLines/>
      <w:spacing w:before="280" w:after="290" w:line="372" w:lineRule="auto"/>
      <w:outlineLvl w:val="3"/>
    </w:pPr>
    <w:rPr>
      <w:rFonts w:ascii="Cambria" w:hAnsi="Cambria"/>
      <w:b/>
      <w:bCs/>
      <w:sz w:val="28"/>
      <w:szCs w:val="28"/>
      <w:lang w:val="zh-CN"/>
    </w:rPr>
  </w:style>
  <w:style w:type="character" w:default="1" w:styleId="49">
    <w:name w:val="Default Paragraph Font"/>
    <w:semiHidden/>
    <w:unhideWhenUsed/>
    <w:uiPriority w:val="1"/>
  </w:style>
  <w:style w:type="table" w:default="1" w:styleId="47">
    <w:name w:val="Normal Table"/>
    <w:semiHidden/>
    <w:unhideWhenUsed/>
    <w:qFormat/>
    <w:uiPriority w:val="99"/>
    <w:tblPr>
      <w:tblLayout w:type="fixed"/>
      <w:tblCellMar>
        <w:top w:w="0" w:type="dxa"/>
        <w:left w:w="108" w:type="dxa"/>
        <w:bottom w:w="0" w:type="dxa"/>
        <w:right w:w="108" w:type="dxa"/>
      </w:tblCellMar>
    </w:tblPr>
  </w:style>
  <w:style w:type="paragraph" w:styleId="6">
    <w:name w:val="toc 7"/>
    <w:basedOn w:val="1"/>
    <w:next w:val="1"/>
    <w:qFormat/>
    <w:uiPriority w:val="39"/>
    <w:pPr>
      <w:ind w:left="1260"/>
      <w:jc w:val="left"/>
    </w:pPr>
    <w:rPr>
      <w:sz w:val="20"/>
      <w:szCs w:val="20"/>
    </w:rPr>
  </w:style>
  <w:style w:type="paragraph" w:styleId="7">
    <w:name w:val="index 8"/>
    <w:basedOn w:val="1"/>
    <w:next w:val="1"/>
    <w:qFormat/>
    <w:uiPriority w:val="0"/>
    <w:pPr>
      <w:ind w:left="1400" w:leftChars="1400"/>
    </w:pPr>
  </w:style>
  <w:style w:type="paragraph" w:styleId="8">
    <w:name w:val="Normal Indent"/>
    <w:basedOn w:val="1"/>
    <w:link w:val="115"/>
    <w:qFormat/>
    <w:uiPriority w:val="0"/>
    <w:pPr>
      <w:autoSpaceDE w:val="0"/>
      <w:autoSpaceDN w:val="0"/>
      <w:adjustRightInd w:val="0"/>
      <w:ind w:firstLine="420"/>
      <w:jc w:val="left"/>
    </w:pPr>
    <w:rPr>
      <w:rFonts w:ascii="宋体"/>
      <w:kern w:val="0"/>
      <w:sz w:val="24"/>
      <w:szCs w:val="20"/>
      <w:lang w:val="zh-CN"/>
    </w:rPr>
  </w:style>
  <w:style w:type="paragraph" w:styleId="9">
    <w:name w:val="index 5"/>
    <w:basedOn w:val="1"/>
    <w:next w:val="1"/>
    <w:qFormat/>
    <w:uiPriority w:val="0"/>
    <w:pPr>
      <w:ind w:left="800" w:leftChars="800"/>
    </w:pPr>
  </w:style>
  <w:style w:type="paragraph" w:styleId="10">
    <w:name w:val="List Bullet"/>
    <w:basedOn w:val="11"/>
    <w:qFormat/>
    <w:uiPriority w:val="0"/>
    <w:pPr>
      <w:widowControl/>
      <w:numPr>
        <w:ilvl w:val="1"/>
        <w:numId w:val="1"/>
      </w:numPr>
      <w:spacing w:line="300" w:lineRule="auto"/>
      <w:ind w:firstLine="0" w:firstLineChars="0"/>
    </w:pPr>
    <w:rPr>
      <w:rFonts w:eastAsia="幼圆"/>
      <w:spacing w:val="-5"/>
      <w:kern w:val="0"/>
      <w:sz w:val="24"/>
      <w:szCs w:val="24"/>
      <w:lang w:val="zh-CN"/>
    </w:rPr>
  </w:style>
  <w:style w:type="paragraph" w:styleId="11">
    <w:name w:val="List"/>
    <w:basedOn w:val="1"/>
    <w:qFormat/>
    <w:uiPriority w:val="0"/>
    <w:pPr>
      <w:ind w:left="200" w:hanging="200" w:hangingChars="200"/>
    </w:pPr>
    <w:rPr>
      <w:szCs w:val="20"/>
    </w:rPr>
  </w:style>
  <w:style w:type="paragraph" w:styleId="12">
    <w:name w:val="Document Map"/>
    <w:basedOn w:val="1"/>
    <w:link w:val="65"/>
    <w:qFormat/>
    <w:uiPriority w:val="0"/>
    <w:pPr>
      <w:shd w:val="clear" w:color="auto" w:fill="000080"/>
    </w:pPr>
    <w:rPr>
      <w:kern w:val="0"/>
      <w:sz w:val="16"/>
      <w:szCs w:val="16"/>
      <w:lang w:val="zh-CN"/>
    </w:rPr>
  </w:style>
  <w:style w:type="paragraph" w:styleId="13">
    <w:name w:val="annotation text"/>
    <w:basedOn w:val="1"/>
    <w:link w:val="61"/>
    <w:unhideWhenUsed/>
    <w:qFormat/>
    <w:uiPriority w:val="99"/>
    <w:pPr>
      <w:jc w:val="left"/>
    </w:pPr>
  </w:style>
  <w:style w:type="paragraph" w:styleId="14">
    <w:name w:val="index 6"/>
    <w:basedOn w:val="1"/>
    <w:next w:val="1"/>
    <w:qFormat/>
    <w:uiPriority w:val="0"/>
    <w:pPr>
      <w:ind w:left="1000" w:leftChars="1000"/>
    </w:pPr>
  </w:style>
  <w:style w:type="paragraph" w:styleId="15">
    <w:name w:val="Body Text"/>
    <w:basedOn w:val="1"/>
    <w:link w:val="63"/>
    <w:unhideWhenUsed/>
    <w:qFormat/>
    <w:uiPriority w:val="0"/>
    <w:pPr>
      <w:spacing w:after="120"/>
    </w:pPr>
  </w:style>
  <w:style w:type="paragraph" w:styleId="16">
    <w:name w:val="Body Text Indent"/>
    <w:basedOn w:val="1"/>
    <w:link w:val="66"/>
    <w:qFormat/>
    <w:uiPriority w:val="99"/>
    <w:pPr>
      <w:tabs>
        <w:tab w:val="left" w:pos="5580"/>
      </w:tabs>
      <w:spacing w:before="120" w:line="360" w:lineRule="auto"/>
      <w:ind w:firstLine="454"/>
    </w:pPr>
    <w:rPr>
      <w:sz w:val="24"/>
      <w:lang w:val="zh-CN"/>
    </w:rPr>
  </w:style>
  <w:style w:type="paragraph" w:styleId="17">
    <w:name w:val="index 4"/>
    <w:basedOn w:val="1"/>
    <w:next w:val="1"/>
    <w:qFormat/>
    <w:uiPriority w:val="0"/>
    <w:pPr>
      <w:ind w:left="600" w:leftChars="600"/>
    </w:pPr>
  </w:style>
  <w:style w:type="paragraph" w:styleId="18">
    <w:name w:val="toc 5"/>
    <w:basedOn w:val="1"/>
    <w:next w:val="1"/>
    <w:qFormat/>
    <w:uiPriority w:val="39"/>
    <w:pPr>
      <w:ind w:left="840"/>
      <w:jc w:val="left"/>
    </w:pPr>
    <w:rPr>
      <w:sz w:val="20"/>
      <w:szCs w:val="20"/>
    </w:rPr>
  </w:style>
  <w:style w:type="paragraph" w:styleId="19">
    <w:name w:val="toc 3"/>
    <w:basedOn w:val="1"/>
    <w:next w:val="1"/>
    <w:qFormat/>
    <w:uiPriority w:val="39"/>
    <w:pPr>
      <w:tabs>
        <w:tab w:val="right" w:leader="dot" w:pos="8998"/>
      </w:tabs>
      <w:ind w:left="420"/>
      <w:jc w:val="left"/>
    </w:pPr>
    <w:rPr>
      <w:sz w:val="20"/>
      <w:szCs w:val="20"/>
    </w:rPr>
  </w:style>
  <w:style w:type="paragraph" w:styleId="20">
    <w:name w:val="Plain Text"/>
    <w:basedOn w:val="1"/>
    <w:link w:val="82"/>
    <w:qFormat/>
    <w:uiPriority w:val="0"/>
    <w:rPr>
      <w:rFonts w:ascii="宋体" w:hAnsi="Courier New"/>
      <w:szCs w:val="21"/>
      <w:lang w:val="zh-CN"/>
    </w:rPr>
  </w:style>
  <w:style w:type="paragraph" w:styleId="21">
    <w:name w:val="toc 8"/>
    <w:basedOn w:val="1"/>
    <w:next w:val="1"/>
    <w:qFormat/>
    <w:uiPriority w:val="39"/>
    <w:pPr>
      <w:ind w:left="1470"/>
      <w:jc w:val="left"/>
    </w:pPr>
    <w:rPr>
      <w:sz w:val="20"/>
      <w:szCs w:val="20"/>
    </w:rPr>
  </w:style>
  <w:style w:type="paragraph" w:styleId="22">
    <w:name w:val="index 3"/>
    <w:basedOn w:val="1"/>
    <w:next w:val="1"/>
    <w:qFormat/>
    <w:uiPriority w:val="0"/>
    <w:pPr>
      <w:ind w:left="400" w:leftChars="400"/>
    </w:pPr>
  </w:style>
  <w:style w:type="paragraph" w:styleId="23">
    <w:name w:val="Date"/>
    <w:basedOn w:val="1"/>
    <w:next w:val="1"/>
    <w:link w:val="68"/>
    <w:qFormat/>
    <w:uiPriority w:val="0"/>
    <w:pPr>
      <w:ind w:left="100" w:leftChars="2500"/>
    </w:pPr>
    <w:rPr>
      <w:sz w:val="24"/>
      <w:lang w:val="zh-CN"/>
    </w:rPr>
  </w:style>
  <w:style w:type="paragraph" w:styleId="24">
    <w:name w:val="Body Text Indent 2"/>
    <w:basedOn w:val="1"/>
    <w:link w:val="69"/>
    <w:qFormat/>
    <w:uiPriority w:val="0"/>
    <w:pPr>
      <w:ind w:firstLine="480" w:firstLineChars="200"/>
    </w:pPr>
    <w:rPr>
      <w:sz w:val="24"/>
      <w:lang w:val="zh-CN"/>
    </w:rPr>
  </w:style>
  <w:style w:type="paragraph" w:styleId="25">
    <w:name w:val="Balloon Text"/>
    <w:basedOn w:val="1"/>
    <w:link w:val="70"/>
    <w:qFormat/>
    <w:uiPriority w:val="0"/>
    <w:rPr>
      <w:szCs w:val="20"/>
      <w:lang w:val="zh-CN"/>
    </w:rPr>
  </w:style>
  <w:style w:type="paragraph" w:styleId="26">
    <w:name w:val="footer"/>
    <w:basedOn w:val="1"/>
    <w:link w:val="71"/>
    <w:qFormat/>
    <w:uiPriority w:val="99"/>
    <w:pPr>
      <w:tabs>
        <w:tab w:val="center" w:pos="4153"/>
        <w:tab w:val="right" w:pos="8306"/>
      </w:tabs>
      <w:autoSpaceDE w:val="0"/>
      <w:autoSpaceDN w:val="0"/>
      <w:adjustRightInd w:val="0"/>
      <w:snapToGrid w:val="0"/>
      <w:jc w:val="left"/>
    </w:pPr>
    <w:rPr>
      <w:rFonts w:ascii="宋体"/>
      <w:kern w:val="0"/>
      <w:sz w:val="18"/>
      <w:szCs w:val="20"/>
      <w:lang w:val="zh-CN"/>
    </w:rPr>
  </w:style>
  <w:style w:type="paragraph" w:styleId="27">
    <w:name w:val="header"/>
    <w:basedOn w:val="1"/>
    <w:link w:val="72"/>
    <w:qFormat/>
    <w:uiPriority w:val="0"/>
    <w:pPr>
      <w:pBdr>
        <w:bottom w:val="single" w:color="auto" w:sz="6" w:space="1"/>
      </w:pBdr>
      <w:tabs>
        <w:tab w:val="center" w:pos="4153"/>
        <w:tab w:val="right" w:pos="8306"/>
      </w:tabs>
      <w:snapToGrid w:val="0"/>
      <w:jc w:val="center"/>
    </w:pPr>
    <w:rPr>
      <w:sz w:val="18"/>
      <w:szCs w:val="18"/>
      <w:lang w:val="zh-CN"/>
    </w:rPr>
  </w:style>
  <w:style w:type="paragraph" w:styleId="28">
    <w:name w:val="Signature"/>
    <w:basedOn w:val="1"/>
    <w:link w:val="73"/>
    <w:qFormat/>
    <w:uiPriority w:val="0"/>
    <w:pPr>
      <w:adjustRightInd w:val="0"/>
      <w:spacing w:after="600" w:line="312" w:lineRule="atLeast"/>
      <w:jc w:val="center"/>
      <w:textAlignment w:val="baseline"/>
    </w:pPr>
    <w:rPr>
      <w:rFonts w:eastAsia="仿宋_GB2312"/>
      <w:kern w:val="0"/>
      <w:sz w:val="24"/>
      <w:szCs w:val="20"/>
      <w:lang w:val="zh-CN"/>
    </w:rPr>
  </w:style>
  <w:style w:type="paragraph" w:styleId="29">
    <w:name w:val="toc 1"/>
    <w:basedOn w:val="1"/>
    <w:next w:val="1"/>
    <w:qFormat/>
    <w:uiPriority w:val="39"/>
    <w:pPr>
      <w:tabs>
        <w:tab w:val="right" w:leader="dot" w:pos="9061"/>
      </w:tabs>
      <w:spacing w:before="120"/>
      <w:jc w:val="center"/>
    </w:pPr>
    <w:rPr>
      <w:b/>
      <w:bCs/>
      <w:iCs/>
      <w:sz w:val="24"/>
    </w:rPr>
  </w:style>
  <w:style w:type="paragraph" w:styleId="30">
    <w:name w:val="toc 4"/>
    <w:basedOn w:val="1"/>
    <w:next w:val="1"/>
    <w:qFormat/>
    <w:uiPriority w:val="39"/>
    <w:pPr>
      <w:ind w:left="630"/>
      <w:jc w:val="left"/>
    </w:pPr>
    <w:rPr>
      <w:sz w:val="20"/>
      <w:szCs w:val="20"/>
    </w:rPr>
  </w:style>
  <w:style w:type="paragraph" w:styleId="31">
    <w:name w:val="index heading"/>
    <w:basedOn w:val="1"/>
    <w:next w:val="32"/>
    <w:qFormat/>
    <w:uiPriority w:val="0"/>
  </w:style>
  <w:style w:type="paragraph" w:styleId="32">
    <w:name w:val="index 1"/>
    <w:basedOn w:val="1"/>
    <w:next w:val="1"/>
    <w:unhideWhenUsed/>
    <w:qFormat/>
    <w:uiPriority w:val="0"/>
  </w:style>
  <w:style w:type="paragraph" w:styleId="33">
    <w:name w:val="toc 6"/>
    <w:basedOn w:val="1"/>
    <w:next w:val="1"/>
    <w:qFormat/>
    <w:uiPriority w:val="39"/>
    <w:pPr>
      <w:ind w:left="1050"/>
      <w:jc w:val="left"/>
    </w:pPr>
    <w:rPr>
      <w:sz w:val="20"/>
      <w:szCs w:val="20"/>
    </w:rPr>
  </w:style>
  <w:style w:type="paragraph" w:styleId="34">
    <w:name w:val="Body Text Indent 3"/>
    <w:basedOn w:val="1"/>
    <w:link w:val="74"/>
    <w:qFormat/>
    <w:uiPriority w:val="0"/>
    <w:pPr>
      <w:autoSpaceDE w:val="0"/>
      <w:autoSpaceDN w:val="0"/>
      <w:adjustRightInd w:val="0"/>
      <w:spacing w:before="120" w:line="22" w:lineRule="atLeast"/>
      <w:ind w:left="720" w:firstLine="480"/>
      <w:jc w:val="left"/>
    </w:pPr>
    <w:rPr>
      <w:sz w:val="16"/>
      <w:szCs w:val="16"/>
      <w:lang w:val="zh-CN"/>
    </w:rPr>
  </w:style>
  <w:style w:type="paragraph" w:styleId="35">
    <w:name w:val="index 7"/>
    <w:basedOn w:val="1"/>
    <w:next w:val="1"/>
    <w:qFormat/>
    <w:uiPriority w:val="0"/>
    <w:pPr>
      <w:ind w:left="1200" w:leftChars="1200"/>
    </w:pPr>
  </w:style>
  <w:style w:type="paragraph" w:styleId="36">
    <w:name w:val="index 9"/>
    <w:basedOn w:val="1"/>
    <w:next w:val="1"/>
    <w:qFormat/>
    <w:uiPriority w:val="0"/>
    <w:pPr>
      <w:ind w:left="1600" w:leftChars="1600"/>
    </w:pPr>
  </w:style>
  <w:style w:type="paragraph" w:styleId="37">
    <w:name w:val="table of figures"/>
    <w:basedOn w:val="1"/>
    <w:next w:val="1"/>
    <w:qFormat/>
    <w:uiPriority w:val="0"/>
    <w:pPr>
      <w:ind w:left="840" w:leftChars="200" w:hanging="420" w:hangingChars="200"/>
    </w:pPr>
  </w:style>
  <w:style w:type="paragraph" w:styleId="38">
    <w:name w:val="toc 2"/>
    <w:basedOn w:val="1"/>
    <w:next w:val="1"/>
    <w:qFormat/>
    <w:uiPriority w:val="39"/>
    <w:pPr>
      <w:tabs>
        <w:tab w:val="right" w:leader="underscore" w:pos="9061"/>
      </w:tabs>
      <w:spacing w:before="120"/>
    </w:pPr>
    <w:rPr>
      <w:rFonts w:ascii="宋体" w:hAnsi="宋体"/>
      <w:bCs/>
      <w:i/>
      <w:color w:val="000000"/>
      <w:kern w:val="44"/>
      <w:sz w:val="24"/>
    </w:rPr>
  </w:style>
  <w:style w:type="paragraph" w:styleId="39">
    <w:name w:val="toc 9"/>
    <w:basedOn w:val="1"/>
    <w:next w:val="1"/>
    <w:qFormat/>
    <w:uiPriority w:val="39"/>
    <w:pPr>
      <w:ind w:left="1680"/>
      <w:jc w:val="left"/>
    </w:pPr>
    <w:rPr>
      <w:sz w:val="20"/>
      <w:szCs w:val="20"/>
    </w:rPr>
  </w:style>
  <w:style w:type="paragraph" w:styleId="40">
    <w:name w:val="Body Text 2"/>
    <w:basedOn w:val="1"/>
    <w:link w:val="75"/>
    <w:qFormat/>
    <w:uiPriority w:val="0"/>
    <w:pPr>
      <w:widowControl/>
      <w:overflowPunct w:val="0"/>
      <w:autoSpaceDE w:val="0"/>
      <w:autoSpaceDN w:val="0"/>
      <w:adjustRightInd w:val="0"/>
      <w:jc w:val="left"/>
      <w:textAlignment w:val="baseline"/>
    </w:pPr>
    <w:rPr>
      <w:rFonts w:ascii="宋体"/>
      <w:color w:val="000000"/>
      <w:kern w:val="0"/>
      <w:sz w:val="28"/>
      <w:szCs w:val="20"/>
      <w:lang w:val="en-GB"/>
    </w:rPr>
  </w:style>
  <w:style w:type="paragraph" w:styleId="41">
    <w:name w:val="Message Header"/>
    <w:basedOn w:val="1"/>
    <w:link w:val="7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hd w:val="pct20" w:color="auto" w:fill="auto"/>
      <w:lang w:val="zh-CN"/>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2"/>
    <w:basedOn w:val="1"/>
    <w:next w:val="1"/>
    <w:qFormat/>
    <w:uiPriority w:val="0"/>
    <w:pPr>
      <w:ind w:left="200" w:leftChars="200"/>
    </w:pPr>
  </w:style>
  <w:style w:type="paragraph" w:styleId="44">
    <w:name w:val="Title"/>
    <w:basedOn w:val="1"/>
    <w:link w:val="77"/>
    <w:qFormat/>
    <w:uiPriority w:val="0"/>
    <w:pPr>
      <w:spacing w:before="240" w:after="60"/>
      <w:jc w:val="center"/>
      <w:outlineLvl w:val="0"/>
    </w:pPr>
    <w:rPr>
      <w:rFonts w:ascii="Arial" w:hAnsi="Arial"/>
      <w:b/>
      <w:bCs/>
      <w:sz w:val="32"/>
      <w:szCs w:val="32"/>
      <w:lang w:val="zh-CN"/>
    </w:rPr>
  </w:style>
  <w:style w:type="paragraph" w:styleId="45">
    <w:name w:val="annotation subject"/>
    <w:basedOn w:val="13"/>
    <w:next w:val="13"/>
    <w:link w:val="62"/>
    <w:qFormat/>
    <w:uiPriority w:val="0"/>
    <w:rPr>
      <w:b/>
      <w:bCs/>
      <w:lang w:val="zh-CN"/>
    </w:rPr>
  </w:style>
  <w:style w:type="paragraph" w:styleId="46">
    <w:name w:val="Body Text First Indent"/>
    <w:basedOn w:val="15"/>
    <w:link w:val="64"/>
    <w:qFormat/>
    <w:uiPriority w:val="0"/>
    <w:pPr>
      <w:tabs>
        <w:tab w:val="left" w:pos="567"/>
      </w:tabs>
      <w:ind w:firstLine="420" w:firstLineChars="100"/>
    </w:pPr>
    <w:rPr>
      <w:lang w:val="zh-CN"/>
    </w:rPr>
  </w:style>
  <w:style w:type="table" w:styleId="48">
    <w:name w:val="Table Grid"/>
    <w:basedOn w:val="4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50">
    <w:name w:val="Strong"/>
    <w:qFormat/>
    <w:uiPriority w:val="0"/>
    <w:rPr>
      <w:b/>
      <w:bCs/>
    </w:rPr>
  </w:style>
  <w:style w:type="character" w:styleId="51">
    <w:name w:val="page number"/>
    <w:basedOn w:val="52"/>
    <w:qFormat/>
    <w:uiPriority w:val="0"/>
    <w:rPr>
      <w:rFonts w:ascii="Times New Roman" w:eastAsia="宋体" w:cs="Times New Roman"/>
      <w:color w:val="000000"/>
      <w:spacing w:val="0"/>
      <w:w w:val="100"/>
      <w:sz w:val="21"/>
      <w:u w:val="none" w:color="000000"/>
      <w:vertAlign w:val="baseline"/>
      <w:lang w:val="en-US" w:eastAsia="zh-CN"/>
    </w:rPr>
  </w:style>
  <w:style w:type="character" w:customStyle="1" w:styleId="52">
    <w:name w:val="默认段落字体1"/>
    <w:qFormat/>
    <w:uiPriority w:val="0"/>
    <w:rPr>
      <w:rFonts w:ascii="Times New Roman" w:eastAsia="宋体"/>
      <w:color w:val="000000"/>
      <w:spacing w:val="0"/>
      <w:w w:val="100"/>
      <w:sz w:val="21"/>
      <w:u w:val="none" w:color="000000"/>
      <w:vertAlign w:val="baseline"/>
      <w:lang w:val="en-US" w:eastAsia="zh-CN"/>
    </w:rPr>
  </w:style>
  <w:style w:type="character" w:styleId="53">
    <w:name w:val="FollowedHyperlink"/>
    <w:basedOn w:val="49"/>
    <w:semiHidden/>
    <w:unhideWhenUsed/>
    <w:qFormat/>
    <w:uiPriority w:val="99"/>
    <w:rPr>
      <w:rFonts w:hint="eastAsia" w:ascii="微软雅黑" w:hAnsi="微软雅黑" w:eastAsia="微软雅黑" w:cs="微软雅黑"/>
      <w:color w:val="02396F"/>
      <w:u w:val="single"/>
    </w:rPr>
  </w:style>
  <w:style w:type="character" w:styleId="54">
    <w:name w:val="Emphasis"/>
    <w:qFormat/>
    <w:uiPriority w:val="0"/>
    <w:rPr>
      <w:i/>
      <w:iCs/>
    </w:rPr>
  </w:style>
  <w:style w:type="character" w:styleId="55">
    <w:name w:val="Hyperlink"/>
    <w:qFormat/>
    <w:uiPriority w:val="99"/>
    <w:rPr>
      <w:rFonts w:cs="Times New Roman"/>
      <w:color w:val="0000FF"/>
      <w:u w:val="single"/>
    </w:rPr>
  </w:style>
  <w:style w:type="character" w:styleId="56">
    <w:name w:val="annotation reference"/>
    <w:qFormat/>
    <w:uiPriority w:val="99"/>
    <w:rPr>
      <w:rFonts w:cs="Times New Roman"/>
      <w:sz w:val="21"/>
      <w:szCs w:val="21"/>
    </w:rPr>
  </w:style>
  <w:style w:type="character" w:customStyle="1" w:styleId="57">
    <w:name w:val="标题 1 Char"/>
    <w:basedOn w:val="49"/>
    <w:link w:val="2"/>
    <w:qFormat/>
    <w:uiPriority w:val="99"/>
    <w:rPr>
      <w:rFonts w:ascii="Times New Roman" w:hAnsi="Times New Roman" w:eastAsia="宋体" w:cs="Times New Roman"/>
      <w:b/>
      <w:bCs/>
      <w:kern w:val="44"/>
      <w:sz w:val="28"/>
      <w:szCs w:val="44"/>
      <w:lang w:val="zh-CN"/>
    </w:rPr>
  </w:style>
  <w:style w:type="character" w:customStyle="1" w:styleId="58">
    <w:name w:val="标题 2 Char"/>
    <w:basedOn w:val="49"/>
    <w:link w:val="3"/>
    <w:qFormat/>
    <w:uiPriority w:val="0"/>
    <w:rPr>
      <w:rFonts w:ascii="Cambria" w:hAnsi="Cambria" w:eastAsia="宋体" w:cs="Times New Roman"/>
      <w:b/>
      <w:bCs/>
      <w:sz w:val="32"/>
      <w:szCs w:val="32"/>
      <w:lang w:val="zh-CN"/>
    </w:rPr>
  </w:style>
  <w:style w:type="character" w:customStyle="1" w:styleId="59">
    <w:name w:val="标题 3 Char"/>
    <w:basedOn w:val="49"/>
    <w:link w:val="4"/>
    <w:qFormat/>
    <w:uiPriority w:val="0"/>
    <w:rPr>
      <w:rFonts w:ascii="宋体" w:hAnsi="宋体" w:eastAsia="宋体" w:cs="Times New Roman"/>
      <w:kern w:val="0"/>
      <w:sz w:val="20"/>
      <w:szCs w:val="20"/>
      <w:lang w:val="zh-CN"/>
    </w:rPr>
  </w:style>
  <w:style w:type="character" w:customStyle="1" w:styleId="60">
    <w:name w:val="标题 4 Char"/>
    <w:basedOn w:val="49"/>
    <w:link w:val="5"/>
    <w:qFormat/>
    <w:uiPriority w:val="0"/>
    <w:rPr>
      <w:rFonts w:ascii="Cambria" w:hAnsi="Cambria" w:eastAsia="宋体" w:cs="Times New Roman"/>
      <w:b/>
      <w:bCs/>
      <w:sz w:val="28"/>
      <w:szCs w:val="28"/>
      <w:lang w:val="zh-CN"/>
    </w:rPr>
  </w:style>
  <w:style w:type="character" w:customStyle="1" w:styleId="61">
    <w:name w:val="批注文字 Char"/>
    <w:basedOn w:val="49"/>
    <w:link w:val="13"/>
    <w:qFormat/>
    <w:uiPriority w:val="99"/>
    <w:rPr>
      <w:rFonts w:ascii="Times New Roman" w:hAnsi="Times New Roman" w:eastAsia="宋体" w:cs="Times New Roman"/>
      <w:szCs w:val="24"/>
    </w:rPr>
  </w:style>
  <w:style w:type="character" w:customStyle="1" w:styleId="62">
    <w:name w:val="批注主题 Char"/>
    <w:basedOn w:val="61"/>
    <w:link w:val="45"/>
    <w:qFormat/>
    <w:uiPriority w:val="0"/>
    <w:rPr>
      <w:rFonts w:ascii="Times New Roman" w:hAnsi="Times New Roman" w:eastAsia="宋体" w:cs="Times New Roman"/>
      <w:b/>
      <w:bCs/>
      <w:szCs w:val="24"/>
      <w:lang w:val="zh-CN"/>
    </w:rPr>
  </w:style>
  <w:style w:type="character" w:customStyle="1" w:styleId="63">
    <w:name w:val="正文文本 Char"/>
    <w:basedOn w:val="49"/>
    <w:link w:val="15"/>
    <w:qFormat/>
    <w:uiPriority w:val="0"/>
    <w:rPr>
      <w:rFonts w:ascii="Times New Roman" w:hAnsi="Times New Roman" w:eastAsia="宋体" w:cs="Times New Roman"/>
      <w:szCs w:val="24"/>
    </w:rPr>
  </w:style>
  <w:style w:type="character" w:customStyle="1" w:styleId="64">
    <w:name w:val="正文首行缩进 Char"/>
    <w:basedOn w:val="63"/>
    <w:link w:val="46"/>
    <w:qFormat/>
    <w:uiPriority w:val="0"/>
    <w:rPr>
      <w:rFonts w:ascii="Times New Roman" w:hAnsi="Times New Roman" w:eastAsia="宋体" w:cs="Times New Roman"/>
      <w:szCs w:val="24"/>
      <w:lang w:val="zh-CN"/>
    </w:rPr>
  </w:style>
  <w:style w:type="character" w:customStyle="1" w:styleId="65">
    <w:name w:val="文档结构图 Char"/>
    <w:basedOn w:val="49"/>
    <w:link w:val="12"/>
    <w:qFormat/>
    <w:uiPriority w:val="0"/>
    <w:rPr>
      <w:rFonts w:ascii="Times New Roman" w:hAnsi="Times New Roman" w:eastAsia="宋体" w:cs="Times New Roman"/>
      <w:kern w:val="0"/>
      <w:sz w:val="16"/>
      <w:szCs w:val="16"/>
      <w:shd w:val="clear" w:color="auto" w:fill="000080"/>
      <w:lang w:val="zh-CN"/>
    </w:rPr>
  </w:style>
  <w:style w:type="character" w:customStyle="1" w:styleId="66">
    <w:name w:val="正文文本缩进 Char"/>
    <w:basedOn w:val="49"/>
    <w:link w:val="16"/>
    <w:qFormat/>
    <w:uiPriority w:val="99"/>
    <w:rPr>
      <w:rFonts w:ascii="Times New Roman" w:hAnsi="Times New Roman" w:eastAsia="宋体" w:cs="Times New Roman"/>
      <w:sz w:val="24"/>
      <w:szCs w:val="24"/>
      <w:lang w:val="zh-CN"/>
    </w:rPr>
  </w:style>
  <w:style w:type="character" w:customStyle="1" w:styleId="67">
    <w:name w:val="纯文本 Char"/>
    <w:basedOn w:val="49"/>
    <w:qFormat/>
    <w:uiPriority w:val="0"/>
    <w:rPr>
      <w:rFonts w:ascii="宋体" w:hAnsi="Courier New" w:eastAsia="宋体" w:cs="Courier New"/>
      <w:szCs w:val="21"/>
    </w:rPr>
  </w:style>
  <w:style w:type="character" w:customStyle="1" w:styleId="68">
    <w:name w:val="日期 Char"/>
    <w:basedOn w:val="49"/>
    <w:link w:val="23"/>
    <w:qFormat/>
    <w:uiPriority w:val="0"/>
    <w:rPr>
      <w:rFonts w:ascii="Times New Roman" w:hAnsi="Times New Roman" w:eastAsia="宋体" w:cs="Times New Roman"/>
      <w:sz w:val="24"/>
      <w:szCs w:val="24"/>
      <w:lang w:val="zh-CN"/>
    </w:rPr>
  </w:style>
  <w:style w:type="character" w:customStyle="1" w:styleId="69">
    <w:name w:val="正文文本缩进 2 Char"/>
    <w:basedOn w:val="49"/>
    <w:link w:val="24"/>
    <w:qFormat/>
    <w:uiPriority w:val="0"/>
    <w:rPr>
      <w:rFonts w:ascii="Times New Roman" w:hAnsi="Times New Roman" w:eastAsia="宋体" w:cs="Times New Roman"/>
      <w:sz w:val="24"/>
      <w:szCs w:val="24"/>
      <w:lang w:val="zh-CN"/>
    </w:rPr>
  </w:style>
  <w:style w:type="character" w:customStyle="1" w:styleId="70">
    <w:name w:val="批注框文本 Char"/>
    <w:basedOn w:val="49"/>
    <w:link w:val="25"/>
    <w:qFormat/>
    <w:uiPriority w:val="0"/>
    <w:rPr>
      <w:rFonts w:ascii="Times New Roman" w:hAnsi="Times New Roman" w:eastAsia="宋体" w:cs="Times New Roman"/>
      <w:szCs w:val="20"/>
      <w:lang w:val="zh-CN"/>
    </w:rPr>
  </w:style>
  <w:style w:type="character" w:customStyle="1" w:styleId="71">
    <w:name w:val="页脚 Char"/>
    <w:basedOn w:val="49"/>
    <w:link w:val="26"/>
    <w:qFormat/>
    <w:uiPriority w:val="99"/>
    <w:rPr>
      <w:rFonts w:ascii="宋体" w:hAnsi="Times New Roman" w:eastAsia="宋体" w:cs="Times New Roman"/>
      <w:kern w:val="0"/>
      <w:sz w:val="18"/>
      <w:szCs w:val="20"/>
      <w:lang w:val="zh-CN"/>
    </w:rPr>
  </w:style>
  <w:style w:type="character" w:customStyle="1" w:styleId="72">
    <w:name w:val="页眉 Char"/>
    <w:basedOn w:val="49"/>
    <w:link w:val="27"/>
    <w:qFormat/>
    <w:uiPriority w:val="0"/>
    <w:rPr>
      <w:rFonts w:ascii="Times New Roman" w:hAnsi="Times New Roman" w:eastAsia="宋体" w:cs="Times New Roman"/>
      <w:sz w:val="18"/>
      <w:szCs w:val="18"/>
      <w:lang w:val="zh-CN"/>
    </w:rPr>
  </w:style>
  <w:style w:type="character" w:customStyle="1" w:styleId="73">
    <w:name w:val="签名 Char"/>
    <w:basedOn w:val="49"/>
    <w:link w:val="28"/>
    <w:qFormat/>
    <w:uiPriority w:val="0"/>
    <w:rPr>
      <w:rFonts w:ascii="Times New Roman" w:hAnsi="Times New Roman" w:eastAsia="仿宋_GB2312" w:cs="Times New Roman"/>
      <w:kern w:val="0"/>
      <w:sz w:val="24"/>
      <w:szCs w:val="20"/>
      <w:lang w:val="zh-CN"/>
    </w:rPr>
  </w:style>
  <w:style w:type="character" w:customStyle="1" w:styleId="74">
    <w:name w:val="正文文本缩进 3 Char"/>
    <w:basedOn w:val="49"/>
    <w:link w:val="34"/>
    <w:qFormat/>
    <w:uiPriority w:val="0"/>
    <w:rPr>
      <w:rFonts w:ascii="Times New Roman" w:hAnsi="Times New Roman" w:eastAsia="宋体" w:cs="Times New Roman"/>
      <w:sz w:val="16"/>
      <w:szCs w:val="16"/>
      <w:lang w:val="zh-CN"/>
    </w:rPr>
  </w:style>
  <w:style w:type="character" w:customStyle="1" w:styleId="75">
    <w:name w:val="正文文本 2 Char"/>
    <w:basedOn w:val="49"/>
    <w:link w:val="40"/>
    <w:qFormat/>
    <w:uiPriority w:val="0"/>
    <w:rPr>
      <w:rFonts w:ascii="宋体" w:hAnsi="Times New Roman" w:eastAsia="宋体" w:cs="Times New Roman"/>
      <w:color w:val="000000"/>
      <w:kern w:val="0"/>
      <w:sz w:val="28"/>
      <w:szCs w:val="20"/>
      <w:lang w:val="en-GB"/>
    </w:rPr>
  </w:style>
  <w:style w:type="character" w:customStyle="1" w:styleId="76">
    <w:name w:val="信息标题 Char"/>
    <w:basedOn w:val="49"/>
    <w:link w:val="41"/>
    <w:qFormat/>
    <w:uiPriority w:val="0"/>
    <w:rPr>
      <w:rFonts w:ascii="Cambria" w:hAnsi="Cambria" w:eastAsia="宋体" w:cs="Times New Roman"/>
      <w:sz w:val="24"/>
      <w:szCs w:val="24"/>
      <w:shd w:val="pct20" w:color="auto" w:fill="auto"/>
      <w:lang w:val="zh-CN"/>
    </w:rPr>
  </w:style>
  <w:style w:type="character" w:customStyle="1" w:styleId="77">
    <w:name w:val="标题 Char"/>
    <w:basedOn w:val="49"/>
    <w:link w:val="44"/>
    <w:qFormat/>
    <w:uiPriority w:val="0"/>
    <w:rPr>
      <w:rFonts w:ascii="Arial" w:hAnsi="Arial" w:eastAsia="宋体" w:cs="Times New Roman"/>
      <w:b/>
      <w:bCs/>
      <w:sz w:val="32"/>
      <w:szCs w:val="32"/>
      <w:lang w:val="zh-CN"/>
    </w:rPr>
  </w:style>
  <w:style w:type="character" w:customStyle="1" w:styleId="78">
    <w:name w:val="medium_text1"/>
    <w:qFormat/>
    <w:uiPriority w:val="0"/>
    <w:rPr>
      <w:sz w:val="24"/>
      <w:szCs w:val="24"/>
    </w:rPr>
  </w:style>
  <w:style w:type="character" w:customStyle="1" w:styleId="79">
    <w:name w:val="apple-converted-space"/>
    <w:basedOn w:val="49"/>
    <w:qFormat/>
    <w:uiPriority w:val="0"/>
  </w:style>
  <w:style w:type="character" w:customStyle="1" w:styleId="80">
    <w:name w:val="页眉 Char Char"/>
    <w:qFormat/>
    <w:uiPriority w:val="0"/>
    <w:rPr>
      <w:rFonts w:cs="Times New Roman"/>
      <w:kern w:val="2"/>
      <w:sz w:val="18"/>
      <w:szCs w:val="18"/>
    </w:rPr>
  </w:style>
  <w:style w:type="character" w:customStyle="1" w:styleId="81">
    <w:name w:val="short_text1"/>
    <w:qFormat/>
    <w:uiPriority w:val="0"/>
    <w:rPr>
      <w:sz w:val="26"/>
      <w:szCs w:val="26"/>
    </w:rPr>
  </w:style>
  <w:style w:type="character" w:customStyle="1" w:styleId="82">
    <w:name w:val="纯文本 Char1"/>
    <w:link w:val="20"/>
    <w:qFormat/>
    <w:uiPriority w:val="0"/>
    <w:rPr>
      <w:rFonts w:ascii="宋体" w:hAnsi="Courier New" w:eastAsia="宋体" w:cs="Times New Roman"/>
      <w:szCs w:val="21"/>
      <w:lang w:val="zh-CN"/>
    </w:rPr>
  </w:style>
  <w:style w:type="character" w:customStyle="1" w:styleId="83">
    <w:name w:val="普通文字1 Char Char"/>
    <w:qFormat/>
    <w:uiPriority w:val="0"/>
    <w:rPr>
      <w:rFonts w:ascii="宋体" w:hAnsi="Courier New" w:eastAsia="宋体"/>
      <w:kern w:val="2"/>
      <w:sz w:val="21"/>
      <w:lang w:val="en-US" w:eastAsia="zh-CN" w:bidi="ar-SA"/>
    </w:rPr>
  </w:style>
  <w:style w:type="character" w:customStyle="1" w:styleId="84">
    <w:name w:val="标题2 Char"/>
    <w:qFormat/>
    <w:uiPriority w:val="0"/>
    <w:rPr>
      <w:rFonts w:ascii="Arial" w:hAnsi="Arial" w:eastAsia="黑体" w:cs="Times New Roman"/>
      <w:b/>
      <w:kern w:val="0"/>
      <w:sz w:val="30"/>
      <w:szCs w:val="20"/>
    </w:rPr>
  </w:style>
  <w:style w:type="character" w:customStyle="1" w:styleId="85">
    <w:name w:val="标准文本 Char Char"/>
    <w:link w:val="86"/>
    <w:qFormat/>
    <w:uiPriority w:val="0"/>
    <w:rPr>
      <w:rFonts w:eastAsia="宋体" w:cs="宋体"/>
      <w:sz w:val="24"/>
    </w:rPr>
  </w:style>
  <w:style w:type="paragraph" w:customStyle="1" w:styleId="86">
    <w:name w:val="标准文本"/>
    <w:basedOn w:val="1"/>
    <w:link w:val="85"/>
    <w:qFormat/>
    <w:uiPriority w:val="0"/>
    <w:pPr>
      <w:spacing w:line="360" w:lineRule="auto"/>
      <w:ind w:firstLine="480" w:firstLineChars="200"/>
    </w:pPr>
    <w:rPr>
      <w:rFonts w:cs="宋体" w:asciiTheme="minorHAnsi" w:hAnsiTheme="minorHAnsi"/>
      <w:sz w:val="24"/>
      <w:szCs w:val="22"/>
    </w:rPr>
  </w:style>
  <w:style w:type="character" w:customStyle="1" w:styleId="87">
    <w:name w:val="ca-2"/>
    <w:basedOn w:val="49"/>
    <w:qFormat/>
    <w:uiPriority w:val="0"/>
  </w:style>
  <w:style w:type="character" w:customStyle="1" w:styleId="88">
    <w:name w:val="H1 Char"/>
    <w:qFormat/>
    <w:uiPriority w:val="0"/>
    <w:rPr>
      <w:rFonts w:ascii="宋体" w:hAnsi="Times New Roman" w:eastAsia="宋体" w:cs="Times New Roman"/>
      <w:b/>
      <w:kern w:val="44"/>
      <w:sz w:val="32"/>
      <w:szCs w:val="20"/>
    </w:rPr>
  </w:style>
  <w:style w:type="character" w:customStyle="1" w:styleId="89">
    <w:name w:val="apple-style-span"/>
    <w:qFormat/>
    <w:uiPriority w:val="0"/>
    <w:rPr>
      <w:rFonts w:cs="Times New Roman"/>
    </w:rPr>
  </w:style>
  <w:style w:type="paragraph" w:customStyle="1" w:styleId="90">
    <w:name w:val="Default"/>
    <w:qFormat/>
    <w:uiPriority w:val="0"/>
    <w:pPr>
      <w:widowControl w:val="0"/>
      <w:autoSpaceDE w:val="0"/>
      <w:autoSpaceDN w:val="0"/>
      <w:adjustRightInd w:val="0"/>
    </w:pPr>
    <w:rPr>
      <w:rFonts w:ascii="Akzidenz Grotesk BQ" w:hAnsi="Akzidenz Grotesk BQ" w:eastAsia="宋体" w:cs="Akzidenz Grotesk BQ"/>
      <w:color w:val="000000"/>
      <w:sz w:val="24"/>
      <w:szCs w:val="24"/>
      <w:lang w:val="en-US" w:eastAsia="zh-CN" w:bidi="ar-SA"/>
    </w:rPr>
  </w:style>
  <w:style w:type="paragraph" w:customStyle="1" w:styleId="91">
    <w:name w:val="Pa9"/>
    <w:basedOn w:val="90"/>
    <w:next w:val="90"/>
    <w:qFormat/>
    <w:uiPriority w:val="0"/>
    <w:pPr>
      <w:spacing w:before="120" w:line="161" w:lineRule="atLeast"/>
    </w:pPr>
    <w:rPr>
      <w:rFonts w:cs="Times New Roman"/>
      <w:color w:val="auto"/>
    </w:rPr>
  </w:style>
  <w:style w:type="paragraph" w:customStyle="1" w:styleId="92">
    <w:name w:val="正文 + 小四"/>
    <w:basedOn w:val="1"/>
    <w:qFormat/>
    <w:uiPriority w:val="0"/>
    <w:pPr>
      <w:spacing w:line="360" w:lineRule="auto"/>
      <w:ind w:firstLine="480" w:firstLineChars="200"/>
    </w:pPr>
    <w:rPr>
      <w:sz w:val="24"/>
    </w:rPr>
  </w:style>
  <w:style w:type="paragraph" w:customStyle="1" w:styleId="93">
    <w:name w:val="Normal no space after"/>
    <w:basedOn w:val="1"/>
    <w:qFormat/>
    <w:uiPriority w:val="0"/>
    <w:pPr>
      <w:widowControl/>
      <w:tabs>
        <w:tab w:val="left" w:pos="284"/>
        <w:tab w:val="left" w:pos="567"/>
      </w:tabs>
      <w:spacing w:line="280" w:lineRule="atLeast"/>
      <w:jc w:val="left"/>
    </w:pPr>
    <w:rPr>
      <w:rFonts w:ascii="Frutiger Roman" w:hAnsi="Frutiger Roman"/>
      <w:kern w:val="0"/>
      <w:sz w:val="20"/>
      <w:szCs w:val="20"/>
      <w:lang w:eastAsia="en-US"/>
    </w:rPr>
  </w:style>
  <w:style w:type="paragraph" w:customStyle="1" w:styleId="94">
    <w:name w:val="Char3 Char Char Char"/>
    <w:basedOn w:val="1"/>
    <w:qFormat/>
    <w:uiPriority w:val="0"/>
  </w:style>
  <w:style w:type="paragraph" w:customStyle="1" w:styleId="95">
    <w:name w:val="Char1 Char Char Char Char Char Char"/>
    <w:basedOn w:val="1"/>
    <w:qFormat/>
    <w:uiPriority w:val="0"/>
    <w:rPr>
      <w:rFonts w:ascii="Tahoma" w:hAnsi="Tahoma"/>
      <w:sz w:val="24"/>
      <w:szCs w:val="20"/>
    </w:rPr>
  </w:style>
  <w:style w:type="paragraph" w:customStyle="1" w:styleId="96">
    <w:name w:val="pa-8"/>
    <w:basedOn w:val="1"/>
    <w:qFormat/>
    <w:uiPriority w:val="0"/>
    <w:pPr>
      <w:widowControl/>
      <w:spacing w:before="150" w:after="150"/>
      <w:jc w:val="left"/>
    </w:pPr>
    <w:rPr>
      <w:rFonts w:ascii="宋体" w:hAnsi="宋体" w:cs="宋体"/>
      <w:kern w:val="0"/>
      <w:sz w:val="24"/>
    </w:rPr>
  </w:style>
  <w:style w:type="paragraph" w:customStyle="1" w:styleId="97">
    <w:name w:val="Pa10"/>
    <w:basedOn w:val="90"/>
    <w:next w:val="90"/>
    <w:qFormat/>
    <w:uiPriority w:val="0"/>
    <w:pPr>
      <w:spacing w:line="161" w:lineRule="atLeast"/>
    </w:pPr>
    <w:rPr>
      <w:rFonts w:cs="Times New Roman"/>
      <w:color w:val="auto"/>
    </w:rPr>
  </w:style>
  <w:style w:type="paragraph" w:customStyle="1" w:styleId="98">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9">
    <w:name w:val="pa-6"/>
    <w:basedOn w:val="1"/>
    <w:qFormat/>
    <w:uiPriority w:val="0"/>
    <w:pPr>
      <w:widowControl/>
      <w:spacing w:before="150" w:after="150"/>
      <w:jc w:val="left"/>
    </w:pPr>
    <w:rPr>
      <w:rFonts w:ascii="宋体" w:hAnsi="宋体" w:cs="宋体"/>
      <w:kern w:val="0"/>
      <w:sz w:val="24"/>
    </w:rPr>
  </w:style>
  <w:style w:type="paragraph" w:customStyle="1" w:styleId="100">
    <w:name w:val="Char Char Char"/>
    <w:basedOn w:val="1"/>
    <w:qFormat/>
    <w:uiPriority w:val="0"/>
    <w:rPr>
      <w:rFonts w:ascii="Tahoma" w:hAnsi="Tahoma"/>
      <w:sz w:val="24"/>
      <w:szCs w:val="20"/>
    </w:rPr>
  </w:style>
  <w:style w:type="paragraph" w:customStyle="1" w:styleId="101">
    <w:name w:val="修订1"/>
    <w:qFormat/>
    <w:uiPriority w:val="0"/>
    <w:rPr>
      <w:rFonts w:ascii="Times New Roman" w:hAnsi="Times New Roman" w:eastAsia="宋体" w:cs="Times New Roman"/>
      <w:kern w:val="2"/>
      <w:sz w:val="21"/>
      <w:szCs w:val="24"/>
      <w:lang w:val="en-US" w:eastAsia="zh-CN" w:bidi="ar-SA"/>
    </w:rPr>
  </w:style>
  <w:style w:type="paragraph" w:customStyle="1" w:styleId="102">
    <w:name w:val="p0"/>
    <w:basedOn w:val="1"/>
    <w:qFormat/>
    <w:uiPriority w:val="0"/>
    <w:pPr>
      <w:widowControl/>
    </w:pPr>
    <w:rPr>
      <w:kern w:val="0"/>
      <w:szCs w:val="20"/>
    </w:rPr>
  </w:style>
  <w:style w:type="paragraph" w:customStyle="1" w:styleId="103">
    <w:name w:val="列出段落1"/>
    <w:basedOn w:val="1"/>
    <w:qFormat/>
    <w:uiPriority w:val="34"/>
    <w:pPr>
      <w:ind w:firstLine="420" w:firstLineChars="200"/>
    </w:pPr>
    <w:rPr>
      <w:rFonts w:ascii="Calibri" w:hAnsi="Calibri"/>
      <w:szCs w:val="22"/>
    </w:rPr>
  </w:style>
  <w:style w:type="paragraph" w:customStyle="1" w:styleId="104">
    <w:name w:val="Char Char Char1 Char Char Char Char"/>
    <w:basedOn w:val="1"/>
    <w:qFormat/>
    <w:uiPriority w:val="0"/>
    <w:rPr>
      <w:rFonts w:ascii="Tahoma" w:hAnsi="Tahoma"/>
      <w:sz w:val="24"/>
      <w:szCs w:val="20"/>
    </w:rPr>
  </w:style>
  <w:style w:type="paragraph" w:customStyle="1" w:styleId="105">
    <w:name w:val="正文2"/>
    <w:basedOn w:val="1"/>
    <w:qFormat/>
    <w:uiPriority w:val="0"/>
    <w:pPr>
      <w:spacing w:before="156" w:line="360" w:lineRule="auto"/>
      <w:ind w:firstLine="510" w:firstLineChars="200"/>
    </w:pPr>
    <w:rPr>
      <w:sz w:val="24"/>
      <w:szCs w:val="20"/>
    </w:rPr>
  </w:style>
  <w:style w:type="paragraph" w:customStyle="1" w:styleId="106">
    <w:name w:val="样式1"/>
    <w:basedOn w:val="2"/>
    <w:qFormat/>
    <w:uiPriority w:val="0"/>
    <w:pPr>
      <w:spacing w:line="360" w:lineRule="auto"/>
    </w:pPr>
    <w:rPr>
      <w:rFonts w:hAnsi="宋体"/>
      <w:sz w:val="24"/>
      <w:szCs w:val="24"/>
    </w:rPr>
  </w:style>
  <w:style w:type="paragraph" w:customStyle="1" w:styleId="107">
    <w:name w:val="文档正文"/>
    <w:basedOn w:val="1"/>
    <w:qFormat/>
    <w:uiPriority w:val="0"/>
    <w:pPr>
      <w:adjustRightInd w:val="0"/>
      <w:spacing w:line="480" w:lineRule="atLeast"/>
      <w:ind w:firstLine="567"/>
      <w:textAlignment w:val="baseline"/>
    </w:pPr>
    <w:rPr>
      <w:kern w:val="0"/>
      <w:sz w:val="24"/>
      <w:szCs w:val="20"/>
    </w:rPr>
  </w:style>
  <w:style w:type="paragraph" w:customStyle="1" w:styleId="108">
    <w:name w:val="Char1"/>
    <w:basedOn w:val="1"/>
    <w:qFormat/>
    <w:uiPriority w:val="0"/>
    <w:rPr>
      <w:rFonts w:ascii="Tahoma" w:hAnsi="Tahoma" w:cs="仿宋_GB2312"/>
      <w:sz w:val="24"/>
      <w:szCs w:val="28"/>
    </w:rPr>
  </w:style>
  <w:style w:type="paragraph" w:customStyle="1" w:styleId="109">
    <w:name w:val="Char2"/>
    <w:basedOn w:val="1"/>
    <w:qFormat/>
    <w:uiPriority w:val="0"/>
    <w:pPr>
      <w:spacing w:line="360" w:lineRule="auto"/>
      <w:ind w:firstLine="200" w:firstLineChars="200"/>
    </w:pPr>
    <w:rPr>
      <w:rFonts w:ascii="宋体" w:hAnsi="宋体" w:cs="宋体"/>
      <w:sz w:val="24"/>
    </w:rPr>
  </w:style>
  <w:style w:type="paragraph" w:customStyle="1" w:styleId="110">
    <w:name w:val="列出段落11"/>
    <w:basedOn w:val="1"/>
    <w:qFormat/>
    <w:uiPriority w:val="34"/>
    <w:pPr>
      <w:ind w:firstLine="420" w:firstLineChars="200"/>
    </w:pPr>
    <w:rPr>
      <w:rFonts w:ascii="Calibri" w:hAnsi="Calibri"/>
      <w:szCs w:val="22"/>
    </w:rPr>
  </w:style>
  <w:style w:type="paragraph" w:customStyle="1" w:styleId="11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12">
    <w:name w:val="段"/>
    <w:qFormat/>
    <w:uiPriority w:val="0"/>
    <w:pPr>
      <w:autoSpaceDE w:val="0"/>
      <w:autoSpaceDN w:val="0"/>
      <w:ind w:firstLine="200" w:firstLineChars="200"/>
      <w:jc w:val="both"/>
    </w:pPr>
    <w:rPr>
      <w:rFonts w:ascii="宋体" w:hAnsi="宋体" w:eastAsia="宋体" w:cs="Times New Roman"/>
      <w:sz w:val="21"/>
      <w:szCs w:val="28"/>
      <w:lang w:val="en-US" w:eastAsia="zh-CN" w:bidi="ar-SA"/>
    </w:rPr>
  </w:style>
  <w:style w:type="paragraph" w:customStyle="1" w:styleId="113">
    <w:name w:val="列出段落2"/>
    <w:basedOn w:val="1"/>
    <w:qFormat/>
    <w:uiPriority w:val="0"/>
    <w:pPr>
      <w:ind w:firstLine="420" w:firstLineChars="200"/>
    </w:pPr>
    <w:rPr>
      <w:szCs w:val="20"/>
    </w:rPr>
  </w:style>
  <w:style w:type="paragraph" w:customStyle="1" w:styleId="114">
    <w:name w:val="样式 标题 2 + 宋体 小四"/>
    <w:basedOn w:val="3"/>
    <w:qFormat/>
    <w:uiPriority w:val="99"/>
    <w:pPr>
      <w:autoSpaceDE/>
      <w:autoSpaceDN/>
      <w:adjustRightInd/>
      <w:spacing w:before="0" w:line="360" w:lineRule="auto"/>
      <w:jc w:val="both"/>
    </w:pPr>
    <w:rPr>
      <w:rFonts w:ascii="Times New Roman" w:hAnsi="Times New Roman"/>
      <w:sz w:val="28"/>
      <w:szCs w:val="28"/>
    </w:rPr>
  </w:style>
  <w:style w:type="character" w:customStyle="1" w:styleId="115">
    <w:name w:val="正文缩进 Char"/>
    <w:link w:val="8"/>
    <w:qFormat/>
    <w:uiPriority w:val="0"/>
    <w:rPr>
      <w:rFonts w:ascii="宋体" w:hAnsi="Times New Roman" w:eastAsia="宋体" w:cs="Times New Roman"/>
      <w:kern w:val="0"/>
      <w:sz w:val="24"/>
      <w:szCs w:val="20"/>
      <w:lang w:val="zh-CN"/>
    </w:rPr>
  </w:style>
  <w:style w:type="paragraph" w:customStyle="1" w:styleId="116">
    <w:name w:val="Char21"/>
    <w:basedOn w:val="1"/>
    <w:qFormat/>
    <w:uiPriority w:val="0"/>
    <w:rPr>
      <w:rFonts w:ascii="Tahoma" w:hAnsi="Tahoma"/>
      <w:sz w:val="24"/>
      <w:szCs w:val="20"/>
    </w:rPr>
  </w:style>
  <w:style w:type="paragraph" w:customStyle="1" w:styleId="117">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样式 首行缩进:  0.74 厘米"/>
    <w:basedOn w:val="1"/>
    <w:qFormat/>
    <w:uiPriority w:val="0"/>
    <w:pPr>
      <w:ind w:firstLine="420"/>
    </w:pPr>
    <w:rPr>
      <w:rFonts w:ascii="Arial" w:hAnsi="Arial" w:eastAsia="仿宋_GB2312" w:cs="Arial"/>
      <w:bCs/>
      <w:sz w:val="28"/>
      <w:szCs w:val="28"/>
    </w:rPr>
  </w:style>
  <w:style w:type="paragraph" w:customStyle="1" w:styleId="119">
    <w:name w:val="列出段落3"/>
    <w:basedOn w:val="1"/>
    <w:unhideWhenUsed/>
    <w:qFormat/>
    <w:uiPriority w:val="99"/>
    <w:pPr>
      <w:ind w:firstLine="420" w:firstLineChars="200"/>
    </w:pPr>
  </w:style>
  <w:style w:type="paragraph" w:styleId="120">
    <w:name w:val="List Paragraph"/>
    <w:basedOn w:val="1"/>
    <w:qFormat/>
    <w:uiPriority w:val="34"/>
    <w:pPr>
      <w:ind w:firstLine="420" w:firstLineChars="200"/>
    </w:pPr>
  </w:style>
  <w:style w:type="paragraph" w:customStyle="1" w:styleId="121">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22">
    <w:name w:val="默认"/>
    <w:qFormat/>
    <w:uiPriority w:val="0"/>
    <w:rPr>
      <w:rFonts w:ascii="Helvetica Neue" w:hAnsi="Helvetica Neue" w:eastAsia="Helvetica Neue" w:cs="Helvetica Neue"/>
      <w:color w:val="000000"/>
      <w:sz w:val="22"/>
      <w:szCs w:val="22"/>
      <w:lang w:val="en-US" w:eastAsia="zh-CN" w:bidi="ar-SA"/>
    </w:rPr>
  </w:style>
  <w:style w:type="paragraph" w:customStyle="1" w:styleId="123">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4">
    <w:name w:val="Char3"/>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25">
    <w:name w:val="redfilefwwh"/>
    <w:basedOn w:val="49"/>
    <w:qFormat/>
    <w:uiPriority w:val="0"/>
    <w:rPr>
      <w:color w:val="BA2636"/>
      <w:sz w:val="18"/>
      <w:szCs w:val="18"/>
    </w:rPr>
  </w:style>
  <w:style w:type="character" w:customStyle="1" w:styleId="126">
    <w:name w:val="gjfg"/>
    <w:basedOn w:val="49"/>
    <w:qFormat/>
    <w:uiPriority w:val="0"/>
  </w:style>
  <w:style w:type="character" w:customStyle="1" w:styleId="127">
    <w:name w:val="displayarti"/>
    <w:basedOn w:val="49"/>
    <w:qFormat/>
    <w:uiPriority w:val="0"/>
    <w:rPr>
      <w:color w:val="FFFFFF"/>
      <w:shd w:val="clear" w:color="auto" w:fill="A00000"/>
    </w:rPr>
  </w:style>
  <w:style w:type="character" w:customStyle="1" w:styleId="128">
    <w:name w:val="redfilenumber"/>
    <w:basedOn w:val="49"/>
    <w:qFormat/>
    <w:uiPriority w:val="0"/>
    <w:rPr>
      <w:color w:val="BA2636"/>
      <w:sz w:val="18"/>
      <w:szCs w:val="18"/>
    </w:rPr>
  </w:style>
  <w:style w:type="character" w:customStyle="1" w:styleId="129">
    <w:name w:val="cfdate"/>
    <w:basedOn w:val="49"/>
    <w:qFormat/>
    <w:uiPriority w:val="0"/>
    <w:rPr>
      <w:color w:val="333333"/>
      <w:sz w:val="18"/>
      <w:szCs w:val="18"/>
    </w:rPr>
  </w:style>
  <w:style w:type="character" w:customStyle="1" w:styleId="130">
    <w:name w:val="qxdate"/>
    <w:basedOn w:val="49"/>
    <w:qFormat/>
    <w:uiPriority w:val="0"/>
    <w:rPr>
      <w:color w:val="333333"/>
      <w:sz w:val="18"/>
      <w:szCs w:val="18"/>
    </w:rPr>
  </w:style>
  <w:style w:type="paragraph" w:customStyle="1" w:styleId="131">
    <w:name w:val="正文文字缩进 2"/>
    <w:basedOn w:val="1"/>
    <w:qFormat/>
    <w:uiPriority w:val="0"/>
    <w:pPr>
      <w:spacing w:line="351" w:lineRule="atLeast"/>
      <w:ind w:firstLine="481"/>
    </w:pPr>
    <w:rPr>
      <w:rFonts w:ascii="仿宋_GB2312" w:eastAsia="仿宋_GB2312"/>
      <w:sz w:val="24"/>
    </w:rPr>
  </w:style>
  <w:style w:type="paragraph" w:customStyle="1" w:styleId="132">
    <w:name w:val="正文文字缩进 3"/>
    <w:basedOn w:val="1"/>
    <w:qFormat/>
    <w:uiPriority w:val="0"/>
    <w:pPr>
      <w:spacing w:before="119" w:line="272" w:lineRule="atLeast"/>
      <w:ind w:left="719" w:firstLine="481"/>
      <w:jc w:val="left"/>
    </w:pPr>
    <w:rPr>
      <w:rFonts w:ascii="宋体"/>
      <w:sz w:val="24"/>
    </w:rPr>
  </w:style>
  <w:style w:type="paragraph" w:customStyle="1" w:styleId="133">
    <w:name w:val="普通文字"/>
    <w:basedOn w:val="1"/>
    <w:qFormat/>
    <w:uiPriority w:val="0"/>
    <w:pPr>
      <w:spacing w:line="351" w:lineRule="atLeast"/>
      <w:ind w:firstLine="419"/>
    </w:pPr>
    <w:rPr>
      <w:rFonts w:ascii="宋体"/>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A5327-E5E7-4ED5-92A1-D7702D3612C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70</Pages>
  <Words>6025</Words>
  <Characters>34347</Characters>
  <Lines>286</Lines>
  <Paragraphs>80</Paragraphs>
  <TotalTime>7</TotalTime>
  <ScaleCrop>false</ScaleCrop>
  <LinksUpToDate>false</LinksUpToDate>
  <CharactersWithSpaces>40292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2019-03-13T09:33:00Z</dcterms:created>
  <dc:creator>Administrator</dc:creator>
  <cp:lastModifiedBy>蒲晓芳</cp:lastModifiedBy>
  <cp:lastPrinted>2019-01-23T04:48:00Z</cp:lastPrinted>
  <dcterms:modified xsi:type="dcterms:W3CDTF">2019-05-15T10:18:07Z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