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ascii="Cambria"/>
          <w:b/>
          <w:sz w:val="48"/>
          <w:szCs w:val="44"/>
        </w:rPr>
      </w:pPr>
    </w:p>
    <w:p>
      <w:pPr>
        <w:spacing w:line="276"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北京农业职业学院高职学生培养-改善办学条件-食品营养与检测专业重难点教学资源建设政府采购项目</w:t>
      </w:r>
    </w:p>
    <w:p>
      <w:pPr>
        <w:spacing w:line="276" w:lineRule="auto"/>
        <w:jc w:val="center"/>
        <w:rPr>
          <w:rFonts w:ascii="宋体" w:hAnsi="宋体"/>
          <w:b/>
          <w:sz w:val="84"/>
          <w:szCs w:val="84"/>
        </w:rPr>
      </w:pPr>
      <w:r>
        <w:rPr>
          <w:rFonts w:hint="eastAsia" w:ascii="宋体" w:hAnsi="宋体"/>
          <w:b/>
          <w:sz w:val="84"/>
          <w:szCs w:val="84"/>
        </w:rPr>
        <w:t>招 标 文 件</w:t>
      </w:r>
    </w:p>
    <w:p>
      <w:pPr>
        <w:spacing w:line="360" w:lineRule="auto"/>
        <w:jc w:val="center"/>
        <w:rPr>
          <w:rFonts w:ascii="宋体" w:hAnsi="宋体"/>
          <w:b/>
          <w:color w:val="FF0000"/>
          <w:sz w:val="32"/>
          <w:szCs w:val="32"/>
        </w:rPr>
      </w:pPr>
      <w:r>
        <w:rPr>
          <w:rFonts w:hint="eastAsia" w:ascii="宋体" w:hAnsi="宋体"/>
          <w:b/>
          <w:sz w:val="32"/>
          <w:szCs w:val="32"/>
        </w:rPr>
        <w:t>项目编号：</w:t>
      </w:r>
      <w:r>
        <w:rPr>
          <w:rFonts w:ascii="宋体" w:hAnsi="宋体"/>
          <w:b/>
          <w:sz w:val="32"/>
          <w:szCs w:val="32"/>
        </w:rPr>
        <w:t>HCZB-201</w:t>
      </w:r>
      <w:r>
        <w:rPr>
          <w:rFonts w:hint="eastAsia" w:ascii="宋体" w:hAnsi="宋体"/>
          <w:b/>
          <w:sz w:val="32"/>
          <w:szCs w:val="32"/>
        </w:rPr>
        <w:t>7</w:t>
      </w:r>
      <w:r>
        <w:rPr>
          <w:rFonts w:ascii="宋体" w:hAnsi="宋体"/>
          <w:b/>
          <w:sz w:val="32"/>
          <w:szCs w:val="32"/>
        </w:rPr>
        <w:t>-ZB</w:t>
      </w:r>
      <w:r>
        <w:rPr>
          <w:rFonts w:hint="eastAsia" w:ascii="宋体" w:hAnsi="宋体"/>
          <w:b/>
          <w:sz w:val="32"/>
          <w:szCs w:val="32"/>
        </w:rPr>
        <w:t xml:space="preserve">827  </w:t>
      </w:r>
    </w:p>
    <w:p>
      <w:pPr>
        <w:spacing w:line="360" w:lineRule="auto"/>
        <w:jc w:val="center"/>
        <w:rPr>
          <w:rFonts w:ascii="宋体" w:hAnsi="宋体"/>
          <w:b/>
          <w:sz w:val="32"/>
          <w:szCs w:val="32"/>
        </w:rPr>
      </w:pPr>
      <w:r>
        <w:drawing>
          <wp:inline distT="0" distB="0" distL="0" distR="0">
            <wp:extent cx="3514725" cy="42957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a:xfrm>
                      <a:off x="0" y="0"/>
                      <a:ext cx="3514725" cy="4295775"/>
                    </a:xfrm>
                    <a:prstGeom prst="rect">
                      <a:avLst/>
                    </a:prstGeom>
                    <a:noFill/>
                    <a:ln>
                      <a:noFill/>
                    </a:ln>
                  </pic:spPr>
                </pic:pic>
              </a:graphicData>
            </a:graphic>
          </wp:inline>
        </w:drawing>
      </w:r>
    </w:p>
    <w:p>
      <w:pPr>
        <w:spacing w:line="360" w:lineRule="auto"/>
        <w:jc w:val="center"/>
        <w:rPr>
          <w:rFonts w:ascii="宋体" w:hAnsi="宋体"/>
          <w:b/>
          <w:sz w:val="32"/>
          <w:szCs w:val="32"/>
        </w:rPr>
      </w:pPr>
    </w:p>
    <w:p>
      <w:pPr>
        <w:spacing w:line="360" w:lineRule="auto"/>
        <w:jc w:val="center"/>
        <w:rPr>
          <w:rFonts w:ascii="宋体" w:hAnsi="宋体"/>
          <w:b/>
          <w:sz w:val="24"/>
        </w:rPr>
      </w:pPr>
      <w:r>
        <w:rPr>
          <w:rFonts w:hint="eastAsia" w:ascii="宋体" w:hAnsi="宋体"/>
          <w:b/>
          <w:sz w:val="32"/>
          <w:szCs w:val="32"/>
        </w:rPr>
        <w:t xml:space="preserve"> 北京华采招标代理有限公司</w:t>
      </w:r>
    </w:p>
    <w:p>
      <w:pPr>
        <w:spacing w:line="360" w:lineRule="auto"/>
        <w:jc w:val="center"/>
        <w:rPr>
          <w:rFonts w:ascii="宋体" w:hAnsi="宋体"/>
          <w:b/>
          <w:w w:val="80"/>
          <w:sz w:val="32"/>
          <w:szCs w:val="32"/>
        </w:rPr>
        <w:sectPr>
          <w:headerReference r:id="rId3" w:type="default"/>
          <w:footerReference r:id="rId4" w:type="default"/>
          <w:footerReference r:id="rId5" w:type="even"/>
          <w:pgSz w:w="11907" w:h="16840"/>
          <w:pgMar w:top="1089" w:right="1418" w:bottom="1021" w:left="1418" w:header="851" w:footer="851" w:gutter="0"/>
          <w:pgNumType w:start="1"/>
          <w:cols w:space="720" w:num="1"/>
          <w:titlePg/>
          <w:docGrid w:linePitch="462" w:charSpace="0"/>
        </w:sectPr>
      </w:pPr>
      <w:r>
        <w:rPr>
          <w:rFonts w:hint="eastAsia" w:ascii="宋体" w:hAnsi="宋体"/>
          <w:b/>
          <w:w w:val="80"/>
          <w:sz w:val="32"/>
          <w:szCs w:val="32"/>
        </w:rPr>
        <w:t xml:space="preserve">二〇一七年十一月     </w:t>
      </w:r>
    </w:p>
    <w:p>
      <w:pPr>
        <w:pStyle w:val="30"/>
        <w:spacing w:before="0" w:line="360" w:lineRule="auto"/>
        <w:rPr>
          <w:sz w:val="36"/>
          <w:szCs w:val="36"/>
        </w:rPr>
      </w:pPr>
      <w:bookmarkStart w:id="0" w:name="_Toc310196405"/>
      <w:bookmarkStart w:id="1" w:name="_Toc310195773"/>
      <w:bookmarkStart w:id="2" w:name="_Toc310195689"/>
      <w:r>
        <w:rPr>
          <w:rFonts w:hint="eastAsia"/>
          <w:sz w:val="36"/>
          <w:szCs w:val="36"/>
        </w:rPr>
        <w:t>目 录</w:t>
      </w:r>
      <w:bookmarkEnd w:id="0"/>
      <w:bookmarkEnd w:id="1"/>
      <w:bookmarkEnd w:id="2"/>
      <w:bookmarkStart w:id="3" w:name="_Toc236642918"/>
    </w:p>
    <w:p>
      <w:pPr>
        <w:pStyle w:val="30"/>
        <w:rPr>
          <w:rFonts w:asciiTheme="minorHAnsi" w:hAnsiTheme="minorHAnsi" w:eastAsiaTheme="minorEastAsia" w:cstheme="minorBidi"/>
          <w:b w:val="0"/>
          <w:bCs w:val="0"/>
          <w:iCs w:val="0"/>
          <w:sz w:val="21"/>
          <w:szCs w:val="22"/>
        </w:rPr>
      </w:pPr>
      <w:r>
        <w:rPr>
          <w:b w:val="0"/>
          <w:sz w:val="30"/>
          <w:szCs w:val="30"/>
        </w:rPr>
        <w:fldChar w:fldCharType="begin"/>
      </w:r>
      <w:r>
        <w:rPr>
          <w:rFonts w:hint="eastAsia"/>
          <w:b w:val="0"/>
          <w:sz w:val="30"/>
          <w:szCs w:val="30"/>
        </w:rPr>
        <w:instrText xml:space="preserve">TOC \o "1-3" \h \z \u</w:instrText>
      </w:r>
      <w:r>
        <w:rPr>
          <w:b w:val="0"/>
          <w:sz w:val="30"/>
          <w:szCs w:val="30"/>
        </w:rPr>
        <w:fldChar w:fldCharType="separate"/>
      </w:r>
      <w:r>
        <w:fldChar w:fldCharType="begin"/>
      </w:r>
      <w:r>
        <w:instrText xml:space="preserve"> HYPERLINK \l "_Toc497905804" </w:instrText>
      </w:r>
      <w:r>
        <w:fldChar w:fldCharType="separate"/>
      </w:r>
      <w:r>
        <w:rPr>
          <w:rStyle w:val="48"/>
          <w:rFonts w:hint="eastAsia" w:hAnsi="宋体"/>
        </w:rPr>
        <w:t>第一章</w:t>
      </w:r>
      <w:r>
        <w:rPr>
          <w:rStyle w:val="48"/>
          <w:rFonts w:hAnsi="宋体"/>
        </w:rPr>
        <w:t xml:space="preserve">  </w:t>
      </w:r>
      <w:r>
        <w:rPr>
          <w:rStyle w:val="48"/>
          <w:rFonts w:hint="eastAsia" w:hAnsi="宋体"/>
        </w:rPr>
        <w:t>投</w:t>
      </w:r>
      <w:r>
        <w:rPr>
          <w:rStyle w:val="48"/>
          <w:rFonts w:hAnsi="宋体"/>
        </w:rPr>
        <w:t xml:space="preserve"> </w:t>
      </w:r>
      <w:r>
        <w:rPr>
          <w:rStyle w:val="48"/>
          <w:rFonts w:hint="eastAsia" w:hAnsi="宋体"/>
        </w:rPr>
        <w:t>标</w:t>
      </w:r>
      <w:r>
        <w:rPr>
          <w:rStyle w:val="48"/>
          <w:rFonts w:hAnsi="宋体"/>
        </w:rPr>
        <w:t xml:space="preserve"> </w:t>
      </w:r>
      <w:r>
        <w:rPr>
          <w:rStyle w:val="48"/>
          <w:rFonts w:hint="eastAsia" w:hAnsi="宋体"/>
        </w:rPr>
        <w:t>邀</w:t>
      </w:r>
      <w:r>
        <w:rPr>
          <w:rStyle w:val="48"/>
          <w:rFonts w:hAnsi="宋体"/>
        </w:rPr>
        <w:t xml:space="preserve"> </w:t>
      </w:r>
      <w:r>
        <w:rPr>
          <w:rStyle w:val="48"/>
          <w:rFonts w:hint="eastAsia" w:hAnsi="宋体"/>
        </w:rPr>
        <w:t>请</w:t>
      </w:r>
      <w:r>
        <w:tab/>
      </w:r>
      <w:r>
        <w:fldChar w:fldCharType="begin"/>
      </w:r>
      <w:r>
        <w:instrText xml:space="preserve"> PAGEREF _Toc497905804 \h </w:instrText>
      </w:r>
      <w:r>
        <w:fldChar w:fldCharType="separate"/>
      </w:r>
      <w:r>
        <w:t>4</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"_Toc497905805" </w:instrText>
      </w:r>
      <w:r>
        <w:fldChar w:fldCharType="separate"/>
      </w:r>
      <w:r>
        <w:rPr>
          <w:rStyle w:val="48"/>
          <w:rFonts w:hint="eastAsia"/>
        </w:rPr>
        <w:t>第二章</w:t>
      </w:r>
      <w:r>
        <w:rPr>
          <w:rStyle w:val="48"/>
        </w:rPr>
        <w:t xml:space="preserve">  </w:t>
      </w:r>
      <w:r>
        <w:rPr>
          <w:rStyle w:val="48"/>
          <w:rFonts w:hint="eastAsia"/>
        </w:rPr>
        <w:t>投标人须知资料表</w:t>
      </w:r>
      <w:r>
        <w:tab/>
      </w:r>
      <w:r>
        <w:fldChar w:fldCharType="begin"/>
      </w:r>
      <w:r>
        <w:instrText xml:space="preserve"> PAGEREF _Toc497905805 \h </w:instrText>
      </w:r>
      <w:r>
        <w:fldChar w:fldCharType="separate"/>
      </w:r>
      <w:r>
        <w:t>7</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"_Toc497905806" </w:instrText>
      </w:r>
      <w:r>
        <w:fldChar w:fldCharType="separate"/>
      </w:r>
      <w:r>
        <w:rPr>
          <w:rStyle w:val="48"/>
          <w:rFonts w:hint="eastAsia" w:hAnsi="宋体"/>
        </w:rPr>
        <w:t>第三章</w:t>
      </w:r>
      <w:r>
        <w:rPr>
          <w:rStyle w:val="48"/>
          <w:rFonts w:hAnsi="宋体"/>
        </w:rPr>
        <w:t xml:space="preserve">  </w:t>
      </w:r>
      <w:r>
        <w:rPr>
          <w:rStyle w:val="48"/>
          <w:rFonts w:hint="eastAsia" w:hAnsi="宋体"/>
        </w:rPr>
        <w:t>投标人须知</w:t>
      </w:r>
      <w:r>
        <w:tab/>
      </w:r>
      <w:r>
        <w:fldChar w:fldCharType="begin"/>
      </w:r>
      <w:r>
        <w:instrText xml:space="preserve"> PAGEREF _Toc497905806 \h </w:instrText>
      </w:r>
      <w:r>
        <w:fldChar w:fldCharType="separate"/>
      </w:r>
      <w:r>
        <w:t>10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"_Toc497905807" </w:instrText>
      </w:r>
      <w:r>
        <w:fldChar w:fldCharType="separate"/>
      </w:r>
      <w:r>
        <w:rPr>
          <w:rStyle w:val="48"/>
          <w:rFonts w:hint="eastAsia"/>
        </w:rPr>
        <w:t>一</w:t>
      </w:r>
      <w:r>
        <w:rPr>
          <w:rStyle w:val="48"/>
        </w:rPr>
        <w:t xml:space="preserve">   </w:t>
      </w:r>
      <w:r>
        <w:rPr>
          <w:rStyle w:val="48"/>
          <w:rFonts w:hint="eastAsia"/>
        </w:rPr>
        <w:t>说</w:t>
      </w:r>
      <w:r>
        <w:rPr>
          <w:rStyle w:val="48"/>
        </w:rPr>
        <w:t xml:space="preserve">  </w:t>
      </w:r>
      <w:r>
        <w:rPr>
          <w:rStyle w:val="48"/>
          <w:rFonts w:hint="eastAsia"/>
        </w:rPr>
        <w:t>明</w:t>
      </w:r>
      <w:r>
        <w:tab/>
      </w:r>
      <w:r>
        <w:fldChar w:fldCharType="begin"/>
      </w:r>
      <w:r>
        <w:instrText xml:space="preserve"> PAGEREF _Toc497905807 \h </w:instrText>
      </w:r>
      <w:r>
        <w:fldChar w:fldCharType="separate"/>
      </w:r>
      <w:r>
        <w:t>10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"_Toc497905808" </w:instrText>
      </w:r>
      <w:r>
        <w:fldChar w:fldCharType="separate"/>
      </w:r>
      <w:r>
        <w:rPr>
          <w:rStyle w:val="48"/>
        </w:rPr>
        <w:t>1.</w:t>
      </w:r>
      <w:r>
        <w:rPr>
          <w:rStyle w:val="48"/>
          <w:rFonts w:hint="eastAsia"/>
        </w:rPr>
        <w:t>采购人、采购代理机构及合格的投标人</w:t>
      </w:r>
      <w:r>
        <w:tab/>
      </w:r>
      <w:r>
        <w:fldChar w:fldCharType="begin"/>
      </w:r>
      <w:r>
        <w:instrText xml:space="preserve"> PAGEREF _Toc497905808 \h </w:instrText>
      </w:r>
      <w:r>
        <w:fldChar w:fldCharType="separate"/>
      </w:r>
      <w:r>
        <w:t>10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"_Toc497905809" </w:instrText>
      </w:r>
      <w:r>
        <w:fldChar w:fldCharType="separate"/>
      </w:r>
      <w:r>
        <w:rPr>
          <w:rStyle w:val="48"/>
        </w:rPr>
        <w:t>2.</w:t>
      </w:r>
      <w:r>
        <w:rPr>
          <w:rStyle w:val="48"/>
          <w:rFonts w:hint="eastAsia"/>
        </w:rPr>
        <w:t>资金来源</w:t>
      </w:r>
      <w:r>
        <w:tab/>
      </w:r>
      <w:r>
        <w:fldChar w:fldCharType="begin"/>
      </w:r>
      <w:r>
        <w:instrText xml:space="preserve"> PAGEREF _Toc497905809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"_Toc497905810" </w:instrText>
      </w:r>
      <w:r>
        <w:fldChar w:fldCharType="separate"/>
      </w:r>
      <w:r>
        <w:rPr>
          <w:rStyle w:val="48"/>
        </w:rPr>
        <w:t>3.</w:t>
      </w:r>
      <w:r>
        <w:rPr>
          <w:rStyle w:val="48"/>
          <w:rFonts w:hint="eastAsia"/>
        </w:rPr>
        <w:t>投标费用</w:t>
      </w:r>
      <w:r>
        <w:tab/>
      </w:r>
      <w:r>
        <w:fldChar w:fldCharType="begin"/>
      </w:r>
      <w:r>
        <w:instrText xml:space="preserve"> PAGEREF _Toc497905810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"_Toc497905811" </w:instrText>
      </w:r>
      <w:r>
        <w:fldChar w:fldCharType="separate"/>
      </w:r>
      <w:r>
        <w:rPr>
          <w:rStyle w:val="48"/>
          <w:rFonts w:hint="eastAsia"/>
        </w:rPr>
        <w:t>二</w:t>
      </w:r>
      <w:r>
        <w:rPr>
          <w:rStyle w:val="48"/>
        </w:rPr>
        <w:t xml:space="preserve">   </w:t>
      </w:r>
      <w:r>
        <w:rPr>
          <w:rStyle w:val="48"/>
          <w:rFonts w:hint="eastAsia"/>
        </w:rPr>
        <w:t>招标文件</w:t>
      </w:r>
      <w:r>
        <w:tab/>
      </w:r>
      <w:r>
        <w:fldChar w:fldCharType="begin"/>
      </w:r>
      <w:r>
        <w:instrText xml:space="preserve"> PAGEREF _Toc497905811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"_Toc497905812" </w:instrText>
      </w:r>
      <w:r>
        <w:fldChar w:fldCharType="separate"/>
      </w:r>
      <w:r>
        <w:rPr>
          <w:rStyle w:val="48"/>
        </w:rPr>
        <w:t>4.</w:t>
      </w:r>
      <w:r>
        <w:rPr>
          <w:rStyle w:val="48"/>
          <w:rFonts w:hint="eastAsia"/>
        </w:rPr>
        <w:t>招标文件构成</w:t>
      </w:r>
      <w:r>
        <w:tab/>
      </w:r>
      <w:r>
        <w:fldChar w:fldCharType="begin"/>
      </w:r>
      <w:r>
        <w:instrText xml:space="preserve"> PAGEREF _Toc497905812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"_Toc497905813" </w:instrText>
      </w:r>
      <w:r>
        <w:fldChar w:fldCharType="separate"/>
      </w:r>
      <w:r>
        <w:rPr>
          <w:rStyle w:val="48"/>
        </w:rPr>
        <w:t>5.</w:t>
      </w:r>
      <w:r>
        <w:rPr>
          <w:rStyle w:val="48"/>
          <w:rFonts w:hint="eastAsia"/>
        </w:rPr>
        <w:t>招标文件的澄清</w:t>
      </w:r>
      <w:r>
        <w:tab/>
      </w:r>
      <w:r>
        <w:fldChar w:fldCharType="begin"/>
      </w:r>
      <w:r>
        <w:instrText xml:space="preserve"> PAGEREF _Toc497905813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"_Toc497905814" </w:instrText>
      </w:r>
      <w:r>
        <w:fldChar w:fldCharType="separate"/>
      </w:r>
      <w:r>
        <w:rPr>
          <w:rStyle w:val="48"/>
        </w:rPr>
        <w:t>6.</w:t>
      </w:r>
      <w:r>
        <w:rPr>
          <w:rStyle w:val="48"/>
          <w:rFonts w:hint="eastAsia"/>
        </w:rPr>
        <w:t>招标文件的修改</w:t>
      </w:r>
      <w:r>
        <w:tab/>
      </w:r>
      <w:r>
        <w:fldChar w:fldCharType="begin"/>
      </w:r>
      <w:r>
        <w:instrText xml:space="preserve"> PAGEREF _Toc497905814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"_Toc497905815" </w:instrText>
      </w:r>
      <w:r>
        <w:fldChar w:fldCharType="separate"/>
      </w:r>
      <w:r>
        <w:rPr>
          <w:rStyle w:val="48"/>
          <w:rFonts w:hint="eastAsia"/>
        </w:rPr>
        <w:t>三</w:t>
      </w:r>
      <w:r>
        <w:rPr>
          <w:rStyle w:val="48"/>
        </w:rPr>
        <w:t xml:space="preserve">   </w:t>
      </w:r>
      <w:r>
        <w:rPr>
          <w:rStyle w:val="48"/>
          <w:rFonts w:hint="eastAsia"/>
        </w:rPr>
        <w:t>投标文件的编制</w:t>
      </w:r>
      <w:r>
        <w:tab/>
      </w:r>
      <w:r>
        <w:fldChar w:fldCharType="begin"/>
      </w:r>
      <w:r>
        <w:instrText xml:space="preserve"> PAGEREF _Toc497905815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"_Toc497905816" </w:instrText>
      </w:r>
      <w:r>
        <w:fldChar w:fldCharType="separate"/>
      </w:r>
      <w:r>
        <w:rPr>
          <w:rStyle w:val="48"/>
        </w:rPr>
        <w:t>7.</w:t>
      </w:r>
      <w:r>
        <w:rPr>
          <w:rStyle w:val="48"/>
          <w:rFonts w:hint="eastAsia"/>
        </w:rPr>
        <w:t>投标文件编制的原则</w:t>
      </w:r>
      <w:r>
        <w:tab/>
      </w:r>
      <w:r>
        <w:fldChar w:fldCharType="begin"/>
      </w:r>
      <w:r>
        <w:instrText xml:space="preserve"> PAGEREF _Toc497905816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"_Toc497905817" </w:instrText>
      </w:r>
      <w:r>
        <w:fldChar w:fldCharType="separate"/>
      </w:r>
      <w:r>
        <w:rPr>
          <w:rStyle w:val="48"/>
        </w:rPr>
        <w:t>8.</w:t>
      </w:r>
      <w:r>
        <w:rPr>
          <w:rStyle w:val="48"/>
          <w:rFonts w:hint="eastAsia"/>
        </w:rPr>
        <w:t>投标范围及投标文件中计量单位的使用</w:t>
      </w:r>
      <w:r>
        <w:tab/>
      </w:r>
      <w:r>
        <w:fldChar w:fldCharType="begin"/>
      </w:r>
      <w:r>
        <w:instrText xml:space="preserve"> PAGEREF _Toc497905817 \h </w:instrText>
      </w:r>
      <w:r>
        <w:fldChar w:fldCharType="separate"/>
      </w:r>
      <w:r>
        <w:t>13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"_Toc497905818" </w:instrText>
      </w:r>
      <w:r>
        <w:fldChar w:fldCharType="separate"/>
      </w:r>
      <w:r>
        <w:rPr>
          <w:rStyle w:val="48"/>
        </w:rPr>
        <w:t>9.</w:t>
      </w:r>
      <w:r>
        <w:rPr>
          <w:rStyle w:val="48"/>
          <w:rFonts w:hint="eastAsia"/>
        </w:rPr>
        <w:t>投标文件构成</w:t>
      </w:r>
      <w:r>
        <w:tab/>
      </w:r>
      <w:r>
        <w:fldChar w:fldCharType="begin"/>
      </w:r>
      <w:r>
        <w:instrText xml:space="preserve"> PAGEREF _Toc497905818 \h </w:instrText>
      </w:r>
      <w:r>
        <w:fldChar w:fldCharType="separate"/>
      </w:r>
      <w:r>
        <w:t>13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"_Toc497905819" </w:instrText>
      </w:r>
      <w:r>
        <w:fldChar w:fldCharType="separate"/>
      </w:r>
      <w:r>
        <w:rPr>
          <w:rStyle w:val="48"/>
        </w:rPr>
        <w:t>10.</w:t>
      </w:r>
      <w:r>
        <w:rPr>
          <w:rStyle w:val="48"/>
          <w:rFonts w:hint="eastAsia"/>
        </w:rPr>
        <w:t>投标文件格式</w:t>
      </w:r>
      <w:r>
        <w:tab/>
      </w:r>
      <w:r>
        <w:fldChar w:fldCharType="begin"/>
      </w:r>
      <w:r>
        <w:instrText xml:space="preserve"> PAGEREF _Toc497905819 \h </w:instrText>
      </w:r>
      <w:r>
        <w:fldChar w:fldCharType="separate"/>
      </w:r>
      <w:r>
        <w:t>15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"_Toc497905820" </w:instrText>
      </w:r>
      <w:r>
        <w:fldChar w:fldCharType="separate"/>
      </w:r>
      <w:r>
        <w:rPr>
          <w:rStyle w:val="48"/>
        </w:rPr>
        <w:t>11.</w:t>
      </w:r>
      <w:r>
        <w:rPr>
          <w:rStyle w:val="48"/>
          <w:rFonts w:hint="eastAsia"/>
        </w:rPr>
        <w:t>投标报价</w:t>
      </w:r>
      <w:r>
        <w:tab/>
      </w:r>
      <w:r>
        <w:fldChar w:fldCharType="begin"/>
      </w:r>
      <w:r>
        <w:instrText xml:space="preserve"> PAGEREF _Toc497905820 \h </w:instrText>
      </w:r>
      <w:r>
        <w:fldChar w:fldCharType="separate"/>
      </w:r>
      <w:r>
        <w:t>15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"_Toc497905821" </w:instrText>
      </w:r>
      <w:r>
        <w:fldChar w:fldCharType="separate"/>
      </w:r>
      <w:r>
        <w:rPr>
          <w:rStyle w:val="48"/>
        </w:rPr>
        <w:t>12.</w:t>
      </w:r>
      <w:r>
        <w:rPr>
          <w:rStyle w:val="48"/>
          <w:rFonts w:hint="eastAsia"/>
        </w:rPr>
        <w:t>投标保证金</w:t>
      </w:r>
      <w:r>
        <w:tab/>
      </w:r>
      <w:r>
        <w:fldChar w:fldCharType="begin"/>
      </w:r>
      <w:r>
        <w:instrText xml:space="preserve"> PAGEREF _Toc497905821 \h </w:instrText>
      </w:r>
      <w:r>
        <w:fldChar w:fldCharType="separate"/>
      </w:r>
      <w:r>
        <w:t>15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"_Toc497905822" </w:instrText>
      </w:r>
      <w:r>
        <w:fldChar w:fldCharType="separate"/>
      </w:r>
      <w:r>
        <w:rPr>
          <w:rStyle w:val="48"/>
        </w:rPr>
        <w:t>13.</w:t>
      </w:r>
      <w:r>
        <w:rPr>
          <w:rStyle w:val="48"/>
          <w:rFonts w:hint="eastAsia"/>
        </w:rPr>
        <w:t>投标有效期</w:t>
      </w:r>
      <w:r>
        <w:tab/>
      </w:r>
      <w:r>
        <w:fldChar w:fldCharType="begin"/>
      </w:r>
      <w:r>
        <w:instrText xml:space="preserve"> PAGEREF _Toc497905822 \h </w:instrText>
      </w:r>
      <w:r>
        <w:fldChar w:fldCharType="separate"/>
      </w:r>
      <w:r>
        <w:t>16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"_Toc497905823" </w:instrText>
      </w:r>
      <w:r>
        <w:fldChar w:fldCharType="separate"/>
      </w:r>
      <w:r>
        <w:rPr>
          <w:rStyle w:val="48"/>
        </w:rPr>
        <w:t>14.</w:t>
      </w:r>
      <w:r>
        <w:rPr>
          <w:rStyle w:val="48"/>
          <w:rFonts w:hint="eastAsia"/>
        </w:rPr>
        <w:t>投标文件的签署与规定</w:t>
      </w:r>
      <w:r>
        <w:tab/>
      </w:r>
      <w:r>
        <w:fldChar w:fldCharType="begin"/>
      </w:r>
      <w:r>
        <w:instrText xml:space="preserve"> PAGEREF _Toc497905823 \h </w:instrText>
      </w:r>
      <w:r>
        <w:fldChar w:fldCharType="separate"/>
      </w:r>
      <w:r>
        <w:t>16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"_Toc497905824" </w:instrText>
      </w:r>
      <w:r>
        <w:fldChar w:fldCharType="separate"/>
      </w:r>
      <w:r>
        <w:rPr>
          <w:rStyle w:val="48"/>
          <w:rFonts w:hint="eastAsia"/>
        </w:rPr>
        <w:t>四</w:t>
      </w:r>
      <w:r>
        <w:rPr>
          <w:rStyle w:val="48"/>
        </w:rPr>
        <w:t xml:space="preserve">   </w:t>
      </w:r>
      <w:r>
        <w:rPr>
          <w:rStyle w:val="48"/>
          <w:rFonts w:hint="eastAsia"/>
        </w:rPr>
        <w:t>投标文件的递交</w:t>
      </w:r>
      <w:r>
        <w:tab/>
      </w:r>
      <w:r>
        <w:fldChar w:fldCharType="begin"/>
      </w:r>
      <w:r>
        <w:instrText xml:space="preserve"> PAGEREF _Toc497905824 \h </w:instrText>
      </w:r>
      <w:r>
        <w:fldChar w:fldCharType="separate"/>
      </w:r>
      <w:r>
        <w:t>17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"_Toc497905825" </w:instrText>
      </w:r>
      <w:r>
        <w:fldChar w:fldCharType="separate"/>
      </w:r>
      <w:r>
        <w:rPr>
          <w:rStyle w:val="48"/>
        </w:rPr>
        <w:t>15.</w:t>
      </w:r>
      <w:r>
        <w:rPr>
          <w:rStyle w:val="48"/>
          <w:rFonts w:hint="eastAsia"/>
        </w:rPr>
        <w:t>投标文件的装订及递交</w:t>
      </w:r>
      <w:r>
        <w:tab/>
      </w:r>
      <w:r>
        <w:fldChar w:fldCharType="begin"/>
      </w:r>
      <w:r>
        <w:instrText xml:space="preserve"> PAGEREF _Toc497905825 \h </w:instrText>
      </w:r>
      <w:r>
        <w:fldChar w:fldCharType="separate"/>
      </w:r>
      <w:r>
        <w:t>17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"_Toc497905826" </w:instrText>
      </w:r>
      <w:r>
        <w:fldChar w:fldCharType="separate"/>
      </w:r>
      <w:r>
        <w:rPr>
          <w:rStyle w:val="48"/>
        </w:rPr>
        <w:t>16.</w:t>
      </w:r>
      <w:r>
        <w:rPr>
          <w:rStyle w:val="48"/>
          <w:rFonts w:hint="eastAsia"/>
        </w:rPr>
        <w:t>投标截止期</w:t>
      </w:r>
      <w:r>
        <w:tab/>
      </w:r>
      <w:r>
        <w:fldChar w:fldCharType="begin"/>
      </w:r>
      <w:r>
        <w:instrText xml:space="preserve"> PAGEREF _Toc497905826 \h </w:instrText>
      </w:r>
      <w:r>
        <w:fldChar w:fldCharType="separate"/>
      </w:r>
      <w:r>
        <w:t>17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"_Toc497905827" </w:instrText>
      </w:r>
      <w:r>
        <w:fldChar w:fldCharType="separate"/>
      </w:r>
      <w:r>
        <w:rPr>
          <w:rStyle w:val="48"/>
        </w:rPr>
        <w:t>17.</w:t>
      </w:r>
      <w:r>
        <w:rPr>
          <w:rStyle w:val="48"/>
          <w:rFonts w:hint="eastAsia"/>
        </w:rPr>
        <w:t>投标文件的修改与撤回</w:t>
      </w:r>
      <w:r>
        <w:tab/>
      </w:r>
      <w:r>
        <w:fldChar w:fldCharType="begin"/>
      </w:r>
      <w:r>
        <w:instrText xml:space="preserve"> PAGEREF _Toc497905827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"_Toc497905828" </w:instrText>
      </w:r>
      <w:r>
        <w:fldChar w:fldCharType="separate"/>
      </w:r>
      <w:r>
        <w:rPr>
          <w:rStyle w:val="48"/>
          <w:rFonts w:hint="eastAsia"/>
        </w:rPr>
        <w:t>五</w:t>
      </w:r>
      <w:r>
        <w:rPr>
          <w:rStyle w:val="48"/>
        </w:rPr>
        <w:t xml:space="preserve">   </w:t>
      </w:r>
      <w:r>
        <w:rPr>
          <w:rStyle w:val="48"/>
          <w:rFonts w:hint="eastAsia"/>
        </w:rPr>
        <w:t>开标及评标</w:t>
      </w:r>
      <w:r>
        <w:tab/>
      </w:r>
      <w:r>
        <w:fldChar w:fldCharType="begin"/>
      </w:r>
      <w:r>
        <w:instrText xml:space="preserve"> PAGEREF _Toc497905828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"_Toc497905829" </w:instrText>
      </w:r>
      <w:r>
        <w:fldChar w:fldCharType="separate"/>
      </w:r>
      <w:r>
        <w:rPr>
          <w:rStyle w:val="48"/>
        </w:rPr>
        <w:t>18.</w:t>
      </w:r>
      <w:r>
        <w:rPr>
          <w:rStyle w:val="48"/>
          <w:rFonts w:hint="eastAsia"/>
        </w:rPr>
        <w:t>开标</w:t>
      </w:r>
      <w:r>
        <w:tab/>
      </w:r>
      <w:r>
        <w:fldChar w:fldCharType="begin"/>
      </w:r>
      <w:r>
        <w:instrText xml:space="preserve"> PAGEREF _Toc497905829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"_Toc497905830" </w:instrText>
      </w:r>
      <w:r>
        <w:fldChar w:fldCharType="separate"/>
      </w:r>
      <w:r>
        <w:rPr>
          <w:rStyle w:val="48"/>
        </w:rPr>
        <w:t>19.</w:t>
      </w:r>
      <w:r>
        <w:rPr>
          <w:rStyle w:val="48"/>
          <w:rFonts w:hint="eastAsia"/>
        </w:rPr>
        <w:t>评标委员会和评标方法</w:t>
      </w:r>
      <w:r>
        <w:tab/>
      </w:r>
      <w:r>
        <w:fldChar w:fldCharType="begin"/>
      </w:r>
      <w:r>
        <w:instrText xml:space="preserve"> PAGEREF _Toc497905830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"_Toc497905831" </w:instrText>
      </w:r>
      <w:r>
        <w:fldChar w:fldCharType="separate"/>
      </w:r>
      <w:r>
        <w:rPr>
          <w:rStyle w:val="48"/>
        </w:rPr>
        <w:t>20.</w:t>
      </w:r>
      <w:r>
        <w:rPr>
          <w:rStyle w:val="48"/>
          <w:rFonts w:hint="eastAsia"/>
        </w:rPr>
        <w:t>投标文件的初审</w:t>
      </w:r>
      <w:r>
        <w:tab/>
      </w:r>
      <w:r>
        <w:fldChar w:fldCharType="begin"/>
      </w:r>
      <w:r>
        <w:instrText xml:space="preserve"> PAGEREF _Toc497905831 \h </w:instrText>
      </w:r>
      <w:r>
        <w:fldChar w:fldCharType="separate"/>
      </w:r>
      <w:r>
        <w:t>19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"_Toc497905832" </w:instrText>
      </w:r>
      <w:r>
        <w:fldChar w:fldCharType="separate"/>
      </w:r>
      <w:r>
        <w:rPr>
          <w:rStyle w:val="48"/>
        </w:rPr>
        <w:t xml:space="preserve">22. </w:t>
      </w:r>
      <w:r>
        <w:rPr>
          <w:rStyle w:val="48"/>
          <w:rFonts w:hint="eastAsia"/>
        </w:rPr>
        <w:t>评标</w:t>
      </w:r>
      <w:r>
        <w:tab/>
      </w:r>
      <w:r>
        <w:fldChar w:fldCharType="begin"/>
      </w:r>
      <w:r>
        <w:instrText xml:space="preserve"> PAGEREF _Toc497905832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"_Toc497905833" </w:instrText>
      </w:r>
      <w:r>
        <w:fldChar w:fldCharType="separate"/>
      </w:r>
      <w:r>
        <w:rPr>
          <w:rStyle w:val="48"/>
        </w:rPr>
        <w:t>23.</w:t>
      </w:r>
      <w:r>
        <w:rPr>
          <w:rStyle w:val="48"/>
          <w:rFonts w:hint="eastAsia"/>
        </w:rPr>
        <w:t>评标过程及保密原则</w:t>
      </w:r>
      <w:r>
        <w:tab/>
      </w:r>
      <w:r>
        <w:fldChar w:fldCharType="begin"/>
      </w:r>
      <w:r>
        <w:instrText xml:space="preserve"> PAGEREF _Toc497905833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"_Toc497905834" </w:instrText>
      </w:r>
      <w:r>
        <w:fldChar w:fldCharType="separate"/>
      </w:r>
      <w:r>
        <w:rPr>
          <w:rStyle w:val="48"/>
          <w:rFonts w:hint="eastAsia"/>
        </w:rPr>
        <w:t>六</w:t>
      </w:r>
      <w:r>
        <w:rPr>
          <w:rStyle w:val="48"/>
        </w:rPr>
        <w:t xml:space="preserve">   </w:t>
      </w:r>
      <w:r>
        <w:rPr>
          <w:rStyle w:val="48"/>
          <w:rFonts w:hint="eastAsia"/>
        </w:rPr>
        <w:t>确定中标</w:t>
      </w:r>
      <w:r>
        <w:tab/>
      </w:r>
      <w:r>
        <w:fldChar w:fldCharType="begin"/>
      </w:r>
      <w:r>
        <w:instrText xml:space="preserve"> PAGEREF _Toc497905834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"_Toc497905835" </w:instrText>
      </w:r>
      <w:r>
        <w:fldChar w:fldCharType="separate"/>
      </w:r>
      <w:r>
        <w:rPr>
          <w:rStyle w:val="48"/>
        </w:rPr>
        <w:t>24.</w:t>
      </w:r>
      <w:r>
        <w:rPr>
          <w:rStyle w:val="48"/>
          <w:rFonts w:hint="eastAsia"/>
        </w:rPr>
        <w:t>中标人的确定标准</w:t>
      </w:r>
      <w:r>
        <w:tab/>
      </w:r>
      <w:r>
        <w:fldChar w:fldCharType="begin"/>
      </w:r>
      <w:r>
        <w:instrText xml:space="preserve"> PAGEREF _Toc497905835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"_Toc497905836" </w:instrText>
      </w:r>
      <w:r>
        <w:fldChar w:fldCharType="separate"/>
      </w:r>
      <w:r>
        <w:rPr>
          <w:rStyle w:val="48"/>
        </w:rPr>
        <w:t>25.</w:t>
      </w:r>
      <w:r>
        <w:rPr>
          <w:rStyle w:val="48"/>
          <w:rFonts w:hint="eastAsia"/>
        </w:rPr>
        <w:t>接受和拒绝任何或所有投标的权利</w:t>
      </w:r>
      <w:r>
        <w:tab/>
      </w:r>
      <w:r>
        <w:fldChar w:fldCharType="begin"/>
      </w:r>
      <w:r>
        <w:instrText xml:space="preserve"> PAGEREF _Toc497905836 \h </w:instrText>
      </w:r>
      <w:r>
        <w:fldChar w:fldCharType="separate"/>
      </w:r>
      <w:r>
        <w:t>22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"_Toc497905837" </w:instrText>
      </w:r>
      <w:r>
        <w:fldChar w:fldCharType="separate"/>
      </w:r>
      <w:r>
        <w:rPr>
          <w:rStyle w:val="48"/>
        </w:rPr>
        <w:t>26.</w:t>
      </w:r>
      <w:r>
        <w:rPr>
          <w:rStyle w:val="48"/>
          <w:rFonts w:hint="eastAsia"/>
        </w:rPr>
        <w:t>中标通知书</w:t>
      </w:r>
      <w:r>
        <w:tab/>
      </w:r>
      <w:r>
        <w:fldChar w:fldCharType="begin"/>
      </w:r>
      <w:r>
        <w:instrText xml:space="preserve"> PAGEREF _Toc497905837 \h </w:instrText>
      </w:r>
      <w:r>
        <w:fldChar w:fldCharType="separate"/>
      </w:r>
      <w:r>
        <w:t>22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"_Toc497905838" </w:instrText>
      </w:r>
      <w:r>
        <w:fldChar w:fldCharType="separate"/>
      </w:r>
      <w:r>
        <w:rPr>
          <w:rStyle w:val="48"/>
        </w:rPr>
        <w:t xml:space="preserve">27. </w:t>
      </w:r>
      <w:r>
        <w:rPr>
          <w:rStyle w:val="48"/>
          <w:rFonts w:hint="eastAsia"/>
        </w:rPr>
        <w:t>签订合同</w:t>
      </w:r>
      <w:r>
        <w:tab/>
      </w:r>
      <w:r>
        <w:fldChar w:fldCharType="begin"/>
      </w:r>
      <w:r>
        <w:instrText xml:space="preserve"> PAGEREF _Toc497905838 \h </w:instrText>
      </w:r>
      <w:r>
        <w:fldChar w:fldCharType="separate"/>
      </w:r>
      <w:r>
        <w:t>22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"_Toc497905839" </w:instrText>
      </w:r>
      <w:r>
        <w:fldChar w:fldCharType="separate"/>
      </w:r>
      <w:r>
        <w:rPr>
          <w:rStyle w:val="48"/>
        </w:rPr>
        <w:t>28.</w:t>
      </w:r>
      <w:r>
        <w:rPr>
          <w:rStyle w:val="48"/>
          <w:rFonts w:hint="eastAsia"/>
        </w:rPr>
        <w:t>履约保证金</w:t>
      </w:r>
      <w:r>
        <w:tab/>
      </w:r>
      <w:r>
        <w:fldChar w:fldCharType="begin"/>
      </w:r>
      <w:r>
        <w:instrText xml:space="preserve"> PAGEREF _Toc497905839 \h </w:instrText>
      </w:r>
      <w:r>
        <w:fldChar w:fldCharType="separate"/>
      </w:r>
      <w:r>
        <w:t>23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"_Toc497905840" </w:instrText>
      </w:r>
      <w:r>
        <w:fldChar w:fldCharType="separate"/>
      </w:r>
      <w:r>
        <w:rPr>
          <w:rStyle w:val="48"/>
          <w:rFonts w:hint="eastAsia"/>
        </w:rPr>
        <w:t>七</w:t>
      </w:r>
      <w:r>
        <w:rPr>
          <w:rStyle w:val="48"/>
        </w:rPr>
        <w:t xml:space="preserve">  </w:t>
      </w:r>
      <w:r>
        <w:rPr>
          <w:rStyle w:val="48"/>
          <w:rFonts w:hint="eastAsia"/>
        </w:rPr>
        <w:t>中标服务费</w:t>
      </w:r>
      <w:r>
        <w:tab/>
      </w:r>
      <w:r>
        <w:fldChar w:fldCharType="begin"/>
      </w:r>
      <w:r>
        <w:instrText xml:space="preserve"> PAGEREF _Toc497905840 \h </w:instrText>
      </w:r>
      <w:r>
        <w:fldChar w:fldCharType="separate"/>
      </w:r>
      <w:r>
        <w:t>23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"_Toc497905841" </w:instrText>
      </w:r>
      <w:r>
        <w:fldChar w:fldCharType="separate"/>
      </w:r>
      <w:r>
        <w:rPr>
          <w:rStyle w:val="48"/>
        </w:rPr>
        <w:t>29.</w:t>
      </w:r>
      <w:r>
        <w:rPr>
          <w:rStyle w:val="48"/>
          <w:rFonts w:hint="eastAsia"/>
        </w:rPr>
        <w:t>中标服务费</w:t>
      </w:r>
      <w:r>
        <w:tab/>
      </w:r>
      <w:r>
        <w:fldChar w:fldCharType="begin"/>
      </w:r>
      <w:r>
        <w:instrText xml:space="preserve"> PAGEREF _Toc497905841 \h </w:instrText>
      </w:r>
      <w:r>
        <w:fldChar w:fldCharType="separate"/>
      </w:r>
      <w:r>
        <w:t>23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"_Toc497905842" </w:instrText>
      </w:r>
      <w:r>
        <w:fldChar w:fldCharType="separate"/>
      </w:r>
      <w:r>
        <w:rPr>
          <w:rStyle w:val="48"/>
          <w:rFonts w:hint="eastAsia"/>
        </w:rPr>
        <w:t>八</w:t>
      </w:r>
      <w:r>
        <w:rPr>
          <w:rStyle w:val="48"/>
        </w:rPr>
        <w:t xml:space="preserve">  </w:t>
      </w:r>
      <w:r>
        <w:rPr>
          <w:rStyle w:val="48"/>
          <w:rFonts w:hint="eastAsia"/>
        </w:rPr>
        <w:t>政府采购信用担保</w:t>
      </w:r>
      <w:r>
        <w:tab/>
      </w:r>
      <w:r>
        <w:fldChar w:fldCharType="begin"/>
      </w:r>
      <w:r>
        <w:instrText xml:space="preserve"> PAGEREF _Toc497905842 \h </w:instrText>
      </w:r>
      <w:r>
        <w:fldChar w:fldCharType="separate"/>
      </w:r>
      <w:r>
        <w:t>24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"_Toc497905843" </w:instrText>
      </w:r>
      <w:r>
        <w:fldChar w:fldCharType="separate"/>
      </w:r>
      <w:r>
        <w:rPr>
          <w:rStyle w:val="48"/>
        </w:rPr>
        <w:t>30.</w:t>
      </w:r>
      <w:r>
        <w:rPr>
          <w:rStyle w:val="48"/>
          <w:rFonts w:hint="eastAsia"/>
        </w:rPr>
        <w:t>政府采购信用担保</w:t>
      </w:r>
      <w:r>
        <w:tab/>
      </w:r>
      <w:r>
        <w:fldChar w:fldCharType="begin"/>
      </w:r>
      <w:r>
        <w:instrText xml:space="preserve"> PAGEREF _Toc497905843 \h </w:instrText>
      </w:r>
      <w:r>
        <w:fldChar w:fldCharType="separate"/>
      </w:r>
      <w:r>
        <w:t>24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"_Toc497905844" </w:instrText>
      </w:r>
      <w:r>
        <w:fldChar w:fldCharType="separate"/>
      </w:r>
      <w:r>
        <w:rPr>
          <w:rStyle w:val="48"/>
          <w:rFonts w:hint="eastAsia"/>
        </w:rPr>
        <w:t>九</w:t>
      </w:r>
      <w:r>
        <w:rPr>
          <w:rStyle w:val="48"/>
        </w:rPr>
        <w:t xml:space="preserve"> </w:t>
      </w:r>
      <w:r>
        <w:rPr>
          <w:rStyle w:val="48"/>
          <w:rFonts w:hint="eastAsia"/>
        </w:rPr>
        <w:t>履约验收</w:t>
      </w:r>
      <w:r>
        <w:tab/>
      </w:r>
      <w:r>
        <w:fldChar w:fldCharType="begin"/>
      </w:r>
      <w:r>
        <w:instrText xml:space="preserve"> PAGEREF _Toc497905844 \h </w:instrText>
      </w:r>
      <w:r>
        <w:fldChar w:fldCharType="separate"/>
      </w:r>
      <w:r>
        <w:t>24</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"_Toc497905845" </w:instrText>
      </w:r>
      <w:r>
        <w:fldChar w:fldCharType="separate"/>
      </w:r>
      <w:r>
        <w:rPr>
          <w:rStyle w:val="48"/>
          <w:rFonts w:hint="eastAsia"/>
        </w:rPr>
        <w:t>第四章 技术要求</w:t>
      </w:r>
      <w:r>
        <w:tab/>
      </w:r>
      <w:r>
        <w:fldChar w:fldCharType="begin"/>
      </w:r>
      <w:r>
        <w:instrText xml:space="preserve"> PAGEREF _Toc497905845 \h </w:instrText>
      </w:r>
      <w:r>
        <w:fldChar w:fldCharType="separate"/>
      </w:r>
      <w:r>
        <w:t>25</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"_Toc497905846" </w:instrText>
      </w:r>
      <w:r>
        <w:fldChar w:fldCharType="separate"/>
      </w:r>
      <w:r>
        <w:rPr>
          <w:rStyle w:val="48"/>
          <w:rFonts w:hint="eastAsia"/>
        </w:rPr>
        <w:t>第五章</w:t>
      </w:r>
      <w:r>
        <w:rPr>
          <w:rStyle w:val="48"/>
        </w:rPr>
        <w:t xml:space="preserve">  </w:t>
      </w:r>
      <w:r>
        <w:rPr>
          <w:rStyle w:val="48"/>
          <w:rFonts w:hint="eastAsia"/>
        </w:rPr>
        <w:t>评分办法及评分标准</w:t>
      </w:r>
      <w:r>
        <w:tab/>
      </w:r>
      <w:r>
        <w:fldChar w:fldCharType="begin"/>
      </w:r>
      <w:r>
        <w:instrText xml:space="preserve"> PAGEREF _Toc497905846 \h </w:instrText>
      </w:r>
      <w:r>
        <w:fldChar w:fldCharType="separate"/>
      </w:r>
      <w:r>
        <w:t>32</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"_Toc497905847" </w:instrText>
      </w:r>
      <w:r>
        <w:fldChar w:fldCharType="separate"/>
      </w:r>
      <w:r>
        <w:rPr>
          <w:rStyle w:val="48"/>
          <w:rFonts w:hint="eastAsia" w:hAnsi="宋体"/>
        </w:rPr>
        <w:t>第六章合同一般条款</w:t>
      </w:r>
      <w:r>
        <w:tab/>
      </w:r>
      <w:r>
        <w:fldChar w:fldCharType="begin"/>
      </w:r>
      <w:r>
        <w:instrText xml:space="preserve"> PAGEREF _Toc497905847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"_Toc497905848" </w:instrText>
      </w:r>
      <w:r>
        <w:fldChar w:fldCharType="separate"/>
      </w:r>
      <w:r>
        <w:rPr>
          <w:rStyle w:val="48"/>
        </w:rPr>
        <w:t xml:space="preserve">1. </w:t>
      </w:r>
      <w:r>
        <w:rPr>
          <w:rStyle w:val="48"/>
          <w:rFonts w:hint="eastAsia"/>
        </w:rPr>
        <w:t>定义</w:t>
      </w:r>
      <w:r>
        <w:tab/>
      </w:r>
      <w:r>
        <w:fldChar w:fldCharType="begin"/>
      </w:r>
      <w:r>
        <w:instrText xml:space="preserve"> PAGEREF _Toc497905848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"_Toc497905849" </w:instrText>
      </w:r>
      <w:r>
        <w:fldChar w:fldCharType="separate"/>
      </w:r>
      <w:r>
        <w:rPr>
          <w:rStyle w:val="48"/>
        </w:rPr>
        <w:t>2</w:t>
      </w:r>
      <w:r>
        <w:rPr>
          <w:rStyle w:val="48"/>
          <w:rFonts w:hint="eastAsia"/>
        </w:rPr>
        <w:t>．技术规范</w:t>
      </w:r>
      <w:r>
        <w:tab/>
      </w:r>
      <w:r>
        <w:fldChar w:fldCharType="begin"/>
      </w:r>
      <w:r>
        <w:instrText xml:space="preserve"> PAGEREF _Toc497905849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"_Toc497905850" </w:instrText>
      </w:r>
      <w:r>
        <w:fldChar w:fldCharType="separate"/>
      </w:r>
      <w:r>
        <w:rPr>
          <w:rStyle w:val="48"/>
        </w:rPr>
        <w:t xml:space="preserve">3. </w:t>
      </w:r>
      <w:r>
        <w:rPr>
          <w:rStyle w:val="48"/>
          <w:rFonts w:hint="eastAsia"/>
        </w:rPr>
        <w:t>知识产权</w:t>
      </w:r>
      <w:r>
        <w:tab/>
      </w:r>
      <w:r>
        <w:fldChar w:fldCharType="begin"/>
      </w:r>
      <w:r>
        <w:instrText xml:space="preserve"> PAGEREF _Toc497905850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"_Toc497905851" </w:instrText>
      </w:r>
      <w:r>
        <w:fldChar w:fldCharType="separate"/>
      </w:r>
      <w:r>
        <w:rPr>
          <w:rStyle w:val="48"/>
        </w:rPr>
        <w:t xml:space="preserve">4. </w:t>
      </w:r>
      <w:r>
        <w:rPr>
          <w:rStyle w:val="48"/>
          <w:rFonts w:hint="eastAsia"/>
        </w:rPr>
        <w:t>包装要求</w:t>
      </w:r>
      <w:r>
        <w:tab/>
      </w:r>
      <w:r>
        <w:fldChar w:fldCharType="begin"/>
      </w:r>
      <w:r>
        <w:instrText xml:space="preserve"> PAGEREF _Toc497905851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"_Toc497905852" </w:instrText>
      </w:r>
      <w:r>
        <w:fldChar w:fldCharType="separate"/>
      </w:r>
      <w:r>
        <w:rPr>
          <w:rStyle w:val="48"/>
        </w:rPr>
        <w:t xml:space="preserve">5. </w:t>
      </w:r>
      <w:r>
        <w:rPr>
          <w:rStyle w:val="48"/>
          <w:rFonts w:hint="eastAsia"/>
        </w:rPr>
        <w:t>装运标志</w:t>
      </w:r>
      <w:r>
        <w:tab/>
      </w:r>
      <w:r>
        <w:fldChar w:fldCharType="begin"/>
      </w:r>
      <w:r>
        <w:instrText xml:space="preserve"> PAGEREF _Toc497905852 \h </w:instrText>
      </w:r>
      <w:r>
        <w:fldChar w:fldCharType="separate"/>
      </w:r>
      <w:r>
        <w:t>37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"_Toc497905853" </w:instrText>
      </w:r>
      <w:r>
        <w:fldChar w:fldCharType="separate"/>
      </w:r>
      <w:r>
        <w:rPr>
          <w:rStyle w:val="48"/>
        </w:rPr>
        <w:t xml:space="preserve">6. </w:t>
      </w:r>
      <w:r>
        <w:rPr>
          <w:rStyle w:val="48"/>
          <w:rFonts w:hint="eastAsia"/>
        </w:rPr>
        <w:t>交货方式</w:t>
      </w:r>
      <w:r>
        <w:tab/>
      </w:r>
      <w:r>
        <w:fldChar w:fldCharType="begin"/>
      </w:r>
      <w:r>
        <w:instrText xml:space="preserve"> PAGEREF _Toc497905853 \h </w:instrText>
      </w:r>
      <w:r>
        <w:fldChar w:fldCharType="separate"/>
      </w:r>
      <w:r>
        <w:t>37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"_Toc497905854" </w:instrText>
      </w:r>
      <w:r>
        <w:fldChar w:fldCharType="separate"/>
      </w:r>
      <w:r>
        <w:rPr>
          <w:rStyle w:val="48"/>
        </w:rPr>
        <w:t xml:space="preserve">7. </w:t>
      </w:r>
      <w:r>
        <w:rPr>
          <w:rStyle w:val="48"/>
          <w:rFonts w:hint="eastAsia"/>
        </w:rPr>
        <w:t>装运通知</w:t>
      </w:r>
      <w:r>
        <w:tab/>
      </w:r>
      <w:r>
        <w:fldChar w:fldCharType="begin"/>
      </w:r>
      <w:r>
        <w:instrText xml:space="preserve"> PAGEREF _Toc497905854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"_Toc497905855" </w:instrText>
      </w:r>
      <w:r>
        <w:fldChar w:fldCharType="separate"/>
      </w:r>
      <w:r>
        <w:rPr>
          <w:rStyle w:val="48"/>
        </w:rPr>
        <w:t xml:space="preserve">8. </w:t>
      </w:r>
      <w:r>
        <w:rPr>
          <w:rStyle w:val="48"/>
          <w:rFonts w:hint="eastAsia"/>
        </w:rPr>
        <w:t>保险</w:t>
      </w:r>
      <w:r>
        <w:tab/>
      </w:r>
      <w:r>
        <w:fldChar w:fldCharType="begin"/>
      </w:r>
      <w:r>
        <w:instrText xml:space="preserve"> PAGEREF _Toc497905855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"_Toc497905856" </w:instrText>
      </w:r>
      <w:r>
        <w:fldChar w:fldCharType="separate"/>
      </w:r>
      <w:r>
        <w:rPr>
          <w:rStyle w:val="48"/>
        </w:rPr>
        <w:t xml:space="preserve">9 </w:t>
      </w:r>
      <w:r>
        <w:rPr>
          <w:rStyle w:val="48"/>
          <w:rFonts w:hint="eastAsia"/>
        </w:rPr>
        <w:t>付款条件</w:t>
      </w:r>
      <w:r>
        <w:tab/>
      </w:r>
      <w:r>
        <w:fldChar w:fldCharType="begin"/>
      </w:r>
      <w:r>
        <w:instrText xml:space="preserve"> PAGEREF _Toc497905856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"_Toc497905857" </w:instrText>
      </w:r>
      <w:r>
        <w:fldChar w:fldCharType="separate"/>
      </w:r>
      <w:r>
        <w:rPr>
          <w:rStyle w:val="48"/>
        </w:rPr>
        <w:t>10 .</w:t>
      </w:r>
      <w:r>
        <w:rPr>
          <w:rStyle w:val="48"/>
          <w:rFonts w:hint="eastAsia"/>
        </w:rPr>
        <w:t>技术资料</w:t>
      </w:r>
      <w:r>
        <w:tab/>
      </w:r>
      <w:r>
        <w:fldChar w:fldCharType="begin"/>
      </w:r>
      <w:r>
        <w:instrText xml:space="preserve"> PAGEREF _Toc497905857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"_Toc497905858" </w:instrText>
      </w:r>
      <w:r>
        <w:fldChar w:fldCharType="separate"/>
      </w:r>
      <w:r>
        <w:rPr>
          <w:rStyle w:val="48"/>
        </w:rPr>
        <w:t xml:space="preserve">11. </w:t>
      </w:r>
      <w:r>
        <w:rPr>
          <w:rStyle w:val="48"/>
          <w:rFonts w:hint="eastAsia"/>
        </w:rPr>
        <w:t>质量保证</w:t>
      </w:r>
      <w:r>
        <w:tab/>
      </w:r>
      <w:r>
        <w:fldChar w:fldCharType="begin"/>
      </w:r>
      <w:r>
        <w:instrText xml:space="preserve"> PAGEREF _Toc497905858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"_Toc497905859" </w:instrText>
      </w:r>
      <w:r>
        <w:fldChar w:fldCharType="separate"/>
      </w:r>
      <w:r>
        <w:rPr>
          <w:rStyle w:val="48"/>
        </w:rPr>
        <w:t xml:space="preserve">12. </w:t>
      </w:r>
      <w:r>
        <w:rPr>
          <w:rStyle w:val="48"/>
          <w:rFonts w:hint="eastAsia"/>
        </w:rPr>
        <w:t>检验和验收</w:t>
      </w:r>
      <w:r>
        <w:tab/>
      </w:r>
      <w:r>
        <w:fldChar w:fldCharType="begin"/>
      </w:r>
      <w:r>
        <w:instrText xml:space="preserve"> PAGEREF _Toc497905859 \h </w:instrText>
      </w:r>
      <w:r>
        <w:fldChar w:fldCharType="separate"/>
      </w:r>
      <w:r>
        <w:t>39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"_Toc497905860" </w:instrText>
      </w:r>
      <w:r>
        <w:fldChar w:fldCharType="separate"/>
      </w:r>
      <w:r>
        <w:rPr>
          <w:rStyle w:val="48"/>
        </w:rPr>
        <w:t xml:space="preserve">13. </w:t>
      </w:r>
      <w:r>
        <w:rPr>
          <w:rStyle w:val="48"/>
          <w:rFonts w:hint="eastAsia"/>
        </w:rPr>
        <w:t>索赔</w:t>
      </w:r>
      <w:r>
        <w:tab/>
      </w:r>
      <w:r>
        <w:fldChar w:fldCharType="begin"/>
      </w:r>
      <w:r>
        <w:instrText xml:space="preserve"> PAGEREF _Toc497905860 \h </w:instrText>
      </w:r>
      <w:r>
        <w:fldChar w:fldCharType="separate"/>
      </w:r>
      <w:r>
        <w:t>39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"_Toc497905861" </w:instrText>
      </w:r>
      <w:r>
        <w:fldChar w:fldCharType="separate"/>
      </w:r>
      <w:r>
        <w:rPr>
          <w:rStyle w:val="48"/>
        </w:rPr>
        <w:t xml:space="preserve">14. </w:t>
      </w:r>
      <w:r>
        <w:rPr>
          <w:rStyle w:val="48"/>
          <w:rFonts w:hint="eastAsia"/>
        </w:rPr>
        <w:t>迟延交货</w:t>
      </w:r>
      <w:r>
        <w:tab/>
      </w:r>
      <w:r>
        <w:fldChar w:fldCharType="begin"/>
      </w:r>
      <w:r>
        <w:instrText xml:space="preserve"> PAGEREF _Toc497905861 \h </w:instrText>
      </w:r>
      <w:r>
        <w:fldChar w:fldCharType="separate"/>
      </w:r>
      <w:r>
        <w:t>40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"_Toc497905862" </w:instrText>
      </w:r>
      <w:r>
        <w:fldChar w:fldCharType="separate"/>
      </w:r>
      <w:r>
        <w:rPr>
          <w:rStyle w:val="48"/>
        </w:rPr>
        <w:t xml:space="preserve">15. </w:t>
      </w:r>
      <w:r>
        <w:rPr>
          <w:rStyle w:val="48"/>
          <w:rFonts w:hint="eastAsia"/>
        </w:rPr>
        <w:t>违约赔偿</w:t>
      </w:r>
      <w:r>
        <w:tab/>
      </w:r>
      <w:r>
        <w:fldChar w:fldCharType="begin"/>
      </w:r>
      <w:r>
        <w:instrText xml:space="preserve"> PAGEREF _Toc497905862 \h </w:instrText>
      </w:r>
      <w:r>
        <w:fldChar w:fldCharType="separate"/>
      </w:r>
      <w:r>
        <w:t>40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"_Toc497905863" </w:instrText>
      </w:r>
      <w:r>
        <w:fldChar w:fldCharType="separate"/>
      </w:r>
      <w:r>
        <w:rPr>
          <w:rStyle w:val="48"/>
        </w:rPr>
        <w:t xml:space="preserve">16. </w:t>
      </w:r>
      <w:r>
        <w:rPr>
          <w:rStyle w:val="48"/>
          <w:rFonts w:hint="eastAsia"/>
        </w:rPr>
        <w:t>不可抗力</w:t>
      </w:r>
      <w:r>
        <w:tab/>
      </w:r>
      <w:r>
        <w:fldChar w:fldCharType="begin"/>
      </w:r>
      <w:r>
        <w:instrText xml:space="preserve"> PAGEREF _Toc497905863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"_Toc497905864" </w:instrText>
      </w:r>
      <w:r>
        <w:fldChar w:fldCharType="separate"/>
      </w:r>
      <w:r>
        <w:rPr>
          <w:rStyle w:val="48"/>
        </w:rPr>
        <w:t xml:space="preserve">17. </w:t>
      </w:r>
      <w:r>
        <w:rPr>
          <w:rStyle w:val="48"/>
          <w:rFonts w:hint="eastAsia"/>
        </w:rPr>
        <w:t>税费</w:t>
      </w:r>
      <w:r>
        <w:tab/>
      </w:r>
      <w:r>
        <w:fldChar w:fldCharType="begin"/>
      </w:r>
      <w:r>
        <w:instrText xml:space="preserve"> PAGEREF _Toc497905864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"_Toc497905865" </w:instrText>
      </w:r>
      <w:r>
        <w:fldChar w:fldCharType="separate"/>
      </w:r>
      <w:r>
        <w:rPr>
          <w:rStyle w:val="48"/>
        </w:rPr>
        <w:t xml:space="preserve">18. </w:t>
      </w:r>
      <w:r>
        <w:rPr>
          <w:rStyle w:val="48"/>
          <w:rFonts w:hint="eastAsia"/>
        </w:rPr>
        <w:t>仲裁</w:t>
      </w:r>
      <w:r>
        <w:tab/>
      </w:r>
      <w:r>
        <w:fldChar w:fldCharType="begin"/>
      </w:r>
      <w:r>
        <w:instrText xml:space="preserve"> PAGEREF _Toc497905865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"_Toc497905866" </w:instrText>
      </w:r>
      <w:r>
        <w:fldChar w:fldCharType="separate"/>
      </w:r>
      <w:r>
        <w:rPr>
          <w:rStyle w:val="48"/>
        </w:rPr>
        <w:t xml:space="preserve">19. </w:t>
      </w:r>
      <w:r>
        <w:rPr>
          <w:rStyle w:val="48"/>
          <w:rFonts w:hint="eastAsia"/>
        </w:rPr>
        <w:t>违约解除合同</w:t>
      </w:r>
      <w:r>
        <w:tab/>
      </w:r>
      <w:r>
        <w:fldChar w:fldCharType="begin"/>
      </w:r>
      <w:r>
        <w:instrText xml:space="preserve"> PAGEREF _Toc497905866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"_Toc497905867" </w:instrText>
      </w:r>
      <w:r>
        <w:fldChar w:fldCharType="separate"/>
      </w:r>
      <w:r>
        <w:rPr>
          <w:rStyle w:val="48"/>
        </w:rPr>
        <w:t xml:space="preserve">20. </w:t>
      </w:r>
      <w:r>
        <w:rPr>
          <w:rStyle w:val="48"/>
          <w:rFonts w:hint="eastAsia"/>
        </w:rPr>
        <w:t>破产终止合同</w:t>
      </w:r>
      <w:r>
        <w:tab/>
      </w:r>
      <w:r>
        <w:fldChar w:fldCharType="begin"/>
      </w:r>
      <w:r>
        <w:instrText xml:space="preserve"> PAGEREF _Toc497905867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"_Toc497905868" </w:instrText>
      </w:r>
      <w:r>
        <w:fldChar w:fldCharType="separate"/>
      </w:r>
      <w:r>
        <w:rPr>
          <w:rStyle w:val="48"/>
        </w:rPr>
        <w:t xml:space="preserve">21. </w:t>
      </w:r>
      <w:r>
        <w:rPr>
          <w:rStyle w:val="48"/>
          <w:rFonts w:hint="eastAsia"/>
        </w:rPr>
        <w:t>转让和分包</w:t>
      </w:r>
      <w:r>
        <w:tab/>
      </w:r>
      <w:r>
        <w:fldChar w:fldCharType="begin"/>
      </w:r>
      <w:r>
        <w:instrText xml:space="preserve"> PAGEREF _Toc497905868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"_Toc497905869" </w:instrText>
      </w:r>
      <w:r>
        <w:fldChar w:fldCharType="separate"/>
      </w:r>
      <w:r>
        <w:rPr>
          <w:rStyle w:val="48"/>
        </w:rPr>
        <w:t xml:space="preserve">22. </w:t>
      </w:r>
      <w:r>
        <w:rPr>
          <w:rStyle w:val="48"/>
          <w:rFonts w:hint="eastAsia"/>
        </w:rPr>
        <w:t>合同修改</w:t>
      </w:r>
      <w:r>
        <w:tab/>
      </w:r>
      <w:r>
        <w:fldChar w:fldCharType="begin"/>
      </w:r>
      <w:r>
        <w:instrText xml:space="preserve"> PAGEREF _Toc497905869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"_Toc497905870" </w:instrText>
      </w:r>
      <w:r>
        <w:fldChar w:fldCharType="separate"/>
      </w:r>
      <w:r>
        <w:rPr>
          <w:rStyle w:val="48"/>
        </w:rPr>
        <w:t xml:space="preserve">23. </w:t>
      </w:r>
      <w:r>
        <w:rPr>
          <w:rStyle w:val="48"/>
          <w:rFonts w:hint="eastAsia"/>
        </w:rPr>
        <w:t>通知</w:t>
      </w:r>
      <w:r>
        <w:tab/>
      </w:r>
      <w:r>
        <w:fldChar w:fldCharType="begin"/>
      </w:r>
      <w:r>
        <w:instrText xml:space="preserve"> PAGEREF _Toc497905870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"_Toc497905871" </w:instrText>
      </w:r>
      <w:r>
        <w:fldChar w:fldCharType="separate"/>
      </w:r>
      <w:r>
        <w:rPr>
          <w:rStyle w:val="48"/>
        </w:rPr>
        <w:t xml:space="preserve">24. </w:t>
      </w:r>
      <w:r>
        <w:rPr>
          <w:rStyle w:val="48"/>
          <w:rFonts w:hint="eastAsia"/>
        </w:rPr>
        <w:t>计量单位</w:t>
      </w:r>
      <w:r>
        <w:tab/>
      </w:r>
      <w:r>
        <w:fldChar w:fldCharType="begin"/>
      </w:r>
      <w:r>
        <w:instrText xml:space="preserve"> PAGEREF _Toc497905871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"_Toc497905872" </w:instrText>
      </w:r>
      <w:r>
        <w:fldChar w:fldCharType="separate"/>
      </w:r>
      <w:r>
        <w:rPr>
          <w:rStyle w:val="48"/>
        </w:rPr>
        <w:t xml:space="preserve">25. </w:t>
      </w:r>
      <w:r>
        <w:rPr>
          <w:rStyle w:val="48"/>
          <w:rFonts w:hint="eastAsia"/>
        </w:rPr>
        <w:t>适用法律</w:t>
      </w:r>
      <w:r>
        <w:tab/>
      </w:r>
      <w:r>
        <w:fldChar w:fldCharType="begin"/>
      </w:r>
      <w:r>
        <w:instrText xml:space="preserve"> PAGEREF _Toc497905872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"_Toc497905873" </w:instrText>
      </w:r>
      <w:r>
        <w:fldChar w:fldCharType="separate"/>
      </w:r>
      <w:r>
        <w:rPr>
          <w:rStyle w:val="48"/>
        </w:rPr>
        <w:t xml:space="preserve">26. </w:t>
      </w:r>
      <w:r>
        <w:rPr>
          <w:rStyle w:val="48"/>
          <w:rFonts w:hint="eastAsia"/>
        </w:rPr>
        <w:t>合同生效和其它</w:t>
      </w:r>
      <w:r>
        <w:tab/>
      </w:r>
      <w:r>
        <w:fldChar w:fldCharType="begin"/>
      </w:r>
      <w:r>
        <w:instrText xml:space="preserve"> PAGEREF _Toc497905873 \h </w:instrText>
      </w:r>
      <w:r>
        <w:fldChar w:fldCharType="separate"/>
      </w:r>
      <w:r>
        <w:t>43</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"_Toc497905874" </w:instrText>
      </w:r>
      <w:r>
        <w:fldChar w:fldCharType="separate"/>
      </w:r>
      <w:r>
        <w:rPr>
          <w:rStyle w:val="48"/>
          <w:rFonts w:hint="eastAsia" w:hAnsi="宋体"/>
        </w:rPr>
        <w:t>第七章合同专用条款</w:t>
      </w:r>
      <w:r>
        <w:tab/>
      </w:r>
      <w:r>
        <w:fldChar w:fldCharType="begin"/>
      </w:r>
      <w:r>
        <w:instrText xml:space="preserve"> PAGEREF _Toc497905874 \h </w:instrText>
      </w:r>
      <w:r>
        <w:fldChar w:fldCharType="separate"/>
      </w:r>
      <w:r>
        <w:t>44</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"_Toc497905875" </w:instrText>
      </w:r>
      <w:r>
        <w:fldChar w:fldCharType="separate"/>
      </w:r>
      <w:r>
        <w:rPr>
          <w:rStyle w:val="48"/>
          <w:rFonts w:hint="eastAsia" w:hAnsi="宋体"/>
        </w:rPr>
        <w:t>第八章合同格式（参考）</w:t>
      </w:r>
      <w:r>
        <w:tab/>
      </w:r>
      <w:r>
        <w:fldChar w:fldCharType="begin"/>
      </w:r>
      <w:r>
        <w:instrText xml:space="preserve"> PAGEREF _Toc497905875 \h </w:instrText>
      </w:r>
      <w:r>
        <w:fldChar w:fldCharType="separate"/>
      </w:r>
      <w:r>
        <w:t>45</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"_Toc497905876" </w:instrText>
      </w:r>
      <w:r>
        <w:fldChar w:fldCharType="separate"/>
      </w:r>
      <w:r>
        <w:rPr>
          <w:rStyle w:val="48"/>
          <w:rFonts w:hint="eastAsia" w:asciiTheme="minorEastAsia" w:hAnsiTheme="minorEastAsia"/>
          <w:b w:val="0"/>
        </w:rPr>
        <w:t>（含技术培训、技术中介）</w:t>
      </w:r>
      <w:r>
        <w:rPr>
          <w:b w:val="0"/>
        </w:rPr>
        <w:tab/>
      </w:r>
      <w:r>
        <w:rPr>
          <w:b w:val="0"/>
        </w:rPr>
        <w:fldChar w:fldCharType="begin"/>
      </w:r>
      <w:r>
        <w:rPr>
          <w:b w:val="0"/>
        </w:rPr>
        <w:instrText xml:space="preserve"> PAGEREF _Toc497905876 \h </w:instrText>
      </w:r>
      <w:r>
        <w:rPr>
          <w:b w:val="0"/>
        </w:rPr>
        <w:fldChar w:fldCharType="separate"/>
      </w:r>
      <w:r>
        <w:rPr>
          <w:b w:val="0"/>
        </w:rPr>
        <w:t>45</w:t>
      </w:r>
      <w:r>
        <w:rPr>
          <w:b w:val="0"/>
        </w:rPr>
        <w:fldChar w:fldCharType="end"/>
      </w:r>
      <w:r>
        <w:rPr>
          <w:b w:val="0"/>
        </w:rP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"_Toc497905877" </w:instrText>
      </w:r>
      <w:r>
        <w:fldChar w:fldCharType="separate"/>
      </w:r>
      <w:r>
        <w:rPr>
          <w:rStyle w:val="48"/>
          <w:rFonts w:hint="eastAsia"/>
          <w:kern w:val="44"/>
        </w:rPr>
        <w:t>第九章</w:t>
      </w:r>
      <w:r>
        <w:rPr>
          <w:rStyle w:val="48"/>
          <w:kern w:val="44"/>
        </w:rPr>
        <w:t xml:space="preserve">  </w:t>
      </w:r>
      <w:r>
        <w:rPr>
          <w:rStyle w:val="48"/>
          <w:rFonts w:hint="eastAsia"/>
          <w:kern w:val="44"/>
        </w:rPr>
        <w:t>投标文件格式</w:t>
      </w:r>
      <w:r>
        <w:tab/>
      </w:r>
      <w:r>
        <w:fldChar w:fldCharType="begin"/>
      </w:r>
      <w:r>
        <w:instrText xml:space="preserve"> PAGEREF _Toc497905877 \h </w:instrText>
      </w:r>
      <w:r>
        <w:fldChar w:fldCharType="separate"/>
      </w:r>
      <w:r>
        <w:t>51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"_Toc497905878" </w:instrText>
      </w:r>
      <w:r>
        <w:fldChar w:fldCharType="separate"/>
      </w:r>
      <w:r>
        <w:rPr>
          <w:rStyle w:val="48"/>
        </w:rPr>
        <w:t xml:space="preserve">1 </w:t>
      </w:r>
      <w:r>
        <w:rPr>
          <w:rStyle w:val="48"/>
          <w:rFonts w:hint="eastAsia"/>
        </w:rPr>
        <w:t>投</w:t>
      </w:r>
      <w:r>
        <w:rPr>
          <w:rStyle w:val="48"/>
        </w:rPr>
        <w:t xml:space="preserve"> </w:t>
      </w:r>
      <w:r>
        <w:rPr>
          <w:rStyle w:val="48"/>
          <w:rFonts w:hint="eastAsia"/>
        </w:rPr>
        <w:t>标</w:t>
      </w:r>
      <w:r>
        <w:rPr>
          <w:rStyle w:val="48"/>
        </w:rPr>
        <w:t xml:space="preserve"> </w:t>
      </w:r>
      <w:r>
        <w:rPr>
          <w:rStyle w:val="48"/>
          <w:rFonts w:hint="eastAsia"/>
        </w:rPr>
        <w:t>函</w:t>
      </w:r>
      <w:r>
        <w:tab/>
      </w:r>
      <w:r>
        <w:fldChar w:fldCharType="begin"/>
      </w:r>
      <w:r>
        <w:instrText xml:space="preserve"> PAGEREF _Toc497905878 \h </w:instrText>
      </w:r>
      <w:r>
        <w:fldChar w:fldCharType="separate"/>
      </w:r>
      <w:r>
        <w:t>51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"_Toc497905879" </w:instrText>
      </w:r>
      <w:r>
        <w:fldChar w:fldCharType="separate"/>
      </w:r>
      <w:r>
        <w:rPr>
          <w:rStyle w:val="48"/>
        </w:rPr>
        <w:t xml:space="preserve">2 </w:t>
      </w:r>
      <w:r>
        <w:rPr>
          <w:rStyle w:val="48"/>
          <w:rFonts w:hint="eastAsia"/>
        </w:rPr>
        <w:t>投标一览表</w:t>
      </w:r>
      <w:r>
        <w:tab/>
      </w:r>
      <w:r>
        <w:fldChar w:fldCharType="begin"/>
      </w:r>
      <w:r>
        <w:instrText xml:space="preserve"> PAGEREF _Toc497905879 \h </w:instrText>
      </w:r>
      <w:r>
        <w:fldChar w:fldCharType="separate"/>
      </w:r>
      <w:r>
        <w:t>53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"_Toc497905880" </w:instrText>
      </w:r>
      <w:r>
        <w:fldChar w:fldCharType="separate"/>
      </w:r>
      <w:r>
        <w:rPr>
          <w:rStyle w:val="48"/>
        </w:rPr>
        <w:t xml:space="preserve">3 </w:t>
      </w:r>
      <w:r>
        <w:rPr>
          <w:rStyle w:val="48"/>
          <w:rFonts w:hint="eastAsia"/>
        </w:rPr>
        <w:t>投标分项报价表</w:t>
      </w:r>
      <w:r>
        <w:tab/>
      </w:r>
      <w:r>
        <w:fldChar w:fldCharType="begin"/>
      </w:r>
      <w:r>
        <w:instrText xml:space="preserve"> PAGEREF _Toc497905880 \h </w:instrText>
      </w:r>
      <w:r>
        <w:fldChar w:fldCharType="separate"/>
      </w:r>
      <w:r>
        <w:t>54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"_Toc497905881" </w:instrText>
      </w:r>
      <w:r>
        <w:fldChar w:fldCharType="separate"/>
      </w:r>
      <w:r>
        <w:rPr>
          <w:rStyle w:val="48"/>
        </w:rPr>
        <w:t xml:space="preserve">4 </w:t>
      </w:r>
      <w:r>
        <w:rPr>
          <w:rStyle w:val="48"/>
          <w:rFonts w:hint="eastAsia"/>
        </w:rPr>
        <w:t>技术服务方案</w:t>
      </w:r>
      <w:r>
        <w:tab/>
      </w:r>
      <w:r>
        <w:fldChar w:fldCharType="begin"/>
      </w:r>
      <w:r>
        <w:instrText xml:space="preserve"> PAGEREF _Toc497905881 \h </w:instrText>
      </w:r>
      <w:r>
        <w:fldChar w:fldCharType="separate"/>
      </w:r>
      <w:r>
        <w:t>55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"_Toc497905882" </w:instrText>
      </w:r>
      <w:r>
        <w:fldChar w:fldCharType="separate"/>
      </w:r>
      <w:r>
        <w:rPr>
          <w:rStyle w:val="48"/>
        </w:rPr>
        <w:t xml:space="preserve">5 </w:t>
      </w:r>
      <w:r>
        <w:rPr>
          <w:rStyle w:val="48"/>
          <w:rFonts w:hint="eastAsia"/>
        </w:rPr>
        <w:t>技术规格偏离表</w:t>
      </w:r>
      <w:r>
        <w:tab/>
      </w:r>
      <w:r>
        <w:fldChar w:fldCharType="begin"/>
      </w:r>
      <w:r>
        <w:instrText xml:space="preserve"> PAGEREF _Toc497905882 \h </w:instrText>
      </w:r>
      <w:r>
        <w:fldChar w:fldCharType="separate"/>
      </w:r>
      <w:r>
        <w:t>56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"_Toc497905883" </w:instrText>
      </w:r>
      <w:r>
        <w:fldChar w:fldCharType="separate"/>
      </w:r>
      <w:r>
        <w:rPr>
          <w:rStyle w:val="48"/>
        </w:rPr>
        <w:t xml:space="preserve">6 </w:t>
      </w:r>
      <w:r>
        <w:rPr>
          <w:rStyle w:val="48"/>
          <w:rFonts w:hint="eastAsia"/>
        </w:rPr>
        <w:t>商务条款偏离表</w:t>
      </w:r>
      <w:r>
        <w:tab/>
      </w:r>
      <w:r>
        <w:fldChar w:fldCharType="begin"/>
      </w:r>
      <w:r>
        <w:instrText xml:space="preserve"> PAGEREF _Toc497905883 \h </w:instrText>
      </w:r>
      <w:r>
        <w:fldChar w:fldCharType="separate"/>
      </w:r>
      <w:r>
        <w:t>57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"_Toc497905884" </w:instrText>
      </w:r>
      <w:r>
        <w:fldChar w:fldCharType="separate"/>
      </w:r>
      <w:r>
        <w:rPr>
          <w:rStyle w:val="48"/>
        </w:rPr>
        <w:t xml:space="preserve">7 </w:t>
      </w:r>
      <w:r>
        <w:rPr>
          <w:rStyle w:val="48"/>
          <w:rFonts w:hint="eastAsia"/>
        </w:rPr>
        <w:t>资格证明文件</w:t>
      </w:r>
      <w:r>
        <w:tab/>
      </w:r>
      <w:r>
        <w:fldChar w:fldCharType="begin"/>
      </w:r>
      <w:r>
        <w:instrText xml:space="preserve"> PAGEREF _Toc497905884 \h </w:instrText>
      </w:r>
      <w:r>
        <w:fldChar w:fldCharType="separate"/>
      </w:r>
      <w:r>
        <w:t>58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"_Toc497905885" </w:instrText>
      </w:r>
      <w:r>
        <w:fldChar w:fldCharType="separate"/>
      </w:r>
      <w:r>
        <w:rPr>
          <w:rStyle w:val="48"/>
        </w:rPr>
        <w:t xml:space="preserve">8 </w:t>
      </w:r>
      <w:r>
        <w:rPr>
          <w:rStyle w:val="48"/>
          <w:rFonts w:hint="eastAsia"/>
        </w:rPr>
        <w:t>业绩案例一览表</w:t>
      </w:r>
      <w:r>
        <w:tab/>
      </w:r>
      <w:r>
        <w:fldChar w:fldCharType="begin"/>
      </w:r>
      <w:r>
        <w:instrText xml:space="preserve"> PAGEREF _Toc497905885 \h </w:instrText>
      </w:r>
      <w:r>
        <w:fldChar w:fldCharType="separate"/>
      </w:r>
      <w:r>
        <w:t>69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"_Toc497905886" </w:instrText>
      </w:r>
      <w:r>
        <w:fldChar w:fldCharType="separate"/>
      </w:r>
      <w:r>
        <w:rPr>
          <w:rStyle w:val="48"/>
        </w:rPr>
        <w:t xml:space="preserve">9 </w:t>
      </w:r>
      <w:r>
        <w:rPr>
          <w:rStyle w:val="48"/>
          <w:rFonts w:hint="eastAsia"/>
        </w:rPr>
        <w:t>售后服务及培训计划</w:t>
      </w:r>
      <w:r>
        <w:tab/>
      </w:r>
      <w:r>
        <w:fldChar w:fldCharType="begin"/>
      </w:r>
      <w:r>
        <w:instrText xml:space="preserve"> PAGEREF _Toc497905886 \h </w:instrText>
      </w:r>
      <w:r>
        <w:fldChar w:fldCharType="separate"/>
      </w:r>
      <w:r>
        <w:t>70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"_Toc497905887" </w:instrText>
      </w:r>
      <w:r>
        <w:fldChar w:fldCharType="separate"/>
      </w:r>
      <w:r>
        <w:rPr>
          <w:rStyle w:val="48"/>
          <w:rFonts w:hint="eastAsia"/>
        </w:rPr>
        <w:t>（投标人自行提供）</w:t>
      </w:r>
      <w:r>
        <w:tab/>
      </w:r>
      <w:r>
        <w:fldChar w:fldCharType="begin"/>
      </w:r>
      <w:r>
        <w:instrText xml:space="preserve"> PAGEREF _Toc497905887 \h </w:instrText>
      </w:r>
      <w:r>
        <w:fldChar w:fldCharType="separate"/>
      </w:r>
      <w:r>
        <w:t>70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"_Toc497905888" </w:instrText>
      </w:r>
      <w:r>
        <w:fldChar w:fldCharType="separate"/>
      </w:r>
      <w:r>
        <w:rPr>
          <w:rStyle w:val="48"/>
        </w:rPr>
        <w:t xml:space="preserve">10 </w:t>
      </w:r>
      <w:r>
        <w:rPr>
          <w:rStyle w:val="48"/>
          <w:rFonts w:hint="eastAsia"/>
        </w:rPr>
        <w:t>履约保证金保函（中标后开具）</w:t>
      </w:r>
      <w:r>
        <w:tab/>
      </w:r>
      <w:r>
        <w:fldChar w:fldCharType="begin"/>
      </w:r>
      <w:r>
        <w:instrText xml:space="preserve"> PAGEREF _Toc497905888 \h </w:instrText>
      </w:r>
      <w:r>
        <w:fldChar w:fldCharType="separate"/>
      </w:r>
      <w:r>
        <w:t>71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"_Toc497905889" </w:instrText>
      </w:r>
      <w:r>
        <w:fldChar w:fldCharType="separate"/>
      </w:r>
      <w:r>
        <w:rPr>
          <w:rStyle w:val="48"/>
        </w:rPr>
        <w:t xml:space="preserve">11 </w:t>
      </w:r>
      <w:r>
        <w:rPr>
          <w:rStyle w:val="48"/>
          <w:rFonts w:hint="eastAsia"/>
        </w:rPr>
        <w:t>中标服务费承诺书</w:t>
      </w:r>
      <w:r>
        <w:tab/>
      </w:r>
      <w:r>
        <w:fldChar w:fldCharType="begin"/>
      </w:r>
      <w:r>
        <w:instrText xml:space="preserve"> PAGEREF _Toc497905889 \h </w:instrText>
      </w:r>
      <w:r>
        <w:fldChar w:fldCharType="separate"/>
      </w:r>
      <w:r>
        <w:t>72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"_Toc497905890" </w:instrText>
      </w:r>
      <w:r>
        <w:fldChar w:fldCharType="separate"/>
      </w:r>
      <w:r>
        <w:rPr>
          <w:rStyle w:val="48"/>
        </w:rPr>
        <w:t xml:space="preserve">12 </w:t>
      </w:r>
      <w:r>
        <w:rPr>
          <w:rStyle w:val="48"/>
          <w:rFonts w:hint="eastAsia"/>
        </w:rPr>
        <w:t>政府采购信用担保投标担保函格式</w:t>
      </w:r>
      <w:r>
        <w:tab/>
      </w:r>
      <w:r>
        <w:fldChar w:fldCharType="begin"/>
      </w:r>
      <w:r>
        <w:instrText xml:space="preserve"> PAGEREF _Toc497905890 \h </w:instrText>
      </w:r>
      <w:r>
        <w:fldChar w:fldCharType="separate"/>
      </w:r>
      <w:r>
        <w:t>73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"_Toc497905891" </w:instrText>
      </w:r>
      <w:r>
        <w:fldChar w:fldCharType="separate"/>
      </w:r>
      <w:r>
        <w:rPr>
          <w:rStyle w:val="48"/>
        </w:rPr>
        <w:t xml:space="preserve">13 </w:t>
      </w:r>
      <w:r>
        <w:rPr>
          <w:rStyle w:val="48"/>
          <w:rFonts w:hint="eastAsia"/>
        </w:rPr>
        <w:t>政府采购信用担保履约担保函格式</w:t>
      </w:r>
      <w:r>
        <w:tab/>
      </w:r>
      <w:r>
        <w:fldChar w:fldCharType="begin"/>
      </w:r>
      <w:r>
        <w:instrText xml:space="preserve"> PAGEREF _Toc497905891 \h </w:instrText>
      </w:r>
      <w:r>
        <w:fldChar w:fldCharType="separate"/>
      </w:r>
      <w:r>
        <w:t>75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"_Toc497905892" </w:instrText>
      </w:r>
      <w:r>
        <w:fldChar w:fldCharType="separate"/>
      </w:r>
      <w:r>
        <w:rPr>
          <w:rStyle w:val="48"/>
        </w:rPr>
        <w:t xml:space="preserve">14 </w:t>
      </w:r>
      <w:r>
        <w:rPr>
          <w:rStyle w:val="48"/>
          <w:rFonts w:hint="eastAsia"/>
        </w:rPr>
        <w:t>投标人企业类型声明函</w:t>
      </w:r>
      <w:r>
        <w:tab/>
      </w:r>
      <w:r>
        <w:fldChar w:fldCharType="begin"/>
      </w:r>
      <w:r>
        <w:instrText xml:space="preserve"> PAGEREF _Toc497905892 \h </w:instrText>
      </w:r>
      <w:r>
        <w:fldChar w:fldCharType="separate"/>
      </w:r>
      <w:r>
        <w:t>77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"_Toc497905893" </w:instrText>
      </w:r>
      <w:r>
        <w:fldChar w:fldCharType="separate"/>
      </w:r>
      <w:r>
        <w:rPr>
          <w:rStyle w:val="48"/>
        </w:rPr>
        <w:t>15</w:t>
      </w:r>
      <w:r>
        <w:rPr>
          <w:rStyle w:val="48"/>
          <w:rFonts w:hint="eastAsia"/>
        </w:rPr>
        <w:t>残疾人福利性单位声明函</w:t>
      </w:r>
      <w:r>
        <w:rPr>
          <w:rStyle w:val="48"/>
        </w:rPr>
        <w:t xml:space="preserve"> </w:t>
      </w:r>
      <w:r>
        <w:rPr>
          <w:rStyle w:val="48"/>
          <w:rFonts w:hint="eastAsia"/>
        </w:rPr>
        <w:t>（格式）（如适用）</w:t>
      </w:r>
      <w:r>
        <w:tab/>
      </w:r>
      <w:r>
        <w:fldChar w:fldCharType="begin"/>
      </w:r>
      <w:r>
        <w:instrText xml:space="preserve"> PAGEREF _Toc497905893 \h </w:instrText>
      </w:r>
      <w:r>
        <w:fldChar w:fldCharType="separate"/>
      </w:r>
      <w:r>
        <w:t>79</w:t>
      </w:r>
      <w:r>
        <w:fldChar w:fldCharType="end"/>
      </w:r>
      <w:r>
        <w:fldChar w:fldCharType="end"/>
      </w:r>
    </w:p>
    <w:p>
      <w:pPr>
        <w:pStyle w:val="2"/>
        <w:spacing w:before="0" w:after="0" w:line="360" w:lineRule="auto"/>
        <w:rPr>
          <w:rFonts w:hAnsi="宋体"/>
          <w:bCs w:val="0"/>
          <w:iCs/>
          <w:kern w:val="2"/>
          <w:sz w:val="24"/>
          <w:szCs w:val="24"/>
        </w:rPr>
      </w:pPr>
      <w:r>
        <w:rPr>
          <w:rFonts w:hAnsi="宋体"/>
          <w:b w:val="0"/>
          <w:bCs w:val="0"/>
          <w:iCs/>
          <w:kern w:val="2"/>
          <w:szCs w:val="24"/>
        </w:rPr>
        <w:fldChar w:fldCharType="end"/>
      </w:r>
      <w:bookmarkStart w:id="4" w:name="_Toc288581295"/>
      <w:r>
        <w:rPr>
          <w:rFonts w:hAnsi="宋体"/>
          <w:b w:val="0"/>
          <w:bCs w:val="0"/>
          <w:iCs/>
          <w:kern w:val="2"/>
          <w:sz w:val="24"/>
          <w:szCs w:val="24"/>
        </w:rPr>
        <w:br w:type="page"/>
      </w:r>
      <w:bookmarkStart w:id="5" w:name="_Toc310195690"/>
      <w:bookmarkStart w:id="6" w:name="_Toc497905804"/>
      <w:r>
        <w:rPr>
          <w:rFonts w:hint="eastAsia" w:hAnsi="宋体"/>
          <w:bCs w:val="0"/>
          <w:iCs/>
          <w:kern w:val="2"/>
          <w:szCs w:val="28"/>
        </w:rPr>
        <w:t xml:space="preserve">第一章  </w:t>
      </w:r>
      <w:r>
        <w:rPr>
          <w:rFonts w:hint="eastAsia" w:hAnsi="宋体"/>
          <w:szCs w:val="28"/>
        </w:rPr>
        <w:t>投 标 邀 请</w:t>
      </w:r>
      <w:bookmarkEnd w:id="3"/>
      <w:bookmarkEnd w:id="4"/>
      <w:bookmarkEnd w:id="5"/>
      <w:bookmarkEnd w:id="6"/>
    </w:p>
    <w:p>
      <w:pPr>
        <w:spacing w:before="120" w:beforeLines="50" w:line="360" w:lineRule="auto"/>
        <w:ind w:firstLine="480" w:firstLineChars="200"/>
        <w:rPr>
          <w:rFonts w:ascii="宋体" w:hAnsi="宋体"/>
          <w:sz w:val="24"/>
        </w:rPr>
      </w:pPr>
      <w:r>
        <w:rPr>
          <w:rFonts w:hint="eastAsia" w:ascii="宋体" w:hAnsi="宋体"/>
          <w:sz w:val="24"/>
        </w:rPr>
        <w:t>北京华采招标代理有限公司受北京农业职业学院的委托，对北京农业职业学院高职学生培养-改善办学条件-食品营养与检测专业重难点教学资源建设政府采购项目进行国内公开招标，现邀请合格的投标人前来投标。</w:t>
      </w:r>
    </w:p>
    <w:p>
      <w:pPr>
        <w:spacing w:line="360" w:lineRule="auto"/>
        <w:ind w:firstLine="480" w:firstLineChars="200"/>
        <w:rPr>
          <w:rFonts w:ascii="宋体" w:hAnsi="宋体"/>
          <w:color w:val="FF0000"/>
          <w:sz w:val="24"/>
          <w:u w:val="single"/>
        </w:rPr>
      </w:pPr>
      <w:r>
        <w:rPr>
          <w:rFonts w:hint="eastAsia" w:ascii="宋体" w:hAnsi="宋体"/>
          <w:sz w:val="24"/>
        </w:rPr>
        <w:t>1、项目编号：</w:t>
      </w:r>
      <w:r>
        <w:rPr>
          <w:rFonts w:ascii="宋体" w:hAnsi="宋体"/>
          <w:sz w:val="24"/>
        </w:rPr>
        <w:t>HCZB-201</w:t>
      </w:r>
      <w:r>
        <w:rPr>
          <w:rFonts w:hint="eastAsia" w:ascii="宋体" w:hAnsi="宋体"/>
          <w:sz w:val="24"/>
        </w:rPr>
        <w:t>7</w:t>
      </w:r>
      <w:r>
        <w:rPr>
          <w:rFonts w:ascii="宋体" w:hAnsi="宋体"/>
          <w:sz w:val="24"/>
        </w:rPr>
        <w:t>-ZB</w:t>
      </w:r>
      <w:r>
        <w:rPr>
          <w:rFonts w:hint="eastAsia" w:ascii="宋体" w:hAnsi="宋体"/>
          <w:sz w:val="24"/>
        </w:rPr>
        <w:t>82</w:t>
      </w:r>
      <w:r>
        <w:rPr>
          <w:rFonts w:hint="eastAsia" w:ascii="宋体" w:hAnsi="宋体"/>
          <w:sz w:val="24"/>
          <w:lang w:val="en-US" w:eastAsia="zh-CN"/>
        </w:rPr>
        <w:t>7</w:t>
      </w:r>
    </w:p>
    <w:p>
      <w:pPr>
        <w:spacing w:line="360" w:lineRule="auto"/>
        <w:ind w:left="858" w:leftChars="228" w:hanging="379" w:hangingChars="158"/>
        <w:rPr>
          <w:rFonts w:ascii="宋体" w:hAnsi="宋体"/>
          <w:sz w:val="24"/>
        </w:rPr>
      </w:pPr>
      <w:r>
        <w:rPr>
          <w:rFonts w:hint="eastAsia" w:ascii="宋体" w:hAnsi="宋体"/>
          <w:sz w:val="24"/>
        </w:rPr>
        <w:t>2、项目名称：北京农业职业学院高职学生培养-改善办学条件-食品营养与检测专业重难点教学资源建设政府采购项目</w:t>
      </w:r>
    </w:p>
    <w:p>
      <w:pPr>
        <w:spacing w:line="360" w:lineRule="auto"/>
        <w:ind w:left="2039" w:leftChars="228" w:hanging="1560" w:hangingChars="650"/>
        <w:rPr>
          <w:rFonts w:ascii="宋体" w:hAnsi="宋体"/>
          <w:sz w:val="24"/>
        </w:rPr>
      </w:pPr>
      <w:r>
        <w:rPr>
          <w:rFonts w:hint="eastAsia" w:ascii="宋体" w:hAnsi="宋体"/>
          <w:sz w:val="24"/>
        </w:rPr>
        <w:t>3、招标内容：食品营养与检测专业重难点教学资源建设</w:t>
      </w:r>
    </w:p>
    <w:p>
      <w:pPr>
        <w:spacing w:line="360" w:lineRule="auto"/>
        <w:ind w:firstLine="480" w:firstLineChars="200"/>
        <w:rPr>
          <w:rFonts w:ascii="宋体" w:hAnsi="宋体"/>
          <w:sz w:val="24"/>
        </w:rPr>
      </w:pPr>
      <w:r>
        <w:rPr>
          <w:rFonts w:hint="eastAsia" w:ascii="宋体" w:hAnsi="宋体"/>
          <w:sz w:val="24"/>
        </w:rPr>
        <w:t>4、资金来源：财政资金</w:t>
      </w:r>
    </w:p>
    <w:p>
      <w:pPr>
        <w:spacing w:line="360" w:lineRule="auto"/>
        <w:ind w:firstLine="480" w:firstLineChars="200"/>
        <w:rPr>
          <w:rFonts w:ascii="宋体" w:hAnsi="宋体" w:cs="宋体"/>
          <w:sz w:val="24"/>
          <w:highlight w:val="yellow"/>
          <w:u w:val="single"/>
        </w:rPr>
      </w:pPr>
      <w:r>
        <w:rPr>
          <w:rFonts w:hint="eastAsia" w:ascii="宋体" w:hAnsi="宋体"/>
          <w:sz w:val="24"/>
        </w:rPr>
        <w:t>5、预算金额：本项目总预算477.75万元。批复编号：</w:t>
      </w:r>
      <w:r>
        <w:rPr>
          <w:rFonts w:ascii="宋体" w:hAnsi="宋体"/>
          <w:sz w:val="24"/>
        </w:rPr>
        <w:t>XM-0000157102171113037</w:t>
      </w:r>
    </w:p>
    <w:p>
      <w:pPr>
        <w:spacing w:line="360" w:lineRule="auto"/>
        <w:ind w:firstLine="480" w:firstLineChars="200"/>
        <w:rPr>
          <w:rFonts w:ascii="宋体" w:hAnsi="宋体"/>
          <w:sz w:val="24"/>
        </w:rPr>
      </w:pPr>
      <w:r>
        <w:rPr>
          <w:rFonts w:hint="eastAsia" w:ascii="宋体" w:hAnsi="宋体"/>
          <w:sz w:val="24"/>
        </w:rPr>
        <w:t>6、投标人资格要求：</w:t>
      </w:r>
    </w:p>
    <w:p>
      <w:pPr>
        <w:widowControl/>
        <w:spacing w:line="360" w:lineRule="auto"/>
        <w:ind w:left="720" w:hanging="720" w:hangingChars="300"/>
        <w:jc w:val="left"/>
        <w:rPr>
          <w:rFonts w:cs="宋体"/>
          <w:kern w:val="0"/>
          <w:sz w:val="24"/>
        </w:rPr>
      </w:pPr>
      <w:r>
        <w:rPr>
          <w:rFonts w:hint="eastAsia" w:cs="宋体"/>
          <w:kern w:val="0"/>
          <w:sz w:val="24"/>
        </w:rPr>
        <w:t xml:space="preserve">      符合《中华人民共和国政府采购法》第二十二条关于供应商参加政府采购活动应当具备的条件：</w:t>
      </w:r>
    </w:p>
    <w:p>
      <w:pPr>
        <w:spacing w:line="360" w:lineRule="auto"/>
        <w:ind w:left="540" w:leftChars="200" w:hanging="120" w:hangingChars="50"/>
        <w:rPr>
          <w:rFonts w:cs="宋体"/>
          <w:kern w:val="0"/>
          <w:sz w:val="24"/>
        </w:rPr>
      </w:pPr>
      <w:r>
        <w:rPr>
          <w:rFonts w:hint="eastAsia" w:cs="宋体"/>
          <w:kern w:val="0"/>
          <w:sz w:val="24"/>
        </w:rPr>
        <w:t>（1）具有独立承担民事责任的能力；</w:t>
      </w:r>
    </w:p>
    <w:p>
      <w:pPr>
        <w:spacing w:line="360" w:lineRule="auto"/>
        <w:ind w:left="540" w:leftChars="200" w:hanging="120" w:hangingChars="50"/>
        <w:rPr>
          <w:rFonts w:cs="宋体"/>
          <w:kern w:val="0"/>
          <w:sz w:val="24"/>
        </w:rPr>
      </w:pPr>
      <w:r>
        <w:rPr>
          <w:rFonts w:hint="eastAsia" w:cs="宋体"/>
          <w:kern w:val="0"/>
          <w:sz w:val="24"/>
        </w:rPr>
        <w:t>（2）具有良好的商业信誉和健全的财务会计制度；</w:t>
      </w:r>
    </w:p>
    <w:p>
      <w:pPr>
        <w:spacing w:line="360" w:lineRule="auto"/>
        <w:ind w:left="540" w:leftChars="200" w:hanging="120" w:hangingChars="50"/>
        <w:rPr>
          <w:rFonts w:cs="宋体"/>
          <w:kern w:val="0"/>
          <w:sz w:val="24"/>
        </w:rPr>
      </w:pPr>
      <w:r>
        <w:rPr>
          <w:rFonts w:hint="eastAsia" w:cs="宋体"/>
          <w:kern w:val="0"/>
          <w:sz w:val="24"/>
        </w:rPr>
        <w:t>（3）具有履行合同所必需的设备和专业技术能力；</w:t>
      </w:r>
    </w:p>
    <w:p>
      <w:pPr>
        <w:spacing w:line="360" w:lineRule="auto"/>
        <w:ind w:left="540" w:leftChars="200" w:hanging="120" w:hangingChars="50"/>
        <w:rPr>
          <w:rFonts w:cs="宋体"/>
          <w:kern w:val="0"/>
          <w:sz w:val="24"/>
        </w:rPr>
      </w:pPr>
      <w:r>
        <w:rPr>
          <w:rFonts w:hint="eastAsia" w:cs="宋体"/>
          <w:kern w:val="0"/>
          <w:sz w:val="24"/>
        </w:rPr>
        <w:t>（4）有依法缴纳税收和社会保障资金的良好记录；</w:t>
      </w:r>
    </w:p>
    <w:p>
      <w:pPr>
        <w:spacing w:line="360" w:lineRule="auto"/>
        <w:ind w:left="540" w:leftChars="200" w:hanging="120" w:hangingChars="50"/>
        <w:rPr>
          <w:rFonts w:cs="宋体"/>
          <w:kern w:val="0"/>
          <w:sz w:val="24"/>
        </w:rPr>
      </w:pPr>
      <w:r>
        <w:rPr>
          <w:rFonts w:hint="eastAsia" w:cs="宋体"/>
          <w:kern w:val="0"/>
          <w:sz w:val="24"/>
        </w:rPr>
        <w:t>（5）参加政府采购活动前三年内，在经营活动中没有重大违法记录；</w:t>
      </w:r>
    </w:p>
    <w:p>
      <w:pPr>
        <w:spacing w:line="360" w:lineRule="auto"/>
        <w:ind w:left="540" w:leftChars="200" w:hanging="120" w:hangingChars="50"/>
        <w:rPr>
          <w:rFonts w:cs="宋体"/>
          <w:kern w:val="0"/>
          <w:sz w:val="24"/>
        </w:rPr>
      </w:pPr>
      <w:r>
        <w:rPr>
          <w:rFonts w:hint="eastAsia" w:cs="宋体"/>
          <w:kern w:val="0"/>
          <w:sz w:val="24"/>
        </w:rPr>
        <w:t>（6）投标人必须为未被列入信用中国网站( www.creditchina.gov.cn)、中国政府采购网( www.ccgp.gov.cn)渠道信用记录失信被执行人、重大税收违法案件当事人名单、政府采购严重违法失信行为记录名单的响应人；</w:t>
      </w:r>
    </w:p>
    <w:p>
      <w:pPr>
        <w:spacing w:line="360" w:lineRule="auto"/>
        <w:ind w:left="540" w:leftChars="200" w:hanging="120" w:hangingChars="50"/>
        <w:rPr>
          <w:rFonts w:cs="宋体"/>
          <w:kern w:val="0"/>
          <w:sz w:val="24"/>
        </w:rPr>
      </w:pPr>
      <w:r>
        <w:rPr>
          <w:rFonts w:hint="eastAsia" w:cs="宋体"/>
          <w:kern w:val="0"/>
          <w:sz w:val="24"/>
        </w:rPr>
        <w:t>（7）法律、行政法规规定的其他条件。</w:t>
      </w:r>
    </w:p>
    <w:p>
      <w:pPr>
        <w:spacing w:line="360" w:lineRule="auto"/>
        <w:ind w:left="540" w:leftChars="200" w:hanging="120" w:hangingChars="50"/>
        <w:rPr>
          <w:rFonts w:cs="宋体"/>
          <w:kern w:val="0"/>
          <w:sz w:val="24"/>
        </w:rPr>
      </w:pPr>
      <w:r>
        <w:rPr>
          <w:rFonts w:hint="eastAsia" w:cs="宋体"/>
          <w:kern w:val="0"/>
          <w:sz w:val="24"/>
        </w:rPr>
        <w:t>（8）本项目不接受联合体投标。</w:t>
      </w:r>
    </w:p>
    <w:p>
      <w:pPr>
        <w:spacing w:line="360" w:lineRule="auto"/>
        <w:ind w:left="540" w:leftChars="200" w:hanging="120" w:hangingChars="50"/>
        <w:rPr>
          <w:rFonts w:ascii="宋体" w:hAnsi="宋体"/>
          <w:sz w:val="24"/>
        </w:rPr>
      </w:pPr>
      <w:r>
        <w:rPr>
          <w:rFonts w:hint="eastAsia" w:ascii="宋体" w:hAnsi="宋体"/>
          <w:sz w:val="24"/>
        </w:rPr>
        <w:t>7、投标报名时间及招标文件发售时间：</w:t>
      </w:r>
      <w:r>
        <w:rPr>
          <w:sz w:val="24"/>
        </w:rPr>
        <w:t>201</w:t>
      </w:r>
      <w:r>
        <w:rPr>
          <w:rFonts w:hint="eastAsia"/>
          <w:sz w:val="24"/>
        </w:rPr>
        <w:t>7年11月</w:t>
      </w:r>
      <w:r>
        <w:rPr>
          <w:rFonts w:hint="eastAsia"/>
          <w:sz w:val="24"/>
          <w:lang w:val="en-US" w:eastAsia="zh-CN"/>
        </w:rPr>
        <w:t>16</w:t>
      </w:r>
      <w:r>
        <w:rPr>
          <w:rFonts w:hint="eastAsia"/>
          <w:sz w:val="24"/>
        </w:rPr>
        <w:t>日至</w:t>
      </w:r>
      <w:r>
        <w:rPr>
          <w:sz w:val="24"/>
        </w:rPr>
        <w:t xml:space="preserve"> 201</w:t>
      </w:r>
      <w:r>
        <w:rPr>
          <w:rFonts w:hint="eastAsia"/>
          <w:sz w:val="24"/>
        </w:rPr>
        <w:t>7年11月</w:t>
      </w:r>
      <w:r>
        <w:rPr>
          <w:rFonts w:hint="eastAsia"/>
          <w:sz w:val="24"/>
          <w:lang w:val="en-US" w:eastAsia="zh-CN"/>
        </w:rPr>
        <w:t>23</w:t>
      </w:r>
      <w:r>
        <w:rPr>
          <w:rFonts w:hint="eastAsia"/>
          <w:sz w:val="24"/>
        </w:rPr>
        <w:t>日</w:t>
      </w:r>
      <w:r>
        <w:rPr>
          <w:rFonts w:hint="eastAsia" w:ascii="宋体" w:hAnsi="宋体"/>
          <w:sz w:val="24"/>
        </w:rPr>
        <w:t>（节假日除外）</w:t>
      </w:r>
      <w:r>
        <w:rPr>
          <w:rFonts w:ascii="宋体" w:hAnsi="宋体"/>
          <w:sz w:val="24"/>
        </w:rPr>
        <w:t>，每日9：</w:t>
      </w:r>
      <w:r>
        <w:rPr>
          <w:rFonts w:hint="eastAsia" w:ascii="宋体" w:hAnsi="宋体"/>
          <w:sz w:val="24"/>
        </w:rPr>
        <w:t>0</w:t>
      </w:r>
      <w:r>
        <w:rPr>
          <w:rFonts w:ascii="宋体" w:hAnsi="宋体"/>
          <w:sz w:val="24"/>
        </w:rPr>
        <w:t>0至16：</w:t>
      </w:r>
      <w:r>
        <w:rPr>
          <w:rFonts w:hint="eastAsia" w:ascii="宋体" w:hAnsi="宋体"/>
          <w:sz w:val="24"/>
        </w:rPr>
        <w:t>0</w:t>
      </w:r>
      <w:r>
        <w:rPr>
          <w:rFonts w:ascii="宋体" w:hAnsi="宋体"/>
          <w:sz w:val="24"/>
        </w:rPr>
        <w:t>0时（北京时间）。</w:t>
      </w:r>
    </w:p>
    <w:p>
      <w:pPr>
        <w:spacing w:line="360" w:lineRule="auto"/>
        <w:ind w:firstLine="480" w:firstLineChars="200"/>
        <w:rPr>
          <w:rFonts w:ascii="宋体" w:hAnsi="宋体"/>
          <w:sz w:val="24"/>
        </w:rPr>
      </w:pPr>
      <w:r>
        <w:rPr>
          <w:rFonts w:hint="eastAsia" w:ascii="宋体" w:hAnsi="宋体"/>
          <w:sz w:val="24"/>
        </w:rPr>
        <w:t>8、招标文件发售地点：北京华采招标代理有限公司（北京市丰台区广安路9号国投财富广场6号楼1518号）。</w:t>
      </w:r>
    </w:p>
    <w:p>
      <w:pPr>
        <w:spacing w:line="360" w:lineRule="auto"/>
        <w:ind w:firstLine="480" w:firstLineChars="200"/>
        <w:rPr>
          <w:rFonts w:ascii="宋体" w:hAnsi="宋体"/>
          <w:sz w:val="24"/>
        </w:rPr>
      </w:pPr>
      <w:r>
        <w:rPr>
          <w:rFonts w:hint="eastAsia" w:ascii="宋体" w:hAnsi="宋体"/>
          <w:sz w:val="24"/>
        </w:rPr>
        <w:t>9、招标文件售价：每本500元人民币，招标文件售后不退（如需邮购，另加50元人民币邮寄费，但对邮寄途中的延误或遗失不承担任何责任）。</w:t>
      </w:r>
    </w:p>
    <w:p>
      <w:pPr>
        <w:spacing w:line="360" w:lineRule="auto"/>
        <w:ind w:firstLine="480" w:firstLineChars="200"/>
        <w:rPr>
          <w:rFonts w:ascii="宋体" w:hAnsi="宋体"/>
          <w:sz w:val="24"/>
        </w:rPr>
      </w:pPr>
      <w:r>
        <w:rPr>
          <w:rFonts w:hint="eastAsia" w:ascii="宋体" w:hAnsi="宋体"/>
          <w:sz w:val="24"/>
        </w:rPr>
        <w:t>10、公告期限：5个工作日。</w:t>
      </w:r>
    </w:p>
    <w:p>
      <w:pPr>
        <w:spacing w:line="360" w:lineRule="auto"/>
        <w:ind w:firstLine="480" w:firstLineChars="200"/>
        <w:rPr>
          <w:rFonts w:ascii="宋体" w:hAnsi="宋体"/>
          <w:sz w:val="24"/>
        </w:rPr>
      </w:pPr>
      <w:r>
        <w:rPr>
          <w:rFonts w:hint="eastAsia" w:ascii="宋体" w:hAnsi="宋体" w:cs="宋体"/>
          <w:kern w:val="0"/>
          <w:sz w:val="24"/>
        </w:rPr>
        <w:t>11、</w:t>
      </w:r>
      <w:r>
        <w:rPr>
          <w:rFonts w:ascii="宋体" w:hAnsi="宋体" w:cs="宋体"/>
          <w:kern w:val="0"/>
          <w:sz w:val="24"/>
        </w:rPr>
        <w:t>投标</w:t>
      </w:r>
      <w:r>
        <w:rPr>
          <w:rFonts w:hint="eastAsia" w:ascii="宋体" w:hAnsi="宋体" w:cs="宋体"/>
          <w:kern w:val="0"/>
          <w:sz w:val="24"/>
        </w:rPr>
        <w:t>文件递交</w:t>
      </w:r>
      <w:r>
        <w:rPr>
          <w:rFonts w:ascii="宋体" w:hAnsi="宋体" w:cs="宋体"/>
          <w:kern w:val="0"/>
          <w:sz w:val="24"/>
        </w:rPr>
        <w:t>时间：</w:t>
      </w:r>
      <w:r>
        <w:rPr>
          <w:rFonts w:hint="eastAsia" w:ascii="宋体" w:hAnsi="宋体" w:cs="宋体"/>
          <w:kern w:val="0"/>
          <w:sz w:val="24"/>
        </w:rPr>
        <w:t>2017年12月</w:t>
      </w:r>
      <w:r>
        <w:rPr>
          <w:rFonts w:hint="eastAsia" w:ascii="宋体" w:hAnsi="宋体" w:cs="宋体"/>
          <w:kern w:val="0"/>
          <w:sz w:val="24"/>
          <w:lang w:val="en-US" w:eastAsia="zh-CN"/>
        </w:rPr>
        <w:t>06</w:t>
      </w:r>
      <w:r>
        <w:rPr>
          <w:rFonts w:hint="eastAsia" w:ascii="宋体" w:hAnsi="宋体" w:cs="宋体"/>
          <w:kern w:val="0"/>
          <w:sz w:val="24"/>
        </w:rPr>
        <w:t>日上午</w:t>
      </w:r>
      <w:r>
        <w:rPr>
          <w:rFonts w:ascii="宋体" w:hAnsi="宋体" w:cs="宋体"/>
          <w:kern w:val="0"/>
          <w:sz w:val="24"/>
        </w:rPr>
        <w:t>08</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0-</w:t>
      </w:r>
      <w:r>
        <w:rPr>
          <w:rFonts w:ascii="宋体" w:hAnsi="宋体" w:cs="宋体"/>
          <w:kern w:val="0"/>
          <w:sz w:val="24"/>
        </w:rPr>
        <w:t>09</w:t>
      </w:r>
      <w:r>
        <w:rPr>
          <w:rFonts w:hint="eastAsia" w:ascii="宋体" w:hAnsi="宋体" w:cs="宋体"/>
          <w:kern w:val="0"/>
          <w:sz w:val="24"/>
        </w:rPr>
        <w:t>:30</w:t>
      </w:r>
      <w:r>
        <w:rPr>
          <w:rFonts w:hint="eastAsia" w:ascii="宋体" w:hAnsi="宋体"/>
          <w:sz w:val="24"/>
        </w:rPr>
        <w:t>（北京时间）。</w:t>
      </w:r>
    </w:p>
    <w:p>
      <w:pPr>
        <w:spacing w:line="360" w:lineRule="auto"/>
        <w:ind w:firstLine="480" w:firstLineChars="200"/>
        <w:rPr>
          <w:rFonts w:ascii="宋体" w:hAnsi="宋体"/>
          <w:sz w:val="24"/>
        </w:rPr>
      </w:pPr>
      <w:r>
        <w:rPr>
          <w:rFonts w:hint="eastAsia" w:ascii="宋体" w:hAnsi="宋体"/>
          <w:sz w:val="24"/>
        </w:rPr>
        <w:t>12、投标文件递交截止时间暨开标时间：2017年12月</w:t>
      </w:r>
      <w:r>
        <w:rPr>
          <w:rFonts w:hint="eastAsia" w:ascii="宋体" w:hAnsi="宋体"/>
          <w:sz w:val="24"/>
          <w:lang w:val="en-US" w:eastAsia="zh-CN"/>
        </w:rPr>
        <w:t>06</w:t>
      </w:r>
      <w:r>
        <w:rPr>
          <w:rFonts w:hint="eastAsia" w:ascii="宋体" w:hAnsi="宋体"/>
          <w:sz w:val="24"/>
        </w:rPr>
        <w:t>日上午09:30（北京时间</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13、开标地点：北京华采招标代理有限公司会议室（北京市丰台区广安路9号国投财富广场6号楼150</w:t>
      </w:r>
      <w:r>
        <w:rPr>
          <w:rFonts w:hint="eastAsia" w:ascii="宋体" w:hAnsi="宋体"/>
          <w:sz w:val="24"/>
          <w:lang w:val="en-US" w:eastAsia="zh-CN"/>
        </w:rPr>
        <w:t>2</w:t>
      </w:r>
      <w:r>
        <w:rPr>
          <w:rFonts w:hint="eastAsia" w:ascii="宋体" w:hAnsi="宋体"/>
          <w:sz w:val="24"/>
        </w:rPr>
        <w:t>室）</w:t>
      </w:r>
    </w:p>
    <w:p>
      <w:pPr>
        <w:spacing w:line="360" w:lineRule="auto"/>
        <w:ind w:firstLine="480" w:firstLineChars="200"/>
        <w:rPr>
          <w:rFonts w:ascii="宋体" w:hAnsi="宋体" w:cs="宋体"/>
          <w:kern w:val="0"/>
          <w:sz w:val="24"/>
        </w:rPr>
      </w:pPr>
      <w:r>
        <w:rPr>
          <w:rFonts w:hint="eastAsia" w:ascii="宋体" w:hAnsi="宋体" w:cs="宋体"/>
          <w:kern w:val="0"/>
          <w:sz w:val="24"/>
        </w:rPr>
        <w:t>14、评标方法：综合评分法。</w:t>
      </w:r>
    </w:p>
    <w:p>
      <w:pPr>
        <w:spacing w:line="360" w:lineRule="auto"/>
        <w:ind w:firstLine="480" w:firstLineChars="200"/>
        <w:rPr>
          <w:rFonts w:ascii="宋体" w:hAnsi="宋体"/>
          <w:sz w:val="24"/>
        </w:rPr>
      </w:pPr>
      <w:r>
        <w:rPr>
          <w:rFonts w:hint="eastAsia" w:ascii="宋体" w:hAnsi="宋体"/>
          <w:sz w:val="24"/>
        </w:rPr>
        <w:t>15、领取招标文件时须提供以下资料：</w:t>
      </w:r>
    </w:p>
    <w:p>
      <w:pPr>
        <w:spacing w:line="360" w:lineRule="auto"/>
        <w:rPr>
          <w:rFonts w:ascii="宋体" w:hAnsi="宋体" w:cs="宋体"/>
          <w:color w:val="000000"/>
          <w:sz w:val="24"/>
        </w:rPr>
      </w:pPr>
      <w:r>
        <w:rPr>
          <w:rFonts w:hint="eastAsia" w:ascii="宋体" w:hAnsi="宋体" w:cs="宋体"/>
          <w:color w:val="000000"/>
          <w:sz w:val="24"/>
        </w:rPr>
        <w:t>（1）企业法人营业执照副本或事业单位法人证书、《组织机构代码证》《税务登记证》副本原件及复印件（加盖公章）；</w:t>
      </w:r>
    </w:p>
    <w:p>
      <w:pPr>
        <w:spacing w:line="360" w:lineRule="auto"/>
        <w:rPr>
          <w:rFonts w:ascii="宋体" w:hAnsi="宋体" w:cs="宋体"/>
          <w:color w:val="000000"/>
          <w:sz w:val="24"/>
        </w:rPr>
      </w:pPr>
      <w:r>
        <w:rPr>
          <w:rFonts w:hint="eastAsia" w:ascii="宋体" w:hAnsi="宋体" w:cs="宋体"/>
          <w:color w:val="000000"/>
          <w:sz w:val="24"/>
        </w:rPr>
        <w:t>（2）法定代表人身份证明及其身份证原件及复印件，或法定代表人委托授权书及被委托人的身份证原件及复印件（加盖公章）；</w:t>
      </w:r>
    </w:p>
    <w:p>
      <w:pPr>
        <w:spacing w:line="360" w:lineRule="auto"/>
        <w:rPr>
          <w:rFonts w:ascii="宋体" w:hAnsi="宋体" w:cs="宋体"/>
          <w:color w:val="000000"/>
          <w:sz w:val="24"/>
        </w:rPr>
      </w:pPr>
      <w:r>
        <w:rPr>
          <w:rFonts w:hint="eastAsia" w:ascii="宋体" w:hAnsi="宋体" w:cs="宋体"/>
          <w:color w:val="000000"/>
          <w:sz w:val="24"/>
        </w:rPr>
        <w:t>（3）提供经会计师事务所出具的上一年度完整的财务审计报告原件及复印件，并加盖投标人公章。如投标人无法提供上一年度审计报告，则须提供银行出具的资信证明原件及复印件（加盖公章）；</w:t>
      </w:r>
    </w:p>
    <w:p>
      <w:pPr>
        <w:spacing w:line="360" w:lineRule="auto"/>
        <w:rPr>
          <w:rFonts w:ascii="宋体" w:hAnsi="宋体" w:cs="宋体"/>
          <w:color w:val="000000"/>
          <w:sz w:val="24"/>
        </w:rPr>
      </w:pPr>
      <w:r>
        <w:rPr>
          <w:rFonts w:hint="eastAsia" w:ascii="宋体" w:hAnsi="宋体" w:cs="宋体"/>
          <w:color w:val="000000"/>
          <w:sz w:val="24"/>
        </w:rPr>
        <w:t>（4）提供依法缴纳社会保障资金的良好记录（投标人逐月交纳社会保障资金的，须提供参加本次政府采购活动最近连续三个月的缴纳社会保障资金的入账票据凭证原件及复印件；投标人逐年交纳社会保障资金的，须提供参加本次政府采购活动上年度缴纳社会保障资金的入账票据凭证原件及复印件。缴纳社会保障资金的入账票据凭证复印件须加盖本单位公章）；</w:t>
      </w:r>
    </w:p>
    <w:p>
      <w:pPr>
        <w:spacing w:line="360" w:lineRule="auto"/>
        <w:rPr>
          <w:rFonts w:ascii="宋体" w:hAnsi="宋体" w:cs="宋体"/>
          <w:color w:val="000000"/>
          <w:sz w:val="24"/>
        </w:rPr>
      </w:pPr>
      <w:r>
        <w:rPr>
          <w:rFonts w:hint="eastAsia" w:ascii="宋体" w:hAnsi="宋体" w:cs="宋体"/>
          <w:color w:val="000000"/>
          <w:sz w:val="24"/>
        </w:rPr>
        <w:t>（5）提供依法缴纳税收（最近连续三个月）的入账票据凭证原件及复印件（须加盖本单位公章）；</w:t>
      </w:r>
    </w:p>
    <w:p>
      <w:pPr>
        <w:spacing w:line="360" w:lineRule="auto"/>
        <w:rPr>
          <w:rFonts w:ascii="宋体" w:hAnsi="宋体" w:cs="宋体"/>
          <w:color w:val="000000"/>
          <w:sz w:val="24"/>
        </w:rPr>
      </w:pPr>
      <w:r>
        <w:rPr>
          <w:rFonts w:hint="eastAsia" w:ascii="宋体" w:hAnsi="宋体" w:cs="宋体"/>
          <w:color w:val="000000"/>
          <w:sz w:val="24"/>
        </w:rPr>
        <w:t>（6）提供参加本次政府采购活动前三年内，在经营活动中没有重大违法记录的声明原件及复印件（加盖公章）；</w:t>
      </w:r>
    </w:p>
    <w:p>
      <w:pPr>
        <w:spacing w:line="360" w:lineRule="auto"/>
        <w:rPr>
          <w:rFonts w:ascii="宋体" w:hAnsi="宋体" w:cs="宋体"/>
          <w:color w:val="000000"/>
          <w:sz w:val="24"/>
        </w:rPr>
      </w:pPr>
      <w:r>
        <w:rPr>
          <w:rFonts w:hint="eastAsia" w:ascii="宋体" w:hAnsi="宋体" w:cs="宋体"/>
          <w:color w:val="000000"/>
          <w:sz w:val="24"/>
        </w:rPr>
        <w:t>（7）提供近三年（2014年7月至今）的同类服务项目业绩，以合同和服务清单（复印件加盖单位公章、现场查验原件）为依据；</w:t>
      </w:r>
    </w:p>
    <w:p>
      <w:pPr>
        <w:spacing w:line="360" w:lineRule="auto"/>
        <w:rPr>
          <w:rFonts w:ascii="宋体" w:hAnsi="宋体" w:cs="宋体"/>
          <w:color w:val="000000"/>
          <w:sz w:val="24"/>
        </w:rPr>
      </w:pPr>
      <w:r>
        <w:rPr>
          <w:rFonts w:hint="eastAsia" w:ascii="宋体" w:hAnsi="宋体" w:cs="宋体"/>
          <w:color w:val="000000"/>
          <w:sz w:val="24"/>
        </w:rPr>
        <w:t>（8）投标人应提供在信用中国网站（www.creditchina.gov.cn）“信用信息”、中国政府采购网（www.ccgp.gov.cn）“政府采购严重违法失信行为信息记录”信用记录查询结果（需注明截止时间，不得早于招标公告发布日期）打印页面并加盖公章。</w:t>
      </w:r>
    </w:p>
    <w:p>
      <w:pPr>
        <w:spacing w:line="360" w:lineRule="auto"/>
        <w:ind w:left="555" w:leftChars="150" w:hanging="240" w:hangingChars="100"/>
        <w:rPr>
          <w:rFonts w:ascii="宋体" w:hAnsi="宋体"/>
          <w:sz w:val="24"/>
        </w:rPr>
      </w:pPr>
      <w:r>
        <w:rPr>
          <w:rFonts w:hint="eastAsia" w:ascii="宋体" w:hAnsi="宋体" w:cs="宋体"/>
          <w:color w:val="000000"/>
          <w:sz w:val="24"/>
        </w:rPr>
        <w:t>注明：提交“三证合一”新版营业执照的可不提供上述《组织机构代码证》、《税务登记证》。</w:t>
      </w:r>
    </w:p>
    <w:p>
      <w:pPr>
        <w:spacing w:line="360" w:lineRule="auto"/>
        <w:ind w:firstLine="480" w:firstLineChars="200"/>
        <w:rPr>
          <w:rFonts w:ascii="宋体" w:hAnsi="宋体"/>
          <w:sz w:val="24"/>
        </w:rPr>
      </w:pPr>
      <w:r>
        <w:rPr>
          <w:rFonts w:hint="eastAsia" w:ascii="宋体" w:hAnsi="宋体"/>
          <w:sz w:val="24"/>
        </w:rPr>
        <w:t>15、凡对本次招标提出询问，请与北京华采招标代理有限公司联系（技术方面的询问请以信函或传真的形式）。</w:t>
      </w:r>
    </w:p>
    <w:p>
      <w:pPr>
        <w:spacing w:line="360" w:lineRule="auto"/>
        <w:ind w:firstLine="480" w:firstLineChars="200"/>
        <w:rPr>
          <w:rFonts w:ascii="宋体" w:hAnsi="宋体"/>
          <w:sz w:val="24"/>
        </w:rPr>
      </w:pPr>
      <w:r>
        <w:rPr>
          <w:rFonts w:hint="eastAsia" w:ascii="宋体" w:hAnsi="宋体"/>
          <w:sz w:val="24"/>
        </w:rPr>
        <w:t>采购代理机构：北京华采招标代理有限公司</w:t>
      </w:r>
    </w:p>
    <w:p>
      <w:pPr>
        <w:spacing w:line="360" w:lineRule="auto"/>
        <w:ind w:firstLine="480" w:firstLineChars="200"/>
        <w:rPr>
          <w:rFonts w:ascii="宋体" w:hAnsi="宋体"/>
          <w:sz w:val="24"/>
        </w:rPr>
      </w:pPr>
      <w:r>
        <w:rPr>
          <w:rFonts w:hint="eastAsia" w:ascii="宋体" w:hAnsi="宋体"/>
          <w:sz w:val="24"/>
        </w:rPr>
        <w:t>地　　址：北京市丰台区广安路9号国投财富广场6号楼1518号</w:t>
      </w:r>
    </w:p>
    <w:p>
      <w:pPr>
        <w:spacing w:line="360" w:lineRule="auto"/>
        <w:ind w:firstLine="480" w:firstLineChars="200"/>
        <w:rPr>
          <w:rFonts w:ascii="宋体" w:hAnsi="宋体"/>
          <w:sz w:val="24"/>
        </w:rPr>
      </w:pPr>
      <w:r>
        <w:rPr>
          <w:rFonts w:hint="eastAsia" w:ascii="宋体" w:hAnsi="宋体"/>
          <w:sz w:val="24"/>
        </w:rPr>
        <w:t>邮　　编：100055</w:t>
      </w:r>
    </w:p>
    <w:p>
      <w:pPr>
        <w:spacing w:line="360" w:lineRule="auto"/>
        <w:ind w:firstLine="480" w:firstLineChars="200"/>
        <w:rPr>
          <w:rFonts w:ascii="宋体" w:hAnsi="宋体"/>
          <w:sz w:val="24"/>
        </w:rPr>
      </w:pPr>
      <w:r>
        <w:rPr>
          <w:rFonts w:hint="eastAsia" w:ascii="宋体" w:hAnsi="宋体"/>
          <w:sz w:val="24"/>
        </w:rPr>
        <w:t>电　　话：010-63509799-821/822</w:t>
      </w:r>
    </w:p>
    <w:p>
      <w:pPr>
        <w:spacing w:line="360" w:lineRule="auto"/>
        <w:ind w:firstLine="480" w:firstLineChars="200"/>
        <w:rPr>
          <w:rFonts w:ascii="宋体" w:hAnsi="宋体"/>
          <w:sz w:val="24"/>
        </w:rPr>
      </w:pPr>
      <w:r>
        <w:rPr>
          <w:rFonts w:hint="eastAsia" w:ascii="宋体" w:hAnsi="宋体"/>
          <w:sz w:val="24"/>
        </w:rPr>
        <w:t>传　　真：010-63509799-808</w:t>
      </w:r>
    </w:p>
    <w:p>
      <w:pPr>
        <w:spacing w:line="360" w:lineRule="auto"/>
        <w:ind w:firstLine="480" w:firstLineChars="200"/>
      </w:pPr>
      <w:r>
        <w:rPr>
          <w:rFonts w:hint="eastAsia" w:ascii="宋体" w:hAnsi="宋体"/>
          <w:sz w:val="24"/>
        </w:rPr>
        <w:t>电子信箱：hczb01@163.com</w:t>
      </w:r>
    </w:p>
    <w:p>
      <w:pPr>
        <w:spacing w:line="360" w:lineRule="auto"/>
        <w:ind w:firstLine="480" w:firstLineChars="200"/>
        <w:rPr>
          <w:rFonts w:ascii="宋体" w:hAnsi="宋体"/>
          <w:sz w:val="24"/>
        </w:rPr>
      </w:pPr>
      <w:r>
        <w:rPr>
          <w:rFonts w:hint="eastAsia" w:ascii="宋体" w:hAnsi="宋体"/>
          <w:sz w:val="24"/>
        </w:rPr>
        <w:t>联 系 人：</w:t>
      </w:r>
      <w:bookmarkStart w:id="7" w:name="_Toc236642956"/>
      <w:r>
        <w:rPr>
          <w:rFonts w:hint="eastAsia" w:ascii="宋体" w:hAnsi="宋体"/>
          <w:sz w:val="24"/>
        </w:rPr>
        <w:t>王红、贾东敏</w:t>
      </w:r>
    </w:p>
    <w:p>
      <w:pPr>
        <w:spacing w:line="360" w:lineRule="auto"/>
        <w:ind w:firstLine="480" w:firstLineChars="200"/>
        <w:rPr>
          <w:rFonts w:ascii="宋体" w:hAnsi="宋体"/>
          <w:sz w:val="24"/>
        </w:rPr>
      </w:pPr>
      <w:r>
        <w:rPr>
          <w:rFonts w:hint="eastAsia" w:ascii="宋体" w:hAnsi="宋体"/>
          <w:sz w:val="24"/>
        </w:rPr>
        <w:t>开 户 名：北京华采招标代理有限公司</w:t>
      </w:r>
    </w:p>
    <w:p>
      <w:pPr>
        <w:spacing w:line="360" w:lineRule="auto"/>
        <w:ind w:firstLine="480" w:firstLineChars="200"/>
        <w:rPr>
          <w:rFonts w:ascii="宋体" w:hAnsi="宋体"/>
          <w:sz w:val="24"/>
        </w:rPr>
      </w:pPr>
      <w:r>
        <w:rPr>
          <w:rFonts w:hint="eastAsia" w:ascii="宋体" w:hAnsi="宋体"/>
          <w:sz w:val="24"/>
        </w:rPr>
        <w:t>开 户 行：建行北京西客站支行（仅限购买标书及交付中标服务费使用）</w:t>
      </w:r>
    </w:p>
    <w:p>
      <w:pPr>
        <w:spacing w:line="360" w:lineRule="auto"/>
        <w:ind w:firstLine="480" w:firstLineChars="200"/>
        <w:rPr>
          <w:rFonts w:ascii="宋体" w:hAnsi="宋体"/>
          <w:sz w:val="24"/>
        </w:rPr>
      </w:pPr>
      <w:r>
        <w:rPr>
          <w:rFonts w:hint="eastAsia" w:ascii="宋体" w:hAnsi="宋体"/>
          <w:sz w:val="24"/>
        </w:rPr>
        <w:t>账    号：1100 1028 0000 5300 6877</w:t>
      </w:r>
    </w:p>
    <w:p>
      <w:pPr>
        <w:pStyle w:val="2"/>
        <w:spacing w:before="0"/>
        <w:rPr>
          <w:sz w:val="24"/>
        </w:rPr>
      </w:pPr>
      <w:r>
        <w:rPr>
          <w:sz w:val="24"/>
        </w:rPr>
        <w:br w:type="page"/>
      </w:r>
      <w:bookmarkEnd w:id="7"/>
      <w:bookmarkStart w:id="8" w:name="_Toc497905805"/>
      <w:bookmarkStart w:id="9" w:name="_Toc310195691"/>
      <w:r>
        <w:rPr>
          <w:rFonts w:hint="eastAsia"/>
          <w:iCs/>
        </w:rPr>
        <w:t xml:space="preserve">第二章  </w:t>
      </w:r>
      <w:r>
        <w:rPr>
          <w:rFonts w:hint="eastAsia"/>
        </w:rPr>
        <w:t>投标人须知资料表</w:t>
      </w:r>
      <w:bookmarkEnd w:id="8"/>
      <w:bookmarkEnd w:id="9"/>
    </w:p>
    <w:p>
      <w:pPr>
        <w:spacing w:line="360" w:lineRule="auto"/>
        <w:rPr>
          <w:rFonts w:ascii="宋体" w:hAnsi="宋体"/>
          <w:sz w:val="24"/>
        </w:rPr>
      </w:pPr>
      <w:r>
        <w:rPr>
          <w:rFonts w:hint="eastAsia" w:ascii="宋体" w:hAnsi="宋体"/>
          <w:sz w:val="24"/>
        </w:rPr>
        <w:t xml:space="preserve">    本表是关于采购服务的具体资料，是对投标人须知的具体补充和修改，如有矛盾，应以本资料表为准。</w:t>
      </w:r>
    </w:p>
    <w:tbl>
      <w:tblPr>
        <w:tblStyle w:val="50"/>
        <w:tblW w:w="94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14"/>
        <w:gridCol w:w="78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条款号</w:t>
            </w:r>
          </w:p>
        </w:tc>
        <w:tc>
          <w:tcPr>
            <w:tcW w:w="7893"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8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1.1</w:t>
            </w:r>
          </w:p>
        </w:tc>
        <w:tc>
          <w:tcPr>
            <w:tcW w:w="7893" w:type="dxa"/>
            <w:vAlign w:val="center"/>
          </w:tcPr>
          <w:p>
            <w:pPr>
              <w:spacing w:line="360" w:lineRule="auto"/>
              <w:rPr>
                <w:rFonts w:ascii="宋体" w:hAnsi="宋体"/>
                <w:sz w:val="24"/>
              </w:rPr>
            </w:pPr>
            <w:r>
              <w:rPr>
                <w:rFonts w:hint="eastAsia" w:ascii="宋体" w:hAnsi="宋体"/>
                <w:sz w:val="24"/>
              </w:rPr>
              <w:t>采购人：</w:t>
            </w:r>
            <w:r>
              <w:rPr>
                <w:rFonts w:hint="eastAsia" w:ascii="宋体" w:hAnsi="宋体"/>
                <w:bCs/>
                <w:sz w:val="24"/>
              </w:rPr>
              <w:t>北京农业职业学院</w:t>
            </w:r>
          </w:p>
          <w:p>
            <w:pPr>
              <w:spacing w:line="360" w:lineRule="auto"/>
              <w:rPr>
                <w:rFonts w:ascii="宋体" w:hAnsi="宋体"/>
                <w:sz w:val="24"/>
              </w:rPr>
            </w:pPr>
            <w:r>
              <w:rPr>
                <w:rFonts w:hint="eastAsia" w:ascii="宋体" w:hAnsi="宋体"/>
                <w:sz w:val="24"/>
              </w:rPr>
              <w:t>地  址：北京市房山区长阳镇稻田南里5号</w:t>
            </w:r>
          </w:p>
          <w:p>
            <w:pPr>
              <w:spacing w:line="360" w:lineRule="auto"/>
              <w:rPr>
                <w:rFonts w:ascii="宋体" w:hAnsi="宋体"/>
                <w:sz w:val="24"/>
              </w:rPr>
            </w:pPr>
            <w:r>
              <w:rPr>
                <w:rFonts w:hint="eastAsia" w:ascii="宋体" w:hAnsi="宋体"/>
                <w:sz w:val="24"/>
              </w:rPr>
              <w:t>联系方式：</w:t>
            </w:r>
            <w:r>
              <w:rPr>
                <w:rFonts w:ascii="宋体" w:hAnsi="宋体"/>
                <w:sz w:val="24"/>
              </w:rPr>
              <w:t>010-</w:t>
            </w:r>
            <w:r>
              <w:rPr>
                <w:rFonts w:hint="eastAsia" w:ascii="宋体" w:hAnsi="宋体"/>
                <w:sz w:val="24"/>
              </w:rPr>
              <w:t>80358899-711</w:t>
            </w:r>
            <w:r>
              <w:rPr>
                <w:rFonts w:ascii="宋体" w:hAnsi="宋体"/>
                <w:sz w:val="24"/>
              </w:rPr>
              <w:t xml:space="preserve">  </w:t>
            </w:r>
            <w:r>
              <w:rPr>
                <w:rFonts w:hint="eastAsia" w:ascii="宋体" w:hAnsi="宋体"/>
                <w:sz w:val="24"/>
              </w:rPr>
              <w:t>许老师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6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1.2</w:t>
            </w:r>
          </w:p>
        </w:tc>
        <w:tc>
          <w:tcPr>
            <w:tcW w:w="7893" w:type="dxa"/>
            <w:vAlign w:val="center"/>
          </w:tcPr>
          <w:p>
            <w:pPr>
              <w:spacing w:line="360" w:lineRule="auto"/>
              <w:rPr>
                <w:rFonts w:ascii="宋体" w:hAnsi="宋体"/>
                <w:sz w:val="24"/>
              </w:rPr>
            </w:pPr>
            <w:r>
              <w:rPr>
                <w:rFonts w:hint="eastAsia" w:ascii="宋体" w:hAnsi="宋体"/>
                <w:sz w:val="24"/>
              </w:rPr>
              <w:t>采购代理机构：北京华采招标代理有限公司</w:t>
            </w:r>
          </w:p>
          <w:p>
            <w:pPr>
              <w:spacing w:line="360" w:lineRule="auto"/>
              <w:rPr>
                <w:rFonts w:ascii="宋体" w:hAnsi="宋体"/>
                <w:sz w:val="24"/>
              </w:rPr>
            </w:pPr>
            <w:r>
              <w:rPr>
                <w:rFonts w:hint="eastAsia" w:ascii="宋体" w:hAnsi="宋体"/>
                <w:sz w:val="24"/>
              </w:rPr>
              <w:t>地  址：北京市丰台区广安路9号国投财富广场6号楼1518号</w:t>
            </w:r>
          </w:p>
          <w:p>
            <w:pPr>
              <w:spacing w:line="360" w:lineRule="auto"/>
              <w:rPr>
                <w:rFonts w:ascii="宋体" w:hAnsi="宋体"/>
                <w:sz w:val="24"/>
              </w:rPr>
            </w:pPr>
            <w:r>
              <w:rPr>
                <w:rFonts w:hint="eastAsia" w:ascii="宋体" w:hAnsi="宋体"/>
                <w:sz w:val="24"/>
              </w:rPr>
              <w:t>电  话：010-63509799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8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1.3.3</w:t>
            </w:r>
          </w:p>
        </w:tc>
        <w:tc>
          <w:tcPr>
            <w:tcW w:w="7893" w:type="dxa"/>
            <w:vAlign w:val="center"/>
          </w:tcPr>
          <w:p>
            <w:pPr>
              <w:spacing w:line="360" w:lineRule="auto"/>
              <w:rPr>
                <w:rFonts w:ascii="宋体" w:hAnsi="宋体"/>
                <w:sz w:val="24"/>
              </w:rPr>
            </w:pPr>
            <w:r>
              <w:rPr>
                <w:rFonts w:hint="eastAsia" w:ascii="宋体" w:hAnsi="宋体"/>
                <w:sz w:val="24"/>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2"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1.3.4</w:t>
            </w:r>
          </w:p>
        </w:tc>
        <w:tc>
          <w:tcPr>
            <w:tcW w:w="7893" w:type="dxa"/>
            <w:vAlign w:val="center"/>
          </w:tcPr>
          <w:p>
            <w:pPr>
              <w:spacing w:line="360" w:lineRule="auto"/>
              <w:rPr>
                <w:rFonts w:ascii="宋体" w:hAnsi="宋体"/>
                <w:sz w:val="24"/>
              </w:rPr>
            </w:pPr>
            <w:r>
              <w:rPr>
                <w:rFonts w:hint="eastAsia" w:ascii="宋体" w:hAnsi="宋体"/>
                <w:sz w:val="24"/>
              </w:rPr>
              <w:t>依据北京市财政局《关于贯彻落实&lt;财政部关于印发政府采购进口产品管理办法的通知&gt;的通知》以及《关于政府采购进口产品管理有关问题的通知》的规定，采购人采购进口产品须获得财政部门的批准，因本项目未办理采购进口产品的申报手续，</w:t>
            </w:r>
            <w:r>
              <w:rPr>
                <w:rFonts w:hint="eastAsia" w:ascii="宋体" w:hAnsi="宋体"/>
                <w:b/>
                <w:sz w:val="24"/>
              </w:rPr>
              <w:t>故供应商所投货物只能为中国境内的货物</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w:t>
            </w:r>
          </w:p>
        </w:tc>
        <w:tc>
          <w:tcPr>
            <w:tcW w:w="7893" w:type="dxa"/>
            <w:vAlign w:val="center"/>
          </w:tcPr>
          <w:p>
            <w:pPr>
              <w:spacing w:line="360" w:lineRule="auto"/>
              <w:rPr>
                <w:rFonts w:ascii="宋体" w:hAnsi="宋体" w:cs="宋体"/>
                <w:kern w:val="0"/>
                <w:sz w:val="24"/>
              </w:rPr>
            </w:pPr>
            <w:r>
              <w:rPr>
                <w:rFonts w:ascii="宋体" w:hAnsi="宋体" w:cs="宋体"/>
                <w:kern w:val="0"/>
                <w:sz w:val="24"/>
              </w:rPr>
              <w:t>是否专门面向中、小、微型企业</w:t>
            </w:r>
            <w:r>
              <w:rPr>
                <w:rFonts w:hint="eastAsia" w:ascii="宋体" w:hAnsi="宋体" w:cs="宋体"/>
                <w:kern w:val="0"/>
                <w:sz w:val="24"/>
              </w:rPr>
              <w:t>、监狱企业或残疾人福利性单位</w:t>
            </w:r>
            <w:r>
              <w:rPr>
                <w:rFonts w:ascii="宋体" w:hAnsi="宋体" w:cs="宋体"/>
                <w:kern w:val="0"/>
                <w:sz w:val="24"/>
              </w:rPr>
              <w:t>采购</w:t>
            </w:r>
            <w:r>
              <w:rPr>
                <w:rFonts w:hint="eastAsia" w:ascii="宋体" w:hAnsi="宋体" w:cs="宋体"/>
                <w:kern w:val="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1514" w:type="dxa"/>
            <w:vAlign w:val="center"/>
          </w:tcPr>
          <w:p>
            <w:pPr>
              <w:spacing w:line="360" w:lineRule="auto"/>
              <w:jc w:val="center"/>
              <w:rPr>
                <w:rFonts w:ascii="宋体" w:hAnsi="宋体"/>
                <w:sz w:val="24"/>
              </w:rPr>
            </w:pPr>
            <w:r>
              <w:rPr>
                <w:rFonts w:ascii="宋体" w:hAnsi="宋体"/>
                <w:sz w:val="24"/>
              </w:rPr>
              <w:t>1.3.</w:t>
            </w:r>
            <w:r>
              <w:rPr>
                <w:rFonts w:hint="eastAsia" w:ascii="宋体" w:hAnsi="宋体"/>
                <w:sz w:val="24"/>
              </w:rPr>
              <w:t>5</w:t>
            </w:r>
          </w:p>
        </w:tc>
        <w:tc>
          <w:tcPr>
            <w:tcW w:w="7893" w:type="dxa"/>
            <w:vAlign w:val="center"/>
          </w:tcPr>
          <w:p>
            <w:pPr>
              <w:spacing w:line="360" w:lineRule="auto"/>
              <w:rPr>
                <w:rFonts w:ascii="宋体" w:hAnsi="宋体"/>
                <w:sz w:val="24"/>
              </w:rPr>
            </w:pPr>
            <w:r>
              <w:rPr>
                <w:rFonts w:ascii="宋体" w:hAnsi="宋体" w:cs="宋体"/>
                <w:kern w:val="0"/>
                <w:sz w:val="24"/>
              </w:rPr>
              <w:t>若投标人须知资料表中写明专门面向中、小、微型企业</w:t>
            </w:r>
            <w:r>
              <w:rPr>
                <w:rFonts w:hint="eastAsia" w:ascii="宋体" w:hAnsi="宋体" w:cs="宋体"/>
                <w:kern w:val="0"/>
                <w:sz w:val="24"/>
              </w:rPr>
              <w:t>、监狱企业或残疾人福利性单位</w:t>
            </w:r>
            <w:r>
              <w:rPr>
                <w:rFonts w:ascii="宋体" w:hAnsi="宋体" w:cs="宋体"/>
                <w:kern w:val="0"/>
                <w:sz w:val="24"/>
              </w:rPr>
              <w:t>采购的，如投标人所投产品为非中小企业产品或投标人非监狱企业或非监狱企业</w:t>
            </w:r>
            <w:r>
              <w:rPr>
                <w:rFonts w:hint="eastAsia" w:ascii="宋体" w:hAnsi="宋体" w:cs="宋体"/>
                <w:kern w:val="0"/>
                <w:sz w:val="24"/>
              </w:rPr>
              <w:t>或非残疾人福利性单位</w:t>
            </w:r>
            <w:r>
              <w:rPr>
                <w:rFonts w:ascii="宋体" w:hAnsi="宋体" w:cs="宋体"/>
                <w:kern w:val="0"/>
                <w:sz w:val="24"/>
              </w:rPr>
              <w:t>，其投标将作为无效投标被拒绝（如适用）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2.1</w:t>
            </w:r>
          </w:p>
        </w:tc>
        <w:tc>
          <w:tcPr>
            <w:tcW w:w="7893" w:type="dxa"/>
            <w:vAlign w:val="center"/>
          </w:tcPr>
          <w:p>
            <w:pPr>
              <w:pStyle w:val="110"/>
              <w:jc w:val="left"/>
              <w:rPr>
                <w:sz w:val="24"/>
              </w:rPr>
            </w:pPr>
            <w:r>
              <w:rPr>
                <w:rFonts w:hint="eastAsia" w:ascii="宋体" w:hAnsi="宋体"/>
                <w:sz w:val="24"/>
              </w:rPr>
              <w:t>预算金额477.75万元。批复编号：</w:t>
            </w:r>
            <w:r>
              <w:rPr>
                <w:rFonts w:ascii="宋体" w:hAnsi="宋体"/>
                <w:sz w:val="24"/>
              </w:rPr>
              <w:t>XM-0000157102171113037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98"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12</w:t>
            </w:r>
          </w:p>
        </w:tc>
        <w:tc>
          <w:tcPr>
            <w:tcW w:w="7893" w:type="dxa"/>
            <w:vAlign w:val="center"/>
          </w:tcPr>
          <w:p>
            <w:pPr>
              <w:spacing w:line="360" w:lineRule="auto"/>
              <w:rPr>
                <w:rFonts w:ascii="宋体" w:hAnsi="宋体"/>
                <w:b/>
                <w:sz w:val="24"/>
              </w:rPr>
            </w:pPr>
            <w:r>
              <w:rPr>
                <w:rFonts w:hint="eastAsia" w:ascii="宋体" w:hAnsi="宋体"/>
                <w:b/>
                <w:sz w:val="24"/>
              </w:rPr>
              <w:t>投标保证金：人民币伍万元整（¥50000元）</w:t>
            </w:r>
          </w:p>
          <w:p>
            <w:pPr>
              <w:spacing w:line="360" w:lineRule="auto"/>
              <w:rPr>
                <w:rFonts w:ascii="宋体" w:hAnsi="宋体"/>
                <w:b/>
                <w:sz w:val="24"/>
              </w:rPr>
            </w:pPr>
            <w:r>
              <w:rPr>
                <w:rFonts w:hint="eastAsia" w:ascii="宋体" w:hAnsi="宋体"/>
                <w:b/>
                <w:sz w:val="24"/>
              </w:rPr>
              <w:t>递交时间： 2017年</w:t>
            </w:r>
            <w:r>
              <w:rPr>
                <w:rFonts w:hint="eastAsia" w:ascii="宋体" w:hAnsi="宋体"/>
                <w:b/>
                <w:sz w:val="24"/>
                <w:lang w:val="en-US" w:eastAsia="zh-CN"/>
              </w:rPr>
              <w:t>12</w:t>
            </w:r>
            <w:r>
              <w:rPr>
                <w:rFonts w:hint="eastAsia" w:ascii="宋体" w:hAnsi="宋体"/>
                <w:b/>
                <w:sz w:val="24"/>
              </w:rPr>
              <w:t>月</w:t>
            </w:r>
            <w:r>
              <w:rPr>
                <w:rFonts w:hint="eastAsia" w:ascii="宋体" w:hAnsi="宋体"/>
                <w:b/>
                <w:sz w:val="24"/>
                <w:lang w:val="en-US" w:eastAsia="zh-CN"/>
              </w:rPr>
              <w:t>04</w:t>
            </w:r>
            <w:r>
              <w:rPr>
                <w:rFonts w:hint="eastAsia" w:ascii="宋体" w:hAnsi="宋体"/>
                <w:b/>
                <w:sz w:val="24"/>
              </w:rPr>
              <w:t>日16:00之前</w:t>
            </w:r>
          </w:p>
          <w:p>
            <w:pPr>
              <w:spacing w:line="360" w:lineRule="auto"/>
              <w:rPr>
                <w:rFonts w:ascii="宋体" w:hAnsi="宋体"/>
                <w:b/>
                <w:sz w:val="24"/>
              </w:rPr>
            </w:pPr>
            <w:r>
              <w:rPr>
                <w:rFonts w:hint="eastAsia" w:ascii="宋体" w:hAnsi="宋体"/>
                <w:b/>
                <w:sz w:val="24"/>
              </w:rPr>
              <w:t>递交地点：北京市丰台区广安路9号国投财富广场6号楼1518号</w:t>
            </w:r>
          </w:p>
          <w:p>
            <w:pPr>
              <w:spacing w:line="360" w:lineRule="auto"/>
              <w:rPr>
                <w:rFonts w:ascii="宋体" w:hAnsi="宋体"/>
                <w:sz w:val="24"/>
              </w:rPr>
            </w:pPr>
            <w:r>
              <w:rPr>
                <w:rFonts w:hint="eastAsia" w:ascii="宋体" w:hAnsi="宋体"/>
                <w:sz w:val="24"/>
              </w:rPr>
              <w:t>投标保证金形式：支票（北京地区）、政府采购投标担保函、电汇</w:t>
            </w:r>
          </w:p>
          <w:p>
            <w:pPr>
              <w:spacing w:line="360" w:lineRule="auto"/>
              <w:rPr>
                <w:rFonts w:ascii="宋体" w:hAnsi="宋体"/>
                <w:b/>
                <w:sz w:val="24"/>
              </w:rPr>
            </w:pPr>
            <w:r>
              <w:rPr>
                <w:rFonts w:hint="eastAsia" w:ascii="宋体" w:hAnsi="宋体"/>
                <w:b/>
                <w:sz w:val="24"/>
              </w:rPr>
              <w:t>开 户 名：北京华采招标代理有限公司</w:t>
            </w:r>
          </w:p>
          <w:p>
            <w:pPr>
              <w:spacing w:line="360" w:lineRule="auto"/>
              <w:rPr>
                <w:rFonts w:ascii="宋体" w:hAnsi="宋体"/>
                <w:b/>
                <w:sz w:val="24"/>
              </w:rPr>
            </w:pPr>
            <w:r>
              <w:rPr>
                <w:rFonts w:hint="eastAsia" w:ascii="宋体" w:hAnsi="宋体"/>
                <w:b/>
                <w:sz w:val="24"/>
              </w:rPr>
              <w:t>开 户 行：中国银行北京西站支行</w:t>
            </w:r>
          </w:p>
          <w:p>
            <w:pPr>
              <w:spacing w:line="360" w:lineRule="auto"/>
              <w:rPr>
                <w:rFonts w:ascii="宋体" w:hAnsi="宋体"/>
                <w:b/>
                <w:sz w:val="24"/>
              </w:rPr>
            </w:pPr>
            <w:r>
              <w:rPr>
                <w:rFonts w:hint="eastAsia" w:ascii="宋体" w:hAnsi="宋体"/>
                <w:b/>
                <w:sz w:val="24"/>
              </w:rPr>
              <w:t>账    号：3337 6250 2504</w:t>
            </w:r>
          </w:p>
          <w:p>
            <w:pPr>
              <w:spacing w:line="360" w:lineRule="auto"/>
              <w:rPr>
                <w:rFonts w:ascii="宋体" w:hAnsi="宋体"/>
                <w:sz w:val="24"/>
              </w:rPr>
            </w:pPr>
            <w:r>
              <w:rPr>
                <w:rFonts w:hint="eastAsia" w:ascii="宋体" w:hAnsi="宋体"/>
                <w:sz w:val="24"/>
              </w:rPr>
              <w:t>退还保证金方式：支票（北京地区）、电汇（外埠）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90"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13.1</w:t>
            </w:r>
          </w:p>
        </w:tc>
        <w:tc>
          <w:tcPr>
            <w:tcW w:w="7893" w:type="dxa"/>
            <w:vAlign w:val="center"/>
          </w:tcPr>
          <w:p>
            <w:pPr>
              <w:spacing w:line="360" w:lineRule="auto"/>
              <w:ind w:left="1592" w:hanging="1592"/>
              <w:rPr>
                <w:rFonts w:ascii="宋体" w:hAnsi="宋体"/>
                <w:sz w:val="24"/>
              </w:rPr>
            </w:pPr>
            <w:r>
              <w:rPr>
                <w:rFonts w:hint="eastAsia" w:ascii="宋体" w:hAnsi="宋体"/>
                <w:sz w:val="24"/>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8"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14.1</w:t>
            </w:r>
          </w:p>
        </w:tc>
        <w:tc>
          <w:tcPr>
            <w:tcW w:w="7893" w:type="dxa"/>
            <w:vAlign w:val="center"/>
          </w:tcPr>
          <w:p>
            <w:pPr>
              <w:spacing w:line="360" w:lineRule="auto"/>
              <w:rPr>
                <w:rFonts w:ascii="宋体" w:hAnsi="宋体"/>
                <w:b/>
                <w:sz w:val="24"/>
              </w:rPr>
            </w:pPr>
            <w:r>
              <w:rPr>
                <w:rFonts w:hint="eastAsia" w:ascii="宋体" w:hAnsi="宋体"/>
                <w:sz w:val="24"/>
              </w:rPr>
              <w:t>投标文件：</w:t>
            </w:r>
            <w:r>
              <w:rPr>
                <w:rFonts w:hint="eastAsia" w:ascii="宋体" w:hAnsi="宋体"/>
                <w:b/>
                <w:sz w:val="24"/>
              </w:rPr>
              <w:t>正本：1份，副本：5份，电子版：1份。</w:t>
            </w:r>
          </w:p>
          <w:p>
            <w:pPr>
              <w:spacing w:line="360" w:lineRule="auto"/>
              <w:rPr>
                <w:rFonts w:ascii="宋体" w:hAnsi="宋体"/>
                <w:sz w:val="24"/>
              </w:rPr>
            </w:pPr>
            <w:r>
              <w:rPr>
                <w:rFonts w:hint="eastAsia" w:ascii="宋体" w:hAnsi="宋体"/>
                <w:sz w:val="24"/>
              </w:rPr>
              <w:t>(电子文件规定存储载体为USB存储设备或只读光盘)</w:t>
            </w:r>
          </w:p>
          <w:p>
            <w:pPr>
              <w:spacing w:line="360" w:lineRule="auto"/>
              <w:rPr>
                <w:rFonts w:ascii="宋体" w:hAnsi="宋体"/>
                <w:sz w:val="24"/>
              </w:rPr>
            </w:pPr>
            <w:r>
              <w:rPr>
                <w:rFonts w:hint="eastAsia" w:ascii="宋体" w:hAnsi="宋体"/>
                <w:sz w:val="24"/>
              </w:rPr>
              <w:t>电子文件规定格式为：</w:t>
            </w:r>
          </w:p>
          <w:p>
            <w:pPr>
              <w:numPr>
                <w:ilvl w:val="0"/>
                <w:numId w:val="1"/>
              </w:numPr>
              <w:spacing w:line="360" w:lineRule="auto"/>
              <w:rPr>
                <w:rFonts w:ascii="宋体" w:hAnsi="宋体"/>
                <w:sz w:val="24"/>
              </w:rPr>
            </w:pPr>
            <w:r>
              <w:rPr>
                <w:rFonts w:hint="eastAsia" w:ascii="宋体" w:hAnsi="宋体"/>
                <w:sz w:val="24"/>
              </w:rPr>
              <w:t>文本文件采用DOC、RTF、TXT、PDF格式；</w:t>
            </w:r>
          </w:p>
          <w:p>
            <w:pPr>
              <w:numPr>
                <w:ilvl w:val="0"/>
                <w:numId w:val="1"/>
              </w:numPr>
              <w:spacing w:line="360" w:lineRule="auto"/>
              <w:rPr>
                <w:rFonts w:ascii="宋体" w:hAnsi="宋体"/>
                <w:sz w:val="24"/>
              </w:rPr>
            </w:pPr>
            <w:r>
              <w:rPr>
                <w:rFonts w:hint="eastAsia" w:ascii="宋体" w:hAnsi="宋体"/>
                <w:sz w:val="24"/>
              </w:rPr>
              <w:t>图像文件采用JPEG、TIFF格式；</w:t>
            </w:r>
          </w:p>
          <w:p>
            <w:pPr>
              <w:numPr>
                <w:ilvl w:val="0"/>
                <w:numId w:val="1"/>
              </w:numPr>
              <w:spacing w:line="360" w:lineRule="auto"/>
              <w:rPr>
                <w:rFonts w:ascii="宋体" w:hAnsi="宋体"/>
                <w:sz w:val="24"/>
              </w:rPr>
            </w:pPr>
            <w:r>
              <w:rPr>
                <w:rFonts w:hint="eastAsia" w:ascii="宋体" w:hAnsi="宋体"/>
                <w:sz w:val="24"/>
              </w:rPr>
              <w:t>影像文件采用MPEG、AVI格式；</w:t>
            </w:r>
          </w:p>
          <w:p>
            <w:pPr>
              <w:spacing w:line="360" w:lineRule="auto"/>
              <w:rPr>
                <w:rFonts w:ascii="宋体" w:hAnsi="宋体"/>
                <w:b/>
                <w:sz w:val="24"/>
              </w:rPr>
            </w:pPr>
            <w:r>
              <w:rPr>
                <w:rFonts w:hint="eastAsia" w:ascii="宋体" w:hAnsi="宋体"/>
                <w:sz w:val="24"/>
              </w:rPr>
              <w:t>（4）声音文件采用WAV、MP3格式。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6"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16.1</w:t>
            </w:r>
          </w:p>
        </w:tc>
        <w:tc>
          <w:tcPr>
            <w:tcW w:w="7893" w:type="dxa"/>
            <w:vAlign w:val="center"/>
          </w:tcPr>
          <w:p>
            <w:pPr>
              <w:spacing w:line="360" w:lineRule="auto"/>
              <w:rPr>
                <w:rFonts w:ascii="宋体" w:hAnsi="宋体"/>
                <w:sz w:val="24"/>
              </w:rPr>
            </w:pPr>
            <w:r>
              <w:rPr>
                <w:rFonts w:hint="eastAsia" w:ascii="宋体" w:hAnsi="宋体"/>
                <w:sz w:val="24"/>
              </w:rPr>
              <w:t>投标截止期：2017年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06</w:t>
            </w:r>
            <w:r>
              <w:rPr>
                <w:rFonts w:hint="eastAsia" w:ascii="宋体" w:hAnsi="宋体"/>
                <w:sz w:val="24"/>
              </w:rPr>
              <w:t>日上午09:30</w:t>
            </w:r>
            <w:r>
              <w:rPr>
                <w:rFonts w:ascii="宋体" w:hAnsi="宋体"/>
                <w:sz w:val="24"/>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18.1</w:t>
            </w:r>
          </w:p>
        </w:tc>
        <w:tc>
          <w:tcPr>
            <w:tcW w:w="7893" w:type="dxa"/>
            <w:vAlign w:val="center"/>
          </w:tcPr>
          <w:p>
            <w:pPr>
              <w:spacing w:line="360" w:lineRule="auto"/>
              <w:rPr>
                <w:rFonts w:ascii="宋体" w:hAnsi="宋体"/>
                <w:sz w:val="24"/>
              </w:rPr>
            </w:pPr>
            <w:r>
              <w:rPr>
                <w:rFonts w:hint="eastAsia" w:ascii="宋体" w:hAnsi="宋体"/>
                <w:sz w:val="24"/>
              </w:rPr>
              <w:t>开标时间：2017年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06</w:t>
            </w:r>
            <w:r>
              <w:rPr>
                <w:rFonts w:hint="eastAsia" w:ascii="宋体" w:hAnsi="宋体"/>
                <w:sz w:val="24"/>
              </w:rPr>
              <w:t>日上午09:30</w:t>
            </w:r>
            <w:r>
              <w:rPr>
                <w:rFonts w:ascii="宋体" w:hAnsi="宋体"/>
                <w:sz w:val="24"/>
              </w:rPr>
              <w:t>（北京时间）</w:t>
            </w:r>
          </w:p>
          <w:p>
            <w:pPr>
              <w:spacing w:line="360" w:lineRule="auto"/>
              <w:rPr>
                <w:rFonts w:ascii="宋体" w:hAnsi="宋体"/>
                <w:sz w:val="24"/>
              </w:rPr>
            </w:pPr>
            <w:r>
              <w:rPr>
                <w:rFonts w:hint="eastAsia" w:ascii="宋体" w:hAnsi="宋体"/>
                <w:sz w:val="24"/>
              </w:rPr>
              <w:t>投标、开标地点：北京华采招标代理有限公司会议室（北京市丰台区广安路9号国投财富广场6号楼150</w:t>
            </w:r>
            <w:r>
              <w:rPr>
                <w:rFonts w:hint="eastAsia" w:ascii="宋体" w:hAnsi="宋体"/>
                <w:sz w:val="24"/>
                <w:lang w:val="en-US" w:eastAsia="zh-CN"/>
              </w:rPr>
              <w:t>2</w:t>
            </w:r>
            <w:r>
              <w:rPr>
                <w:rFonts w:hint="eastAsia" w:ascii="宋体" w:hAnsi="宋体"/>
                <w:sz w:val="24"/>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28.1</w:t>
            </w:r>
          </w:p>
        </w:tc>
        <w:tc>
          <w:tcPr>
            <w:tcW w:w="7893" w:type="dxa"/>
            <w:vAlign w:val="center"/>
          </w:tcPr>
          <w:p>
            <w:pPr>
              <w:spacing w:line="360" w:lineRule="auto"/>
              <w:rPr>
                <w:rFonts w:ascii="宋体" w:hAnsi="宋体"/>
                <w:sz w:val="24"/>
              </w:rPr>
            </w:pPr>
            <w:r>
              <w:rPr>
                <w:rFonts w:hint="eastAsia" w:ascii="宋体" w:hAnsi="宋体"/>
                <w:sz w:val="24"/>
              </w:rPr>
              <w:t>提交履约保证金的时间：签订合同后7个工作日内（不超过7个工作日）。</w:t>
            </w:r>
          </w:p>
          <w:p>
            <w:pPr>
              <w:spacing w:line="360" w:lineRule="auto"/>
              <w:rPr>
                <w:rFonts w:ascii="宋体" w:hAnsi="宋体"/>
                <w:sz w:val="24"/>
              </w:rPr>
            </w:pPr>
            <w:r>
              <w:rPr>
                <w:rFonts w:hint="eastAsia" w:ascii="宋体" w:hAnsi="宋体"/>
                <w:sz w:val="24"/>
              </w:rPr>
              <w:t>履约保证金金额：合同总金额的5%。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29.1</w:t>
            </w:r>
          </w:p>
        </w:tc>
        <w:tc>
          <w:tcPr>
            <w:tcW w:w="7893" w:type="dxa"/>
            <w:vAlign w:val="center"/>
          </w:tcPr>
          <w:p>
            <w:pPr>
              <w:spacing w:line="360" w:lineRule="auto"/>
              <w:rPr>
                <w:rFonts w:ascii="宋体" w:hAnsi="宋体"/>
                <w:sz w:val="24"/>
              </w:rPr>
            </w:pPr>
            <w:r>
              <w:rPr>
                <w:rFonts w:hint="eastAsia" w:ascii="宋体" w:hAnsi="宋体"/>
                <w:sz w:val="24"/>
              </w:rPr>
              <w:t>中标人须向采购代理机构按如下标准和规定交纳中标服务费：</w:t>
            </w:r>
          </w:p>
          <w:p>
            <w:pPr>
              <w:spacing w:line="360" w:lineRule="auto"/>
              <w:ind w:firstLine="480" w:firstLineChars="200"/>
              <w:rPr>
                <w:rFonts w:ascii="宋体" w:hAnsi="宋体"/>
                <w:sz w:val="24"/>
              </w:rPr>
            </w:pPr>
            <w:r>
              <w:rPr>
                <w:rFonts w:hint="eastAsia" w:ascii="宋体" w:hAnsi="宋体"/>
                <w:sz w:val="24"/>
              </w:rPr>
              <w:t>(1)以买卖双方签定的合同总额作为收费的计算基数。</w:t>
            </w:r>
          </w:p>
          <w:p>
            <w:pPr>
              <w:widowControl/>
              <w:spacing w:line="360" w:lineRule="auto"/>
              <w:ind w:firstLine="480" w:firstLineChars="200"/>
              <w:jc w:val="left"/>
              <w:rPr>
                <w:rFonts w:ascii="宋体" w:hAnsi="宋体" w:cs="宋体"/>
                <w:kern w:val="0"/>
                <w:sz w:val="24"/>
              </w:rPr>
            </w:pPr>
            <w:r>
              <w:rPr>
                <w:rFonts w:hint="eastAsia" w:ascii="宋体" w:hAnsi="宋体"/>
                <w:sz w:val="24"/>
              </w:rPr>
              <w:t>(2)采购代理机构按计价格[2002]1980号文、</w:t>
            </w:r>
            <w:r>
              <w:rPr>
                <w:rFonts w:hint="eastAsia" w:ascii="宋体" w:hAnsi="宋体" w:cs="宋体"/>
                <w:kern w:val="0"/>
                <w:sz w:val="24"/>
              </w:rPr>
              <w:t>发改办价格[2003]857号文及</w:t>
            </w:r>
            <w:r>
              <w:rPr>
                <w:rFonts w:ascii="宋体" w:hAnsi="宋体" w:cs="宋体"/>
                <w:kern w:val="0"/>
                <w:sz w:val="24"/>
              </w:rPr>
              <w:t>发改价格</w:t>
            </w:r>
            <w:r>
              <w:rPr>
                <w:kern w:val="0"/>
                <w:sz w:val="24"/>
              </w:rPr>
              <w:t>[2011]534</w:t>
            </w:r>
            <w:r>
              <w:rPr>
                <w:rFonts w:ascii="宋体" w:hAnsi="宋体" w:cs="宋体"/>
                <w:kern w:val="0"/>
                <w:sz w:val="24"/>
              </w:rPr>
              <w:t>号</w:t>
            </w:r>
            <w:r>
              <w:rPr>
                <w:rFonts w:hint="eastAsia" w:ascii="宋体" w:hAnsi="宋体" w:cs="宋体"/>
                <w:kern w:val="0"/>
                <w:sz w:val="24"/>
              </w:rPr>
              <w:t>文有关规定向中标供应商收取</w:t>
            </w:r>
            <w:r>
              <w:rPr>
                <w:rFonts w:hint="eastAsia" w:ascii="宋体" w:hAnsi="宋体"/>
                <w:sz w:val="24"/>
              </w:rPr>
              <w:t>中标服务费用。</w:t>
            </w:r>
          </w:p>
          <w:p>
            <w:pPr>
              <w:spacing w:line="360" w:lineRule="auto"/>
              <w:ind w:firstLine="480" w:firstLineChars="200"/>
              <w:rPr>
                <w:rFonts w:ascii="宋体" w:hAnsi="宋体"/>
                <w:sz w:val="24"/>
              </w:rPr>
            </w:pPr>
            <w:r>
              <w:rPr>
                <w:rFonts w:hint="eastAsia" w:ascii="宋体" w:hAnsi="宋体"/>
                <w:sz w:val="24"/>
              </w:rPr>
              <w:t>(3)中标服务费币种与中标签订合同的币种相同或采购代理机构同意的币种。</w:t>
            </w:r>
          </w:p>
          <w:p>
            <w:pPr>
              <w:spacing w:line="360" w:lineRule="auto"/>
              <w:ind w:firstLine="480" w:firstLineChars="200"/>
              <w:rPr>
                <w:rFonts w:ascii="宋体" w:hAnsi="宋体"/>
                <w:sz w:val="24"/>
              </w:rPr>
            </w:pPr>
            <w:r>
              <w:rPr>
                <w:rFonts w:hint="eastAsia" w:ascii="宋体" w:hAnsi="宋体"/>
                <w:sz w:val="24"/>
              </w:rPr>
              <w:t>(4)中标服务费的交纳方式：</w:t>
            </w:r>
          </w:p>
          <w:p>
            <w:pPr>
              <w:spacing w:line="360" w:lineRule="auto"/>
              <w:ind w:firstLine="480"/>
              <w:rPr>
                <w:rFonts w:ascii="宋体" w:hAnsi="宋体"/>
                <w:sz w:val="24"/>
              </w:rPr>
            </w:pPr>
            <w:r>
              <w:rPr>
                <w:rFonts w:hint="eastAsia" w:ascii="宋体" w:hAnsi="宋体"/>
                <w:sz w:val="24"/>
              </w:rPr>
              <w:t>在投标时，投标人向采购代理机构送交中标服务费承诺书。中标供应商在领取中标通知书时一次向采购代理机构交纳所有中标服务费。</w:t>
            </w:r>
          </w:p>
          <w:p>
            <w:pPr>
              <w:spacing w:line="360" w:lineRule="auto"/>
              <w:ind w:firstLine="480"/>
              <w:rPr>
                <w:rFonts w:ascii="宋体" w:hAnsi="宋体"/>
                <w:sz w:val="24"/>
              </w:rPr>
            </w:pPr>
            <w:r>
              <w:rPr>
                <w:rFonts w:hint="eastAsia" w:ascii="宋体" w:hAnsi="宋体"/>
                <w:sz w:val="24"/>
              </w:rPr>
              <w:t>户  名：北京华采招标代理有限公司</w:t>
            </w:r>
          </w:p>
          <w:p>
            <w:pPr>
              <w:spacing w:line="360" w:lineRule="auto"/>
              <w:ind w:firstLine="480"/>
              <w:rPr>
                <w:rFonts w:ascii="宋体" w:hAnsi="宋体"/>
                <w:sz w:val="24"/>
              </w:rPr>
            </w:pPr>
            <w:r>
              <w:rPr>
                <w:rFonts w:hint="eastAsia" w:ascii="宋体" w:hAnsi="宋体"/>
                <w:sz w:val="24"/>
              </w:rPr>
              <w:t>开户行：建行北京西客站支行</w:t>
            </w:r>
          </w:p>
          <w:p>
            <w:pPr>
              <w:spacing w:line="360" w:lineRule="auto"/>
              <w:ind w:firstLine="480"/>
              <w:rPr>
                <w:rFonts w:ascii="宋体" w:hAnsi="宋体"/>
                <w:sz w:val="24"/>
              </w:rPr>
            </w:pPr>
            <w:r>
              <w:rPr>
                <w:rFonts w:hint="eastAsia" w:ascii="宋体" w:hAnsi="宋体"/>
                <w:sz w:val="24"/>
              </w:rPr>
              <w:t>账  号：1100 1028 0000 5300 6877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12.3.2</w:t>
            </w:r>
          </w:p>
          <w:p>
            <w:pPr>
              <w:spacing w:line="360" w:lineRule="auto"/>
              <w:jc w:val="center"/>
              <w:rPr>
                <w:rFonts w:ascii="宋体" w:hAnsi="宋体"/>
                <w:sz w:val="24"/>
              </w:rPr>
            </w:pPr>
            <w:r>
              <w:rPr>
                <w:rFonts w:hint="eastAsia" w:ascii="宋体" w:hAnsi="宋体"/>
                <w:sz w:val="24"/>
              </w:rPr>
              <w:t>28.1.2</w:t>
            </w:r>
          </w:p>
          <w:p>
            <w:pPr>
              <w:spacing w:line="360" w:lineRule="auto"/>
              <w:jc w:val="center"/>
              <w:rPr>
                <w:rFonts w:ascii="宋体" w:hAnsi="宋体"/>
                <w:sz w:val="24"/>
              </w:rPr>
            </w:pPr>
            <w:r>
              <w:rPr>
                <w:rFonts w:hint="eastAsia" w:ascii="宋体" w:hAnsi="宋体"/>
                <w:sz w:val="24"/>
              </w:rPr>
              <w:t>30．2</w:t>
            </w:r>
          </w:p>
        </w:tc>
        <w:tc>
          <w:tcPr>
            <w:tcW w:w="7893" w:type="dxa"/>
            <w:vAlign w:val="center"/>
          </w:tcPr>
          <w:p>
            <w:pPr>
              <w:spacing w:line="360" w:lineRule="auto"/>
              <w:rPr>
                <w:b/>
                <w:sz w:val="24"/>
              </w:rPr>
            </w:pPr>
            <w:r>
              <w:rPr>
                <w:rFonts w:hint="eastAsia"/>
                <w:b/>
                <w:sz w:val="24"/>
              </w:rPr>
              <w:t>北京市政府采购信用担保试点工作专业担保机构：</w:t>
            </w:r>
          </w:p>
          <w:p>
            <w:pPr>
              <w:spacing w:line="360" w:lineRule="auto"/>
              <w:rPr>
                <w:sz w:val="24"/>
              </w:rPr>
            </w:pPr>
            <w:r>
              <w:rPr>
                <w:rFonts w:hint="eastAsia"/>
                <w:sz w:val="24"/>
              </w:rPr>
              <w:t>1中国投资担保有限公司</w:t>
            </w:r>
          </w:p>
          <w:p>
            <w:pPr>
              <w:spacing w:line="360" w:lineRule="auto"/>
              <w:rPr>
                <w:sz w:val="24"/>
              </w:rPr>
            </w:pPr>
            <w:r>
              <w:rPr>
                <w:rFonts w:hint="eastAsia"/>
                <w:sz w:val="24"/>
              </w:rPr>
              <w:t>地址:北京市海淀区西三环北路100号光耀东方写字楼9层</w:t>
            </w:r>
          </w:p>
          <w:p>
            <w:pPr>
              <w:spacing w:line="360" w:lineRule="auto"/>
              <w:rPr>
                <w:sz w:val="24"/>
              </w:rPr>
            </w:pPr>
            <w:r>
              <w:rPr>
                <w:rFonts w:hint="eastAsia"/>
                <w:sz w:val="24"/>
              </w:rPr>
              <w:t>联系人：边志伟                   手机：13810789199</w:t>
            </w:r>
          </w:p>
          <w:p>
            <w:pPr>
              <w:spacing w:line="360" w:lineRule="auto"/>
              <w:rPr>
                <w:sz w:val="24"/>
              </w:rPr>
            </w:pPr>
            <w:r>
              <w:rPr>
                <w:rFonts w:hint="eastAsia"/>
                <w:sz w:val="24"/>
              </w:rPr>
              <w:t>联系电话：010-88822573           传真：010-68437040/68472315</w:t>
            </w:r>
          </w:p>
          <w:p>
            <w:pPr>
              <w:spacing w:line="360" w:lineRule="auto"/>
              <w:rPr>
                <w:sz w:val="24"/>
              </w:rPr>
            </w:pPr>
            <w:r>
              <w:rPr>
                <w:rFonts w:hint="eastAsia"/>
                <w:sz w:val="24"/>
              </w:rPr>
              <w:t>电子邮箱：bianzw@guaranty.com.cn</w:t>
            </w:r>
          </w:p>
          <w:p>
            <w:pPr>
              <w:spacing w:line="360" w:lineRule="auto"/>
              <w:rPr>
                <w:sz w:val="24"/>
              </w:rPr>
            </w:pPr>
            <w:r>
              <w:rPr>
                <w:rFonts w:hint="eastAsia"/>
                <w:sz w:val="24"/>
              </w:rPr>
              <w:t>北京市政府采购项目增加的信用担保公司</w:t>
            </w:r>
          </w:p>
          <w:p>
            <w:pPr>
              <w:spacing w:line="360" w:lineRule="auto"/>
              <w:rPr>
                <w:sz w:val="24"/>
              </w:rPr>
            </w:pPr>
            <w:r>
              <w:rPr>
                <w:rFonts w:hint="eastAsia"/>
                <w:sz w:val="24"/>
              </w:rPr>
              <w:t>2北京首创投资担保有限责任公司</w:t>
            </w:r>
          </w:p>
          <w:p>
            <w:pPr>
              <w:spacing w:line="360" w:lineRule="auto"/>
              <w:rPr>
                <w:sz w:val="24"/>
              </w:rPr>
            </w:pPr>
            <w:r>
              <w:rPr>
                <w:rFonts w:hint="eastAsia"/>
                <w:sz w:val="24"/>
              </w:rPr>
              <w:t>地址:北京市西城区闹市口大街一号长安兴融中心四号楼三层</w:t>
            </w:r>
          </w:p>
          <w:p>
            <w:pPr>
              <w:spacing w:line="360" w:lineRule="auto"/>
              <w:rPr>
                <w:sz w:val="24"/>
              </w:rPr>
            </w:pPr>
            <w:r>
              <w:rPr>
                <w:rFonts w:hint="eastAsia"/>
                <w:sz w:val="24"/>
              </w:rPr>
              <w:t xml:space="preserve">联系人： 杨阳   陈浩然      </w:t>
            </w:r>
          </w:p>
          <w:p>
            <w:pPr>
              <w:spacing w:line="360" w:lineRule="auto"/>
              <w:rPr>
                <w:sz w:val="24"/>
              </w:rPr>
            </w:pPr>
            <w:r>
              <w:rPr>
                <w:rFonts w:hint="eastAsia"/>
                <w:sz w:val="24"/>
              </w:rPr>
              <w:t>手机：13488752033  18910210850</w:t>
            </w:r>
          </w:p>
          <w:p>
            <w:pPr>
              <w:spacing w:line="360" w:lineRule="auto"/>
              <w:rPr>
                <w:sz w:val="24"/>
              </w:rPr>
            </w:pPr>
            <w:r>
              <w:rPr>
                <w:rFonts w:hint="eastAsia"/>
                <w:sz w:val="24"/>
              </w:rPr>
              <w:t>联系电话：010-58528750 /010-58528760  传真：010-58528757</w:t>
            </w:r>
          </w:p>
          <w:p>
            <w:pPr>
              <w:spacing w:line="360" w:lineRule="auto"/>
              <w:rPr>
                <w:sz w:val="24"/>
              </w:rPr>
            </w:pPr>
            <w:r>
              <w:rPr>
                <w:rFonts w:hint="eastAsia"/>
                <w:sz w:val="24"/>
              </w:rPr>
              <w:t>电子邮箱：yangyang@scdb.com.cn; chenhaoran@scdb.com.cn</w:t>
            </w:r>
          </w:p>
          <w:p>
            <w:pPr>
              <w:spacing w:line="360" w:lineRule="auto"/>
              <w:rPr>
                <w:sz w:val="24"/>
              </w:rPr>
            </w:pPr>
            <w:r>
              <w:rPr>
                <w:rFonts w:hint="eastAsia"/>
                <w:sz w:val="24"/>
              </w:rPr>
              <w:t>3北京中关村科技担保有限公司</w:t>
            </w:r>
          </w:p>
          <w:p>
            <w:pPr>
              <w:spacing w:line="360" w:lineRule="auto"/>
              <w:rPr>
                <w:sz w:val="24"/>
              </w:rPr>
            </w:pPr>
            <w:r>
              <w:rPr>
                <w:rFonts w:hint="eastAsia"/>
                <w:sz w:val="24"/>
              </w:rPr>
              <w:t>地址:北京市海淀区中关村南大街乙12号天作国际大厦A座28层</w:t>
            </w:r>
          </w:p>
          <w:p>
            <w:pPr>
              <w:spacing w:line="360" w:lineRule="auto"/>
              <w:rPr>
                <w:sz w:val="24"/>
              </w:rPr>
            </w:pPr>
            <w:r>
              <w:rPr>
                <w:rFonts w:hint="eastAsia"/>
                <w:sz w:val="24"/>
              </w:rPr>
              <w:t>联系人：   李玉春                 手机：13910831169</w:t>
            </w:r>
          </w:p>
          <w:p>
            <w:pPr>
              <w:spacing w:line="360" w:lineRule="auto"/>
              <w:rPr>
                <w:sz w:val="24"/>
              </w:rPr>
            </w:pPr>
            <w:r>
              <w:rPr>
                <w:rFonts w:hint="eastAsia"/>
                <w:sz w:val="24"/>
              </w:rPr>
              <w:t>联系电话： 010-59705232           传真：010-59705606</w:t>
            </w:r>
          </w:p>
          <w:p>
            <w:pPr>
              <w:spacing w:line="360" w:lineRule="auto"/>
              <w:rPr>
                <w:rFonts w:ascii="宋体" w:hAnsi="宋体"/>
                <w:sz w:val="24"/>
              </w:rPr>
            </w:pPr>
            <w:r>
              <w:rPr>
                <w:rFonts w:hint="eastAsia"/>
                <w:sz w:val="24"/>
              </w:rPr>
              <w:t>电子邮箱： li_yuchu@126.com</w:t>
            </w:r>
          </w:p>
        </w:tc>
      </w:tr>
    </w:tbl>
    <w:p>
      <w:pPr>
        <w:pStyle w:val="2"/>
        <w:spacing w:line="360" w:lineRule="auto"/>
        <w:jc w:val="both"/>
        <w:rPr>
          <w:rFonts w:hAnsi="宋体"/>
          <w:sz w:val="24"/>
          <w:szCs w:val="24"/>
        </w:rPr>
      </w:pPr>
    </w:p>
    <w:p>
      <w:pPr>
        <w:pStyle w:val="2"/>
        <w:spacing w:before="0" w:line="360" w:lineRule="auto"/>
        <w:rPr>
          <w:rFonts w:hAnsi="宋体"/>
          <w:szCs w:val="28"/>
        </w:rPr>
      </w:pPr>
      <w:r>
        <w:rPr>
          <w:rFonts w:hAnsi="宋体"/>
          <w:sz w:val="24"/>
          <w:szCs w:val="24"/>
        </w:rPr>
        <w:br w:type="page"/>
      </w:r>
      <w:bookmarkStart w:id="10" w:name="_Toc497905806"/>
      <w:bookmarkStart w:id="11" w:name="_Toc310195692"/>
      <w:r>
        <w:rPr>
          <w:rFonts w:hint="eastAsia" w:hAnsi="宋体"/>
          <w:szCs w:val="28"/>
        </w:rPr>
        <w:t>第三章  投标人须知</w:t>
      </w:r>
      <w:bookmarkEnd w:id="10"/>
      <w:bookmarkEnd w:id="11"/>
    </w:p>
    <w:p>
      <w:pPr>
        <w:pStyle w:val="5"/>
        <w:spacing w:line="360" w:lineRule="auto"/>
        <w:ind w:left="899" w:hanging="899"/>
        <w:jc w:val="center"/>
        <w:rPr>
          <w:rFonts w:hint="default"/>
          <w:sz w:val="28"/>
          <w:szCs w:val="28"/>
        </w:rPr>
      </w:pPr>
      <w:bookmarkStart w:id="12" w:name="_Toc497905807"/>
      <w:bookmarkStart w:id="13" w:name="_Toc310195693"/>
      <w:bookmarkStart w:id="14" w:name="_Toc520356143"/>
      <w:r>
        <w:rPr>
          <w:sz w:val="28"/>
          <w:szCs w:val="28"/>
        </w:rPr>
        <w:t>一   说  明</w:t>
      </w:r>
      <w:bookmarkEnd w:id="12"/>
      <w:bookmarkEnd w:id="13"/>
      <w:bookmarkEnd w:id="14"/>
    </w:p>
    <w:p>
      <w:pPr>
        <w:pStyle w:val="5"/>
        <w:spacing w:line="360" w:lineRule="auto"/>
        <w:ind w:right="105" w:rightChars="50"/>
        <w:jc w:val="both"/>
        <w:rPr>
          <w:rFonts w:hint="default"/>
          <w:b/>
          <w:sz w:val="24"/>
        </w:rPr>
      </w:pPr>
      <w:bookmarkStart w:id="15" w:name="_Toc324255539"/>
      <w:bookmarkStart w:id="16" w:name="_Toc497905808"/>
      <w:r>
        <w:rPr>
          <w:b/>
          <w:sz w:val="24"/>
        </w:rPr>
        <w:t>1.采购人、采购代理机构及合格的投标人</w:t>
      </w:r>
      <w:bookmarkEnd w:id="15"/>
      <w:bookmarkEnd w:id="16"/>
    </w:p>
    <w:p>
      <w:pPr>
        <w:pStyle w:val="110"/>
        <w:spacing w:line="360" w:lineRule="auto"/>
        <w:rPr>
          <w:rFonts w:ascii="宋体" w:hAnsi="宋体"/>
          <w:sz w:val="24"/>
        </w:rPr>
      </w:pPr>
      <w:r>
        <w:rPr>
          <w:rFonts w:hint="eastAsia" w:ascii="宋体" w:hAnsi="宋体"/>
          <w:sz w:val="24"/>
        </w:rPr>
        <w:t>1.1 采购人：指依法进行本次政府采购招标活动中的国家机关、事业单位、团体组织。</w:t>
      </w:r>
    </w:p>
    <w:p>
      <w:pPr>
        <w:pStyle w:val="110"/>
        <w:spacing w:line="360" w:lineRule="auto"/>
        <w:rPr>
          <w:rFonts w:ascii="宋体" w:hAnsi="宋体"/>
          <w:sz w:val="24"/>
        </w:rPr>
      </w:pPr>
      <w:r>
        <w:rPr>
          <w:rFonts w:hint="eastAsia" w:ascii="宋体" w:hAnsi="宋体"/>
          <w:sz w:val="24"/>
        </w:rPr>
        <w:t>1.2 采购代理机构：受采购人委托，组织本次招标活动的采购代理机构。本项目的采购代理机构为北京华采招标代理有限公司。</w:t>
      </w:r>
    </w:p>
    <w:p>
      <w:pPr>
        <w:pStyle w:val="110"/>
        <w:spacing w:line="360" w:lineRule="auto"/>
        <w:rPr>
          <w:rFonts w:ascii="宋体" w:hAnsi="宋体"/>
          <w:sz w:val="24"/>
        </w:rPr>
      </w:pPr>
      <w:r>
        <w:rPr>
          <w:rFonts w:hint="eastAsia" w:ascii="宋体" w:hAnsi="宋体"/>
          <w:sz w:val="24"/>
        </w:rPr>
        <w:t>1.3 合格的投标人</w:t>
      </w:r>
    </w:p>
    <w:p>
      <w:pPr>
        <w:pStyle w:val="110"/>
        <w:spacing w:line="360" w:lineRule="auto"/>
        <w:rPr>
          <w:rFonts w:ascii="宋体" w:hAnsi="宋体"/>
          <w:sz w:val="24"/>
        </w:rPr>
      </w:pPr>
      <w:r>
        <w:rPr>
          <w:rFonts w:hint="eastAsia" w:ascii="宋体" w:hAnsi="宋体"/>
          <w:sz w:val="24"/>
        </w:rPr>
        <w:t>1.3.1</w:t>
      </w:r>
      <w:r>
        <w:rPr>
          <w:rFonts w:ascii="宋体" w:hAnsi="宋体"/>
          <w:sz w:val="24"/>
        </w:rPr>
        <w:t>符合第一章投标邀请中“投标人资格</w:t>
      </w:r>
      <w:r>
        <w:rPr>
          <w:rFonts w:hint="eastAsia" w:ascii="宋体" w:hAnsi="宋体"/>
          <w:sz w:val="24"/>
        </w:rPr>
        <w:t>要求</w:t>
      </w:r>
      <w:r>
        <w:rPr>
          <w:rFonts w:ascii="宋体" w:hAnsi="宋体"/>
          <w:sz w:val="24"/>
        </w:rPr>
        <w:t>”中规定的</w:t>
      </w:r>
      <w:r>
        <w:rPr>
          <w:rFonts w:hint="eastAsia" w:ascii="宋体" w:hAnsi="宋体"/>
          <w:sz w:val="24"/>
        </w:rPr>
        <w:t>内容</w:t>
      </w:r>
      <w:r>
        <w:rPr>
          <w:rFonts w:ascii="宋体" w:hAnsi="宋体"/>
          <w:sz w:val="24"/>
        </w:rPr>
        <w:t>；</w:t>
      </w:r>
    </w:p>
    <w:p>
      <w:pPr>
        <w:pStyle w:val="110"/>
        <w:spacing w:line="360" w:lineRule="auto"/>
        <w:rPr>
          <w:rFonts w:ascii="宋体" w:hAnsi="宋体"/>
          <w:sz w:val="24"/>
        </w:rPr>
      </w:pPr>
      <w:r>
        <w:rPr>
          <w:rFonts w:hint="eastAsia" w:ascii="宋体" w:hAnsi="宋体"/>
          <w:sz w:val="24"/>
        </w:rPr>
        <w:t>1.3.2</w:t>
      </w:r>
      <w:r>
        <w:rPr>
          <w:rFonts w:ascii="宋体" w:hAnsi="宋体"/>
          <w:sz w:val="24"/>
        </w:rPr>
        <w:t>投标人必须向采购代理机构购买招标文件并登记备案，未经向</w:t>
      </w:r>
      <w:r>
        <w:rPr>
          <w:rFonts w:hint="eastAsia" w:ascii="宋体" w:hAnsi="宋体"/>
          <w:sz w:val="24"/>
        </w:rPr>
        <w:t>采购代理机构</w:t>
      </w:r>
      <w:r>
        <w:rPr>
          <w:rFonts w:ascii="宋体" w:hAnsi="宋体"/>
          <w:sz w:val="24"/>
        </w:rPr>
        <w:t>购买招标文件并登记备案的潜在投标人均无资格参加本次投标。</w:t>
      </w:r>
    </w:p>
    <w:p>
      <w:pPr>
        <w:pStyle w:val="110"/>
        <w:spacing w:line="360" w:lineRule="auto"/>
        <w:rPr>
          <w:rFonts w:ascii="宋体" w:hAnsi="宋体"/>
          <w:sz w:val="24"/>
        </w:rPr>
      </w:pPr>
      <w:r>
        <w:rPr>
          <w:rFonts w:hint="eastAsia" w:ascii="宋体" w:hAnsi="宋体"/>
          <w:sz w:val="24"/>
        </w:rPr>
        <w:t>1.3.3如投标人须知资料表中允许联合体投标，对联合体规定如下：</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1两个以上供应商可以组成一个投标联合体，以一个投标人的身份投标。</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2联合体各方均应符合《中华人民共和国政府采购法》第二十二条规定的条件。</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3采购人根据采购项目对投标人的特殊要求，联合体中至少应当有一方符合其规定。</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4联合体各方应签订共同投标协议，明确约定联合体各方承担的工作和相应的责任，并将共同投标协议连同投标文件一并提交招标采购单位。</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5大中型企业和其他自然人、法人或者其他组织与小型、微型企业组成联合体共同参加投标，共同投标协议中应写明小型、微型企业的协议合同金额占到共同投标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6联合体各方签订共同投标协议后，不得再以自己名义单独在同一项目中投标，也不得组成新的联合体参加同一项目投标。</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7联合体各方在同一招标项目中以自己名义单独投标或者参加其他联合体投标的，相关投标均无效。</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 </w:t>
      </w:r>
      <w:r>
        <w:rPr>
          <w:rFonts w:hint="eastAsia" w:ascii="宋体" w:hAnsi="宋体"/>
          <w:sz w:val="24"/>
        </w:rPr>
        <w:t>8对联合体投标的其他资格要求见投标人须知资料表。</w:t>
      </w:r>
    </w:p>
    <w:p>
      <w:pPr>
        <w:pStyle w:val="110"/>
        <w:spacing w:line="360" w:lineRule="auto"/>
        <w:rPr>
          <w:rFonts w:ascii="宋体" w:hAnsi="宋体"/>
          <w:sz w:val="24"/>
        </w:rPr>
      </w:pPr>
      <w:r>
        <w:rPr>
          <w:rFonts w:hint="eastAsia" w:ascii="宋体" w:hAnsi="宋体"/>
          <w:sz w:val="24"/>
        </w:rPr>
        <w:t>1.3.4如经财政主管部门批准可以采购进口产品，将在投标人须知资料表中写明。但投标人应保证所投产品已在中国关境内并已履行合法报通关手续。若投标人须知资料表中未写明允许采购进口产品，如投标人所投产品为进口产品，其投标将作为无效投标被拒绝。</w:t>
      </w:r>
    </w:p>
    <w:p>
      <w:pPr>
        <w:pStyle w:val="110"/>
        <w:spacing w:line="360" w:lineRule="auto"/>
        <w:rPr>
          <w:rFonts w:ascii="宋体" w:hAnsi="宋体"/>
          <w:sz w:val="24"/>
        </w:rPr>
      </w:pPr>
      <w:r>
        <w:rPr>
          <w:rFonts w:ascii="宋体" w:hAnsi="宋体"/>
          <w:sz w:val="24"/>
        </w:rPr>
        <w:t>1.3.</w:t>
      </w:r>
      <w:r>
        <w:rPr>
          <w:rFonts w:hint="eastAsia" w:ascii="宋体" w:hAnsi="宋体"/>
          <w:sz w:val="24"/>
        </w:rPr>
        <w:t>5若投标人须知资料表中写明专门面向中、小、微型企业、监狱企业或残疾人福利性单位产品采购的，如投标人所投产品为非中小企业产品、监狱企业或残疾人福利性单位产品，其投标将作为无效投标被拒绝（如适用）。</w:t>
      </w:r>
    </w:p>
    <w:p>
      <w:pPr>
        <w:pStyle w:val="110"/>
        <w:spacing w:line="360" w:lineRule="auto"/>
        <w:rPr>
          <w:rFonts w:ascii="宋体" w:hAnsi="宋体"/>
          <w:sz w:val="24"/>
        </w:rPr>
      </w:pPr>
      <w:r>
        <w:rPr>
          <w:rFonts w:hint="eastAsia" w:ascii="宋体" w:hAnsi="宋体"/>
          <w:sz w:val="24"/>
        </w:rPr>
        <w:t>1.4“服务”系指招标文件规定投标人须承担的服务。</w:t>
      </w:r>
    </w:p>
    <w:p>
      <w:pPr>
        <w:pStyle w:val="110"/>
        <w:spacing w:line="360" w:lineRule="auto"/>
        <w:rPr>
          <w:rFonts w:ascii="宋体" w:hAnsi="宋体"/>
          <w:sz w:val="24"/>
        </w:rPr>
      </w:pPr>
      <w:r>
        <w:rPr>
          <w:rFonts w:hint="eastAsia" w:ascii="宋体" w:hAnsi="宋体"/>
          <w:sz w:val="24"/>
        </w:rPr>
        <w:t>1.5凡受托为本次招标标的进行设计、编制规范和其他文件的咨询公司及相关联的附属机构，不得参与投标。</w:t>
      </w:r>
    </w:p>
    <w:p>
      <w:pPr>
        <w:pStyle w:val="110"/>
        <w:spacing w:line="360" w:lineRule="auto"/>
        <w:rPr>
          <w:rFonts w:ascii="宋体" w:hAnsi="宋体"/>
          <w:sz w:val="24"/>
        </w:rPr>
      </w:pPr>
      <w:r>
        <w:rPr>
          <w:rFonts w:hint="eastAsia" w:ascii="宋体" w:hAnsi="宋体"/>
          <w:sz w:val="24"/>
        </w:rPr>
        <w:t>1.6凡在法律或财务上不能独立合法经营，或在法律、财务上不能独立于本项目招标采购单位的任何机构，不得参加投标。</w:t>
      </w:r>
    </w:p>
    <w:p>
      <w:pPr>
        <w:pStyle w:val="110"/>
        <w:spacing w:line="360" w:lineRule="auto"/>
        <w:rPr>
          <w:rFonts w:ascii="宋体" w:hAnsi="宋体"/>
          <w:sz w:val="24"/>
        </w:rPr>
      </w:pPr>
      <w:r>
        <w:rPr>
          <w:rFonts w:hint="eastAsia" w:ascii="宋体" w:hAnsi="宋体"/>
          <w:sz w:val="24"/>
        </w:rPr>
        <w:t>1.7投标人在投标过程中不得向采购人和采购代理机构提供、给予任何有价值的物品，一经发现，其投标人资格将被取消。</w:t>
      </w:r>
    </w:p>
    <w:p>
      <w:pPr>
        <w:pStyle w:val="110"/>
        <w:spacing w:line="360" w:lineRule="auto"/>
        <w:rPr>
          <w:rFonts w:ascii="宋体" w:hAnsi="宋体"/>
          <w:sz w:val="24"/>
        </w:rPr>
      </w:pPr>
      <w:r>
        <w:rPr>
          <w:rFonts w:hint="eastAsia" w:ascii="宋体" w:hAnsi="宋体"/>
          <w:sz w:val="24"/>
        </w:rPr>
        <w:t>1.8采购人和采购代理机构在任何时候发现投标人以他人名义投标、相互串通投标，投标人提交的投标文件中提交虚假资料或失实资料的，或者以其他方式弄虚作假的，其投标将被拒绝并没收其投标保证金，并视情况依法追究责任。</w:t>
      </w:r>
    </w:p>
    <w:p>
      <w:pPr>
        <w:pStyle w:val="5"/>
        <w:spacing w:line="360" w:lineRule="auto"/>
        <w:rPr>
          <w:rFonts w:hint="default"/>
          <w:b/>
          <w:sz w:val="24"/>
        </w:rPr>
      </w:pPr>
      <w:bookmarkStart w:id="17" w:name="_Toc497905809"/>
      <w:bookmarkStart w:id="18" w:name="_Toc324255540"/>
      <w:bookmarkStart w:id="19" w:name="_Toc310195695"/>
      <w:r>
        <w:rPr>
          <w:b/>
          <w:sz w:val="24"/>
        </w:rPr>
        <w:t>2.资金来源</w:t>
      </w:r>
      <w:bookmarkEnd w:id="17"/>
      <w:bookmarkEnd w:id="18"/>
      <w:bookmarkEnd w:id="19"/>
    </w:p>
    <w:p>
      <w:pPr>
        <w:pStyle w:val="110"/>
        <w:spacing w:line="360" w:lineRule="auto"/>
        <w:rPr>
          <w:rFonts w:ascii="宋体" w:hAnsi="宋体"/>
          <w:sz w:val="24"/>
        </w:rPr>
      </w:pPr>
      <w:bookmarkStart w:id="20" w:name="_Toc520356145"/>
      <w:bookmarkStart w:id="21" w:name="_Toc310195696"/>
      <w:r>
        <w:rPr>
          <w:rFonts w:ascii="宋体" w:hAnsi="宋体"/>
          <w:sz w:val="24"/>
        </w:rPr>
        <w:t>2.1</w:t>
      </w:r>
      <w:r>
        <w:rPr>
          <w:rFonts w:hint="eastAsia" w:ascii="宋体" w:hAnsi="宋体"/>
          <w:sz w:val="24"/>
        </w:rPr>
        <w:t>财政资金，资金已落实。</w:t>
      </w:r>
    </w:p>
    <w:p>
      <w:pPr>
        <w:pStyle w:val="110"/>
        <w:spacing w:line="360" w:lineRule="auto"/>
        <w:rPr>
          <w:rFonts w:ascii="宋体" w:hAnsi="宋体"/>
          <w:sz w:val="24"/>
        </w:rPr>
      </w:pPr>
      <w:r>
        <w:rPr>
          <w:rFonts w:hint="eastAsia" w:ascii="宋体" w:hAnsi="宋体"/>
          <w:sz w:val="24"/>
        </w:rPr>
        <w:t>2.2 项目预算金额见投标人须知资料表。</w:t>
      </w:r>
    </w:p>
    <w:p>
      <w:pPr>
        <w:pStyle w:val="5"/>
        <w:spacing w:line="360" w:lineRule="auto"/>
        <w:rPr>
          <w:rFonts w:hint="default"/>
          <w:b/>
          <w:sz w:val="24"/>
        </w:rPr>
      </w:pPr>
      <w:bookmarkStart w:id="22" w:name="_Toc497905810"/>
      <w:bookmarkStart w:id="23" w:name="_Toc324255541"/>
      <w:r>
        <w:rPr>
          <w:b/>
          <w:sz w:val="24"/>
        </w:rPr>
        <w:t>3.投标费用</w:t>
      </w:r>
      <w:bookmarkEnd w:id="20"/>
      <w:bookmarkEnd w:id="21"/>
      <w:bookmarkEnd w:id="22"/>
      <w:bookmarkEnd w:id="23"/>
    </w:p>
    <w:p>
      <w:pPr>
        <w:pStyle w:val="110"/>
        <w:spacing w:line="360" w:lineRule="auto"/>
        <w:rPr>
          <w:rFonts w:ascii="宋体" w:hAnsi="宋体"/>
          <w:sz w:val="24"/>
        </w:rPr>
      </w:pPr>
      <w:r>
        <w:rPr>
          <w:rFonts w:hint="eastAsia" w:ascii="宋体" w:hAnsi="宋体"/>
          <w:sz w:val="24"/>
        </w:rPr>
        <w:t>3.1 投标人应承担所有与准备和参加投标有关的费用。不论投标的结果如何，采购人和采购代理机构均无义务和责任承担这些费用。</w:t>
      </w:r>
    </w:p>
    <w:p>
      <w:pPr>
        <w:pStyle w:val="5"/>
        <w:spacing w:line="360" w:lineRule="auto"/>
        <w:ind w:left="901" w:hanging="899"/>
        <w:jc w:val="center"/>
        <w:rPr>
          <w:rFonts w:hint="default"/>
          <w:sz w:val="24"/>
        </w:rPr>
      </w:pPr>
      <w:bookmarkStart w:id="24" w:name="_Toc310195697"/>
      <w:bookmarkStart w:id="25" w:name="_Toc497905811"/>
      <w:bookmarkStart w:id="26" w:name="_Toc520356146"/>
      <w:r>
        <w:rPr>
          <w:sz w:val="24"/>
        </w:rPr>
        <w:t>二   招标文件</w:t>
      </w:r>
      <w:bookmarkEnd w:id="24"/>
      <w:bookmarkEnd w:id="25"/>
      <w:bookmarkEnd w:id="26"/>
    </w:p>
    <w:p>
      <w:pPr>
        <w:pStyle w:val="5"/>
        <w:spacing w:line="360" w:lineRule="auto"/>
        <w:rPr>
          <w:rFonts w:hint="default"/>
          <w:b/>
          <w:sz w:val="24"/>
        </w:rPr>
      </w:pPr>
      <w:bookmarkStart w:id="27" w:name="_Toc520356147"/>
      <w:bookmarkStart w:id="28" w:name="_Toc310195698"/>
      <w:bookmarkStart w:id="29" w:name="_Toc497905812"/>
      <w:r>
        <w:rPr>
          <w:b/>
          <w:sz w:val="24"/>
        </w:rPr>
        <w:t>4.招标文件构成</w:t>
      </w:r>
      <w:bookmarkEnd w:id="27"/>
      <w:bookmarkEnd w:id="28"/>
      <w:bookmarkEnd w:id="29"/>
    </w:p>
    <w:p>
      <w:pPr>
        <w:pStyle w:val="110"/>
        <w:spacing w:line="360" w:lineRule="auto"/>
        <w:rPr>
          <w:rFonts w:ascii="宋体" w:hAnsi="宋体"/>
          <w:sz w:val="24"/>
        </w:rPr>
      </w:pPr>
      <w:r>
        <w:rPr>
          <w:rFonts w:hint="eastAsia" w:ascii="宋体" w:hAnsi="宋体"/>
          <w:sz w:val="24"/>
        </w:rPr>
        <w:t>4.1 要求提供的服务、招标过程和合同条件在招标文件中均有说明。</w:t>
      </w:r>
    </w:p>
    <w:p>
      <w:pPr>
        <w:pStyle w:val="110"/>
        <w:spacing w:line="360" w:lineRule="auto"/>
        <w:rPr>
          <w:rFonts w:ascii="宋体" w:hAnsi="宋体"/>
          <w:sz w:val="24"/>
        </w:rPr>
      </w:pPr>
      <w:r>
        <w:rPr>
          <w:rFonts w:hint="eastAsia" w:ascii="宋体" w:hAnsi="宋体"/>
          <w:sz w:val="24"/>
        </w:rPr>
        <w:t xml:space="preserve">招标文件共七章，内容如下： </w:t>
      </w:r>
    </w:p>
    <w:p>
      <w:pPr>
        <w:pStyle w:val="110"/>
        <w:spacing w:line="360" w:lineRule="auto"/>
        <w:rPr>
          <w:rFonts w:ascii="宋体" w:hAnsi="宋体"/>
          <w:sz w:val="24"/>
        </w:rPr>
      </w:pPr>
      <w:r>
        <w:rPr>
          <w:rFonts w:hint="eastAsia" w:ascii="宋体" w:hAnsi="宋体"/>
          <w:sz w:val="24"/>
        </w:rPr>
        <w:t>第一章 投标邀请</w:t>
      </w:r>
    </w:p>
    <w:p>
      <w:pPr>
        <w:pStyle w:val="110"/>
        <w:spacing w:line="360" w:lineRule="auto"/>
        <w:rPr>
          <w:rFonts w:ascii="宋体" w:hAnsi="宋体"/>
          <w:sz w:val="24"/>
        </w:rPr>
      </w:pPr>
      <w:r>
        <w:rPr>
          <w:rFonts w:hint="eastAsia" w:ascii="宋体" w:hAnsi="宋体"/>
          <w:sz w:val="24"/>
        </w:rPr>
        <w:t>第二章 投标人须知资料表</w:t>
      </w:r>
    </w:p>
    <w:p>
      <w:pPr>
        <w:pStyle w:val="110"/>
        <w:spacing w:line="360" w:lineRule="auto"/>
        <w:rPr>
          <w:rFonts w:ascii="宋体" w:hAnsi="宋体"/>
          <w:sz w:val="24"/>
        </w:rPr>
      </w:pPr>
      <w:r>
        <w:rPr>
          <w:rFonts w:hint="eastAsia" w:ascii="宋体" w:hAnsi="宋体"/>
          <w:sz w:val="24"/>
        </w:rPr>
        <w:t>第三章 投标人须知</w:t>
      </w:r>
    </w:p>
    <w:p>
      <w:pPr>
        <w:pStyle w:val="110"/>
        <w:spacing w:line="360" w:lineRule="auto"/>
        <w:rPr>
          <w:rFonts w:ascii="宋体" w:hAnsi="宋体"/>
          <w:sz w:val="24"/>
        </w:rPr>
      </w:pPr>
      <w:r>
        <w:rPr>
          <w:rFonts w:hint="eastAsia" w:ascii="宋体" w:hAnsi="宋体"/>
          <w:sz w:val="24"/>
        </w:rPr>
        <w:t>第四章 技术需求</w:t>
      </w:r>
    </w:p>
    <w:p>
      <w:pPr>
        <w:pStyle w:val="110"/>
        <w:spacing w:line="360" w:lineRule="auto"/>
        <w:rPr>
          <w:rFonts w:ascii="宋体" w:hAnsi="宋体"/>
          <w:sz w:val="24"/>
        </w:rPr>
      </w:pPr>
      <w:r>
        <w:rPr>
          <w:rFonts w:hint="eastAsia" w:ascii="宋体" w:hAnsi="宋体"/>
          <w:sz w:val="24"/>
        </w:rPr>
        <w:t>第五章 评分办法及评分标准</w:t>
      </w:r>
    </w:p>
    <w:p>
      <w:pPr>
        <w:pStyle w:val="110"/>
        <w:spacing w:line="360" w:lineRule="auto"/>
        <w:rPr>
          <w:rFonts w:ascii="宋体" w:hAnsi="宋体"/>
          <w:sz w:val="24"/>
        </w:rPr>
      </w:pPr>
      <w:r>
        <w:rPr>
          <w:rFonts w:hint="eastAsia" w:ascii="宋体" w:hAnsi="宋体"/>
          <w:sz w:val="24"/>
        </w:rPr>
        <w:t>第六章 服务合同</w:t>
      </w:r>
    </w:p>
    <w:p>
      <w:pPr>
        <w:pStyle w:val="110"/>
        <w:spacing w:line="360" w:lineRule="auto"/>
        <w:rPr>
          <w:rFonts w:ascii="宋体" w:hAnsi="宋体"/>
          <w:sz w:val="24"/>
        </w:rPr>
      </w:pPr>
      <w:r>
        <w:rPr>
          <w:rFonts w:hint="eastAsia" w:ascii="宋体" w:hAnsi="宋体"/>
          <w:sz w:val="24"/>
        </w:rPr>
        <w:t>第七章 投标文件格式</w:t>
      </w:r>
    </w:p>
    <w:p>
      <w:pPr>
        <w:pStyle w:val="110"/>
        <w:spacing w:line="360" w:lineRule="auto"/>
        <w:rPr>
          <w:rFonts w:ascii="宋体" w:hAnsi="宋体"/>
          <w:sz w:val="24"/>
        </w:rPr>
      </w:pPr>
      <w:r>
        <w:rPr>
          <w:rFonts w:hint="eastAsia" w:ascii="宋体" w:hAnsi="宋体"/>
          <w:sz w:val="24"/>
        </w:rPr>
        <w:t>4.2 投标人应认真阅读招标文件所有的事项、格式、条款和技术规范等。如投标人没有按照招标文件要求提交全部资料，或者投标没有对招标文件在各方面都做出响应是投标人的风险，并可能导致其投标被拒绝。</w:t>
      </w:r>
    </w:p>
    <w:p>
      <w:pPr>
        <w:pStyle w:val="5"/>
        <w:spacing w:line="360" w:lineRule="auto"/>
        <w:rPr>
          <w:rFonts w:hint="default"/>
          <w:b/>
          <w:sz w:val="24"/>
        </w:rPr>
      </w:pPr>
      <w:bookmarkStart w:id="30" w:name="_Toc310195699"/>
      <w:bookmarkStart w:id="31" w:name="_Toc497905813"/>
      <w:bookmarkStart w:id="32" w:name="_Toc520356148"/>
      <w:r>
        <w:rPr>
          <w:b/>
          <w:sz w:val="24"/>
        </w:rPr>
        <w:t>5.招标文件的澄清</w:t>
      </w:r>
      <w:bookmarkEnd w:id="30"/>
      <w:bookmarkEnd w:id="31"/>
      <w:bookmarkEnd w:id="32"/>
    </w:p>
    <w:p>
      <w:pPr>
        <w:pStyle w:val="110"/>
        <w:spacing w:line="360" w:lineRule="auto"/>
        <w:rPr>
          <w:rFonts w:ascii="宋体" w:hAnsi="宋体"/>
          <w:sz w:val="24"/>
        </w:rPr>
      </w:pPr>
      <w:r>
        <w:rPr>
          <w:rFonts w:hint="eastAsia" w:ascii="宋体" w:hAnsi="宋体"/>
          <w:sz w:val="24"/>
        </w:rPr>
        <w:t>5.1</w:t>
      </w:r>
      <w:r>
        <w:rPr>
          <w:rFonts w:ascii="宋体" w:hAnsi="宋体"/>
          <w:sz w:val="24"/>
        </w:rPr>
        <w:t>任何要求对招标文件进行澄清的投标人，均应以书面形式通知</w:t>
      </w:r>
      <w:r>
        <w:rPr>
          <w:rFonts w:hint="eastAsia" w:ascii="宋体" w:hAnsi="宋体"/>
          <w:sz w:val="24"/>
        </w:rPr>
        <w:t>采购代理机构</w:t>
      </w:r>
      <w:r>
        <w:rPr>
          <w:rFonts w:ascii="宋体" w:hAnsi="宋体"/>
          <w:sz w:val="24"/>
        </w:rPr>
        <w:t>和采购人，</w:t>
      </w:r>
      <w:r>
        <w:rPr>
          <w:rFonts w:hint="eastAsia" w:ascii="宋体" w:hAnsi="宋体"/>
          <w:sz w:val="24"/>
        </w:rPr>
        <w:t>采购代理机构</w:t>
      </w:r>
      <w:r>
        <w:rPr>
          <w:rFonts w:ascii="宋体" w:hAnsi="宋体"/>
          <w:sz w:val="24"/>
        </w:rPr>
        <w:t>对其在“投标人须知资料表”中所述投标截止期十五</w:t>
      </w:r>
      <w:r>
        <w:rPr>
          <w:rFonts w:hint="eastAsia" w:ascii="宋体" w:hAnsi="宋体"/>
          <w:sz w:val="24"/>
        </w:rPr>
        <w:t>日</w:t>
      </w:r>
      <w:r>
        <w:rPr>
          <w:rFonts w:ascii="宋体" w:hAnsi="宋体"/>
          <w:sz w:val="24"/>
        </w:rPr>
        <w:t>以前收到的对招标文件的澄清要求均以书面形式予以答复，同时将书面答复发给每个购买招标文件的投标人（答复中不包括问题的来源）。</w:t>
      </w:r>
    </w:p>
    <w:p>
      <w:pPr>
        <w:pStyle w:val="5"/>
        <w:spacing w:line="360" w:lineRule="auto"/>
        <w:rPr>
          <w:rFonts w:hint="default"/>
          <w:b/>
          <w:sz w:val="24"/>
        </w:rPr>
      </w:pPr>
      <w:bookmarkStart w:id="33" w:name="_Toc497905814"/>
      <w:bookmarkStart w:id="34" w:name="_Toc520356149"/>
      <w:bookmarkStart w:id="35" w:name="_Ref467378678"/>
      <w:bookmarkStart w:id="36" w:name="_Toc310195700"/>
      <w:r>
        <w:rPr>
          <w:b/>
          <w:sz w:val="24"/>
        </w:rPr>
        <w:t>6.招标文件的修改</w:t>
      </w:r>
      <w:bookmarkEnd w:id="33"/>
      <w:bookmarkEnd w:id="34"/>
      <w:bookmarkEnd w:id="35"/>
      <w:bookmarkEnd w:id="36"/>
    </w:p>
    <w:p>
      <w:pPr>
        <w:pStyle w:val="110"/>
        <w:spacing w:line="360" w:lineRule="auto"/>
        <w:rPr>
          <w:rFonts w:ascii="宋体" w:hAnsi="宋体"/>
          <w:sz w:val="24"/>
        </w:rPr>
      </w:pPr>
      <w:r>
        <w:rPr>
          <w:rFonts w:hint="eastAsia" w:ascii="宋体" w:hAnsi="宋体"/>
          <w:sz w:val="24"/>
        </w:rPr>
        <w:t>6.1在投标截止期十五日前，采购代理机构可主动地或在解答投标人提出的澄清问题时对招标文件进行修改。</w:t>
      </w:r>
    </w:p>
    <w:p>
      <w:pPr>
        <w:pStyle w:val="110"/>
        <w:spacing w:line="360" w:lineRule="auto"/>
        <w:rPr>
          <w:rFonts w:ascii="宋体" w:hAnsi="宋体"/>
          <w:sz w:val="24"/>
        </w:rPr>
      </w:pPr>
      <w:r>
        <w:rPr>
          <w:rFonts w:hint="eastAsia" w:ascii="宋体" w:hAnsi="宋体"/>
          <w:sz w:val="24"/>
        </w:rPr>
        <w:t>6.2 招标文件的修改应以书面形式通知所有购买招标文件的投标人，并对招、投标双方具有约束力。投标人在收到上述通知后，应立即向采购代理机构回函确认。</w:t>
      </w:r>
    </w:p>
    <w:p>
      <w:pPr>
        <w:pStyle w:val="110"/>
        <w:spacing w:line="360" w:lineRule="auto"/>
        <w:rPr>
          <w:rFonts w:ascii="宋体" w:hAnsi="宋体"/>
          <w:sz w:val="24"/>
        </w:rPr>
      </w:pPr>
      <w:r>
        <w:rPr>
          <w:rFonts w:hint="eastAsia" w:ascii="宋体" w:hAnsi="宋体"/>
          <w:sz w:val="24"/>
        </w:rPr>
        <w:t>6.3为使投标人准备投标时有足够的时间对招标文件的修改部分进行应答，采购代理机构有权决定是否延长投标截止期。</w:t>
      </w:r>
    </w:p>
    <w:p>
      <w:pPr>
        <w:pStyle w:val="5"/>
        <w:spacing w:line="360" w:lineRule="auto"/>
        <w:ind w:left="899" w:hanging="899"/>
        <w:jc w:val="center"/>
        <w:rPr>
          <w:rFonts w:hint="default"/>
          <w:sz w:val="24"/>
        </w:rPr>
      </w:pPr>
      <w:bookmarkStart w:id="37" w:name="_Toc516367020"/>
      <w:bookmarkStart w:id="38" w:name="_Toc520356150"/>
      <w:bookmarkStart w:id="39" w:name="_Toc310195701"/>
      <w:bookmarkStart w:id="40" w:name="_Toc497905815"/>
      <w:r>
        <w:rPr>
          <w:sz w:val="24"/>
        </w:rPr>
        <w:t>三   投标文件</w:t>
      </w:r>
      <w:bookmarkEnd w:id="37"/>
      <w:r>
        <w:rPr>
          <w:sz w:val="24"/>
        </w:rPr>
        <w:t>的编制</w:t>
      </w:r>
      <w:bookmarkEnd w:id="38"/>
      <w:bookmarkEnd w:id="39"/>
      <w:bookmarkEnd w:id="40"/>
    </w:p>
    <w:p>
      <w:pPr>
        <w:pStyle w:val="5"/>
        <w:spacing w:line="360" w:lineRule="auto"/>
        <w:rPr>
          <w:rFonts w:hint="default"/>
          <w:b/>
          <w:sz w:val="24"/>
        </w:rPr>
      </w:pPr>
      <w:bookmarkStart w:id="41" w:name="_Toc213818725"/>
      <w:bookmarkStart w:id="42" w:name="_Toc497905816"/>
      <w:bookmarkStart w:id="43" w:name="_Toc310195702"/>
      <w:bookmarkStart w:id="44" w:name="_Toc516367021"/>
      <w:bookmarkStart w:id="45" w:name="_Toc520356151"/>
      <w:r>
        <w:rPr>
          <w:b/>
          <w:sz w:val="24"/>
        </w:rPr>
        <w:t>7.投标文件编制的原则</w:t>
      </w:r>
      <w:bookmarkEnd w:id="41"/>
      <w:bookmarkEnd w:id="42"/>
      <w:bookmarkEnd w:id="43"/>
    </w:p>
    <w:p>
      <w:pPr>
        <w:pStyle w:val="110"/>
        <w:spacing w:line="360" w:lineRule="auto"/>
        <w:rPr>
          <w:rFonts w:ascii="宋体" w:hAnsi="宋体"/>
          <w:b/>
          <w:sz w:val="24"/>
        </w:rPr>
      </w:pPr>
      <w:r>
        <w:rPr>
          <w:rFonts w:hint="eastAsia" w:ascii="宋体" w:hAnsi="宋体"/>
          <w:sz w:val="24"/>
        </w:rPr>
        <w:t>7.1潜在投标人应在认真阅读招标文件所有内容的基础上，按照招标文件的要求编制完整的投标文件。招标文件中对投标文件格式有要求的，应按格式逐项填写内容，不准有空项；无相应内容可填的项应填写“无”、“未测试”、“没有相应指标”等明确的文字回答。</w:t>
      </w:r>
    </w:p>
    <w:p>
      <w:pPr>
        <w:pStyle w:val="110"/>
        <w:spacing w:line="360" w:lineRule="auto"/>
      </w:pPr>
      <w:r>
        <w:rPr>
          <w:rFonts w:hint="eastAsia" w:ascii="宋体" w:hAnsi="宋体"/>
          <w:sz w:val="24"/>
        </w:rPr>
        <w:t>7.2 投标人必须保证投标文件所提供的全部资料真实可靠，并接受采购代理机构对其中任何资料做进一步审查的要求。</w:t>
      </w:r>
    </w:p>
    <w:p>
      <w:pPr>
        <w:pStyle w:val="5"/>
        <w:tabs>
          <w:tab w:val="left" w:pos="900"/>
        </w:tabs>
        <w:spacing w:line="360" w:lineRule="auto"/>
        <w:rPr>
          <w:rFonts w:hint="default"/>
          <w:b/>
          <w:sz w:val="24"/>
        </w:rPr>
      </w:pPr>
      <w:bookmarkStart w:id="46" w:name="_Toc497905817"/>
      <w:bookmarkStart w:id="47" w:name="_Toc310195703"/>
      <w:r>
        <w:rPr>
          <w:b/>
          <w:sz w:val="24"/>
        </w:rPr>
        <w:t>8.投标范围及投标文件中计量单位的使用</w:t>
      </w:r>
      <w:bookmarkEnd w:id="44"/>
      <w:bookmarkEnd w:id="45"/>
      <w:bookmarkEnd w:id="46"/>
      <w:bookmarkEnd w:id="47"/>
    </w:p>
    <w:p>
      <w:pPr>
        <w:pStyle w:val="110"/>
        <w:spacing w:line="360" w:lineRule="auto"/>
        <w:rPr>
          <w:rFonts w:ascii="宋体" w:hAnsi="宋体"/>
          <w:sz w:val="24"/>
        </w:rPr>
      </w:pPr>
      <w:r>
        <w:rPr>
          <w:rFonts w:hint="eastAsia" w:ascii="宋体" w:hAnsi="宋体"/>
          <w:sz w:val="24"/>
        </w:rPr>
        <w:t>8.1 投标人应对招标文件中“技术需求”所列的所有服务进行投标。如有分包，不得将一包中的内容拆开投标，否则其投标作为无效标处理。</w:t>
      </w:r>
    </w:p>
    <w:p>
      <w:pPr>
        <w:pStyle w:val="110"/>
        <w:spacing w:line="360" w:lineRule="auto"/>
        <w:rPr>
          <w:rFonts w:ascii="宋体" w:hAnsi="宋体"/>
          <w:sz w:val="24"/>
        </w:rPr>
      </w:pPr>
      <w:r>
        <w:rPr>
          <w:rFonts w:hint="eastAsia" w:ascii="宋体" w:hAnsi="宋体"/>
          <w:sz w:val="24"/>
        </w:rPr>
        <w:t>8.2 投标文件中所使用的计量单位，除招标文件中有特殊要求外，应采用中华人民共和国法定计量单位。</w:t>
      </w:r>
      <w:bookmarkStart w:id="48" w:name="_Ref467306195"/>
      <w:bookmarkStart w:id="49" w:name="_Ref467306676"/>
      <w:bookmarkStart w:id="50" w:name="_Toc516367022"/>
      <w:bookmarkStart w:id="51" w:name="_Toc520356152"/>
    </w:p>
    <w:p>
      <w:pPr>
        <w:pStyle w:val="5"/>
        <w:tabs>
          <w:tab w:val="left" w:pos="900"/>
        </w:tabs>
        <w:spacing w:line="360" w:lineRule="auto"/>
        <w:rPr>
          <w:rFonts w:hint="default"/>
          <w:b/>
          <w:sz w:val="24"/>
        </w:rPr>
      </w:pPr>
      <w:bookmarkStart w:id="52" w:name="_Toc310195704"/>
      <w:bookmarkStart w:id="53" w:name="_Toc497905818"/>
      <w:r>
        <w:rPr>
          <w:b/>
          <w:sz w:val="24"/>
        </w:rPr>
        <w:t>9.投标文件</w:t>
      </w:r>
      <w:bookmarkEnd w:id="48"/>
      <w:bookmarkEnd w:id="49"/>
      <w:bookmarkEnd w:id="50"/>
      <w:r>
        <w:rPr>
          <w:b/>
          <w:sz w:val="24"/>
        </w:rPr>
        <w:t>构成</w:t>
      </w:r>
      <w:bookmarkEnd w:id="51"/>
      <w:bookmarkEnd w:id="52"/>
      <w:bookmarkEnd w:id="53"/>
    </w:p>
    <w:p>
      <w:pPr>
        <w:pStyle w:val="110"/>
        <w:spacing w:line="360" w:lineRule="auto"/>
        <w:rPr>
          <w:rFonts w:ascii="宋体" w:hAnsi="宋体"/>
          <w:sz w:val="24"/>
        </w:rPr>
      </w:pPr>
      <w:bookmarkStart w:id="54" w:name="_Ref467052588"/>
      <w:r>
        <w:rPr>
          <w:rFonts w:hint="eastAsia" w:ascii="宋体" w:hAnsi="宋体"/>
          <w:sz w:val="24"/>
        </w:rPr>
        <w:t>9.1投标人应完整地按招标文件提供的投标文件格式编写投标文件，投标文件应包括以下内容</w:t>
      </w:r>
      <w:bookmarkEnd w:id="54"/>
      <w:r>
        <w:rPr>
          <w:rFonts w:hint="eastAsia" w:ascii="宋体" w:hAnsi="宋体"/>
          <w:sz w:val="24"/>
        </w:rPr>
        <w:t>：</w:t>
      </w:r>
    </w:p>
    <w:p>
      <w:pPr>
        <w:pStyle w:val="110"/>
        <w:spacing w:line="360" w:lineRule="auto"/>
        <w:rPr>
          <w:rFonts w:ascii="宋体" w:hAnsi="宋体"/>
          <w:sz w:val="24"/>
        </w:rPr>
      </w:pPr>
      <w:r>
        <w:rPr>
          <w:rFonts w:hint="eastAsia" w:ascii="宋体" w:hAnsi="宋体"/>
          <w:sz w:val="24"/>
        </w:rPr>
        <w:t>1 投 标 函</w:t>
      </w:r>
    </w:p>
    <w:p>
      <w:pPr>
        <w:pStyle w:val="110"/>
        <w:spacing w:line="360" w:lineRule="auto"/>
        <w:rPr>
          <w:rFonts w:ascii="宋体" w:hAnsi="宋体"/>
          <w:sz w:val="24"/>
        </w:rPr>
      </w:pPr>
      <w:r>
        <w:rPr>
          <w:rFonts w:hint="eastAsia" w:ascii="宋体" w:hAnsi="宋体"/>
          <w:sz w:val="24"/>
        </w:rPr>
        <w:t>2 投标一览表</w:t>
      </w:r>
    </w:p>
    <w:p>
      <w:pPr>
        <w:pStyle w:val="110"/>
        <w:spacing w:line="360" w:lineRule="auto"/>
        <w:rPr>
          <w:rFonts w:ascii="宋体" w:hAnsi="宋体"/>
          <w:sz w:val="24"/>
        </w:rPr>
      </w:pPr>
      <w:r>
        <w:rPr>
          <w:rFonts w:hint="eastAsia" w:ascii="宋体" w:hAnsi="宋体"/>
          <w:sz w:val="24"/>
        </w:rPr>
        <w:t>3 投标分项报价表</w:t>
      </w:r>
    </w:p>
    <w:p>
      <w:pPr>
        <w:pStyle w:val="110"/>
        <w:spacing w:line="360" w:lineRule="auto"/>
        <w:rPr>
          <w:rFonts w:ascii="宋体" w:hAnsi="宋体"/>
          <w:sz w:val="24"/>
        </w:rPr>
      </w:pPr>
      <w:r>
        <w:rPr>
          <w:rFonts w:hint="eastAsia" w:ascii="宋体" w:hAnsi="宋体"/>
          <w:sz w:val="24"/>
        </w:rPr>
        <w:t>4 技术服务方案</w:t>
      </w:r>
    </w:p>
    <w:p>
      <w:pPr>
        <w:pStyle w:val="110"/>
        <w:spacing w:line="360" w:lineRule="auto"/>
        <w:rPr>
          <w:rFonts w:ascii="宋体" w:hAnsi="宋体"/>
          <w:sz w:val="24"/>
        </w:rPr>
      </w:pPr>
      <w:r>
        <w:rPr>
          <w:rFonts w:hint="eastAsia" w:ascii="宋体" w:hAnsi="宋体"/>
          <w:sz w:val="24"/>
        </w:rPr>
        <w:t>5 技术规范偏离表</w:t>
      </w:r>
    </w:p>
    <w:p>
      <w:pPr>
        <w:pStyle w:val="110"/>
        <w:spacing w:line="360" w:lineRule="auto"/>
        <w:rPr>
          <w:rFonts w:ascii="宋体" w:hAnsi="宋体"/>
          <w:sz w:val="24"/>
        </w:rPr>
      </w:pPr>
      <w:r>
        <w:rPr>
          <w:rFonts w:hint="eastAsia" w:ascii="宋体" w:hAnsi="宋体"/>
          <w:sz w:val="24"/>
        </w:rPr>
        <w:t>6 商务条款偏离表</w:t>
      </w:r>
    </w:p>
    <w:p>
      <w:pPr>
        <w:pStyle w:val="110"/>
        <w:spacing w:line="360" w:lineRule="auto"/>
        <w:rPr>
          <w:rFonts w:ascii="宋体" w:hAnsi="宋体"/>
          <w:sz w:val="24"/>
        </w:rPr>
      </w:pPr>
      <w:r>
        <w:rPr>
          <w:rFonts w:hint="eastAsia" w:ascii="宋体" w:hAnsi="宋体"/>
          <w:sz w:val="24"/>
        </w:rPr>
        <w:t>7 资格证明文件</w:t>
      </w:r>
    </w:p>
    <w:p>
      <w:pPr>
        <w:pStyle w:val="110"/>
        <w:spacing w:line="360" w:lineRule="auto"/>
        <w:rPr>
          <w:rFonts w:ascii="宋体" w:hAnsi="宋体"/>
          <w:sz w:val="24"/>
        </w:rPr>
      </w:pPr>
      <w:r>
        <w:rPr>
          <w:rFonts w:hint="eastAsia" w:ascii="宋体" w:hAnsi="宋体"/>
          <w:sz w:val="24"/>
        </w:rPr>
        <w:t>7-1企业法人营业执照副本或事业单位法人证书副本复印件（须加盖本单位公章）</w:t>
      </w:r>
    </w:p>
    <w:p>
      <w:pPr>
        <w:pStyle w:val="110"/>
        <w:spacing w:line="360" w:lineRule="auto"/>
        <w:rPr>
          <w:rFonts w:ascii="宋体" w:hAnsi="宋体"/>
          <w:sz w:val="24"/>
        </w:rPr>
      </w:pPr>
      <w:r>
        <w:rPr>
          <w:rFonts w:hint="eastAsia" w:ascii="宋体" w:hAnsi="宋体"/>
          <w:sz w:val="24"/>
        </w:rPr>
        <w:t>7-2税务登记证复印件（须加盖本单位公章）</w:t>
      </w:r>
    </w:p>
    <w:p>
      <w:pPr>
        <w:pStyle w:val="110"/>
        <w:spacing w:line="360" w:lineRule="auto"/>
        <w:rPr>
          <w:rFonts w:ascii="宋体" w:hAnsi="宋体"/>
          <w:sz w:val="24"/>
        </w:rPr>
      </w:pPr>
      <w:r>
        <w:rPr>
          <w:rFonts w:hint="eastAsia" w:ascii="宋体" w:hAnsi="宋体"/>
          <w:sz w:val="24"/>
        </w:rPr>
        <w:t>7-3 组织机构代码证复印件（须加盖本单位公章）</w:t>
      </w:r>
    </w:p>
    <w:p>
      <w:pPr>
        <w:pStyle w:val="110"/>
        <w:spacing w:line="360" w:lineRule="auto"/>
        <w:rPr>
          <w:rFonts w:ascii="宋体" w:hAnsi="宋体"/>
          <w:sz w:val="24"/>
        </w:rPr>
      </w:pPr>
      <w:r>
        <w:rPr>
          <w:rFonts w:hint="eastAsia" w:ascii="宋体" w:hAnsi="宋体"/>
          <w:sz w:val="24"/>
        </w:rPr>
        <w:t>7-4法定代表人授权书原件（格式）</w:t>
      </w:r>
    </w:p>
    <w:p>
      <w:pPr>
        <w:pStyle w:val="110"/>
        <w:spacing w:line="360" w:lineRule="auto"/>
        <w:rPr>
          <w:rFonts w:ascii="宋体" w:hAnsi="宋体"/>
          <w:b/>
          <w:sz w:val="24"/>
        </w:rPr>
      </w:pPr>
      <w:r>
        <w:rPr>
          <w:rFonts w:hint="eastAsia" w:ascii="宋体" w:hAnsi="宋体"/>
          <w:sz w:val="24"/>
        </w:rPr>
        <w:t>7-5 法人授权代表身份证复印件（须加盖本单位公章）</w:t>
      </w:r>
    </w:p>
    <w:p>
      <w:pPr>
        <w:pStyle w:val="110"/>
        <w:spacing w:line="360" w:lineRule="auto"/>
        <w:rPr>
          <w:rFonts w:ascii="宋体" w:hAnsi="宋体"/>
          <w:sz w:val="24"/>
          <w:u w:val="single"/>
        </w:rPr>
      </w:pPr>
      <w:r>
        <w:rPr>
          <w:rFonts w:hint="eastAsia" w:ascii="宋体" w:hAnsi="宋体"/>
          <w:sz w:val="24"/>
        </w:rPr>
        <w:t>7-6投标人提供经会计师事务所出具的上一年度完整的财务审计报告复印件，并加盖投标人公章。如投标人无法提供上一年度审计报告，则须提供银行出具的资信证明；</w:t>
      </w:r>
    </w:p>
    <w:p>
      <w:pPr>
        <w:pStyle w:val="110"/>
        <w:spacing w:line="360" w:lineRule="auto"/>
        <w:rPr>
          <w:rFonts w:ascii="宋体" w:hAnsi="宋体"/>
          <w:sz w:val="24"/>
        </w:rPr>
      </w:pPr>
      <w:r>
        <w:rPr>
          <w:rFonts w:hint="eastAsia" w:ascii="宋体" w:hAnsi="宋体"/>
          <w:sz w:val="24"/>
        </w:rPr>
        <w:t>说明：</w:t>
      </w:r>
    </w:p>
    <w:p>
      <w:pPr>
        <w:pStyle w:val="110"/>
        <w:spacing w:line="360" w:lineRule="auto"/>
        <w:rPr>
          <w:rFonts w:ascii="宋体" w:hAnsi="宋体"/>
          <w:sz w:val="24"/>
        </w:rPr>
      </w:pPr>
      <w:r>
        <w:rPr>
          <w:rFonts w:hint="eastAsia" w:ascii="宋体" w:hAnsi="宋体"/>
          <w:sz w:val="24"/>
        </w:rPr>
        <w:t>1、银行资信证明是指投标人参加本次投标截止日前三个月内银行出具的资信证明（成立一年内的公司可提交验资证明复印件并加盖投标人公章）,且无收受人和项目的限制，但开具银行有限制规定的除外；</w:t>
      </w:r>
    </w:p>
    <w:p>
      <w:pPr>
        <w:pStyle w:val="110"/>
        <w:spacing w:line="360" w:lineRule="auto"/>
        <w:rPr>
          <w:rFonts w:ascii="宋体" w:hAnsi="宋体"/>
          <w:sz w:val="24"/>
        </w:rPr>
      </w:pPr>
      <w:r>
        <w:rPr>
          <w:rFonts w:hint="eastAsia" w:ascii="宋体" w:hAnsi="宋体"/>
          <w:sz w:val="24"/>
        </w:rPr>
        <w:t>2、银行资信证明应能说明该投标人与银行之间业务往来正常，企业信誉良好等；</w:t>
      </w:r>
    </w:p>
    <w:p>
      <w:pPr>
        <w:pStyle w:val="110"/>
        <w:spacing w:line="360" w:lineRule="auto"/>
        <w:rPr>
          <w:rFonts w:ascii="宋体" w:hAnsi="宋体"/>
          <w:sz w:val="24"/>
        </w:rPr>
      </w:pPr>
      <w:r>
        <w:rPr>
          <w:rFonts w:hint="eastAsia" w:ascii="宋体" w:hAnsi="宋体"/>
          <w:sz w:val="24"/>
        </w:rPr>
        <w:t>3、银行出具的存款证明不能替代银行资信证明，存款证明无效。</w:t>
      </w:r>
    </w:p>
    <w:p>
      <w:pPr>
        <w:pStyle w:val="110"/>
        <w:spacing w:line="360" w:lineRule="auto"/>
        <w:rPr>
          <w:rFonts w:ascii="宋体" w:hAnsi="宋体"/>
          <w:sz w:val="24"/>
        </w:rPr>
      </w:pPr>
      <w:r>
        <w:rPr>
          <w:rFonts w:hint="eastAsia" w:ascii="宋体" w:hAnsi="宋体"/>
          <w:sz w:val="24"/>
        </w:rPr>
        <w:t>7-7有依法缴纳社会保障资金的良好记录（投标人逐月交纳社会保障资金的，须提供参加本次政府采购活动</w:t>
      </w:r>
      <w:r>
        <w:rPr>
          <w:rFonts w:hint="eastAsia" w:ascii="宋体" w:hAnsi="宋体" w:cs="宋体"/>
          <w:color w:val="000000"/>
          <w:sz w:val="24"/>
        </w:rPr>
        <w:t>最近连续三个月的</w:t>
      </w:r>
      <w:r>
        <w:rPr>
          <w:rFonts w:hint="eastAsia" w:ascii="宋体" w:hAnsi="宋体"/>
          <w:sz w:val="24"/>
        </w:rPr>
        <w:t>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p>
    <w:p>
      <w:pPr>
        <w:pStyle w:val="110"/>
        <w:spacing w:line="360" w:lineRule="auto"/>
        <w:rPr>
          <w:rFonts w:ascii="宋体" w:hAnsi="宋体"/>
          <w:sz w:val="24"/>
        </w:rPr>
      </w:pPr>
      <w:r>
        <w:rPr>
          <w:rFonts w:hint="eastAsia" w:ascii="宋体" w:hAnsi="宋体"/>
          <w:sz w:val="24"/>
        </w:rPr>
        <w:t>投标人在参加本次政府采购活动</w:t>
      </w:r>
      <w:r>
        <w:rPr>
          <w:rFonts w:hint="eastAsia" w:ascii="宋体" w:hAnsi="宋体" w:cs="宋体"/>
          <w:color w:val="000000"/>
          <w:sz w:val="24"/>
        </w:rPr>
        <w:t>最近连续三个月的</w:t>
      </w:r>
      <w:r>
        <w:rPr>
          <w:rFonts w:hint="eastAsia" w:ascii="宋体" w:hAnsi="宋体"/>
          <w:sz w:val="24"/>
        </w:rPr>
        <w:t>依法缴纳税收的缴纳凭证复印件加盖投标人公章；</w:t>
      </w:r>
    </w:p>
    <w:p>
      <w:pPr>
        <w:pStyle w:val="110"/>
        <w:spacing w:line="360" w:lineRule="auto"/>
        <w:rPr>
          <w:rFonts w:ascii="宋体" w:hAnsi="宋体"/>
          <w:sz w:val="24"/>
        </w:rPr>
      </w:pPr>
      <w:r>
        <w:rPr>
          <w:rFonts w:hint="eastAsia" w:ascii="宋体" w:hAnsi="宋体"/>
          <w:sz w:val="24"/>
        </w:rPr>
        <w:t>7-8参加本次政府采购活动前三年内，在经营活动中没有重大违法记录的声明（投标人须提供此声明，法定代表人或法人授权代表签字，须加盖本单位公章）；</w:t>
      </w:r>
    </w:p>
    <w:p>
      <w:pPr>
        <w:spacing w:line="360" w:lineRule="auto"/>
        <w:rPr>
          <w:rFonts w:ascii="宋体" w:hAnsi="宋体"/>
          <w:sz w:val="24"/>
        </w:rPr>
      </w:pPr>
      <w:r>
        <w:rPr>
          <w:rFonts w:hint="eastAsia" w:ascii="宋体" w:hAnsi="宋体"/>
          <w:sz w:val="24"/>
        </w:rPr>
        <w:t>7-9</w:t>
      </w:r>
      <w:r>
        <w:rPr>
          <w:rFonts w:ascii="宋体" w:hAnsi="宋体"/>
          <w:sz w:val="24"/>
        </w:rPr>
        <w:t>投标人应提供在信用中国网站（</w:t>
      </w:r>
      <w:r>
        <w:rPr>
          <w:rFonts w:ascii="宋体" w:hAnsi="宋体"/>
          <w:sz w:val="24"/>
        </w:rPr>
        <w:drawing>
          <wp:inline distT="0" distB="0" distL="114300" distR="114300">
            <wp:extent cx="191135" cy="142875"/>
            <wp:effectExtent l="0" t="0" r="18415" b="9525"/>
            <wp:docPr id="4"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www.creditchina.gov.cn）“信用信息”、中国政府采购网（</w:t>
      </w:r>
      <w:r>
        <w:rPr>
          <w:rFonts w:ascii="宋体" w:hAnsi="宋体"/>
          <w:sz w:val="24"/>
        </w:rPr>
        <w:drawing>
          <wp:inline distT="0" distB="0" distL="114300" distR="114300">
            <wp:extent cx="191135" cy="142875"/>
            <wp:effectExtent l="0" t="0" r="18415" b="9525"/>
            <wp:docPr id="5" name="图片 5"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www.ccgp.gov.cn）“政府采购严重违法失信行为信息记录”信用记录查询结果</w:t>
      </w:r>
      <w:r>
        <w:rPr>
          <w:rFonts w:hint="eastAsia" w:ascii="宋体" w:hAnsi="宋体" w:cs="宋体"/>
          <w:sz w:val="24"/>
        </w:rPr>
        <w:t>（需注明截止时间，不得早于招标公告发布日期）</w:t>
      </w:r>
      <w:r>
        <w:rPr>
          <w:rFonts w:ascii="宋体" w:hAnsi="宋体"/>
          <w:sz w:val="24"/>
        </w:rPr>
        <w:t>打印页面并加盖公章</w:t>
      </w:r>
      <w:r>
        <w:rPr>
          <w:rFonts w:hint="eastAsia" w:ascii="宋体" w:hAnsi="宋体"/>
          <w:sz w:val="24"/>
        </w:rPr>
        <w:t>。</w:t>
      </w:r>
    </w:p>
    <w:p>
      <w:pPr>
        <w:pStyle w:val="110"/>
        <w:spacing w:line="360" w:lineRule="auto"/>
        <w:rPr>
          <w:rFonts w:ascii="宋体" w:hAnsi="宋体"/>
          <w:sz w:val="24"/>
        </w:rPr>
      </w:pPr>
      <w:r>
        <w:rPr>
          <w:rFonts w:hint="eastAsia" w:ascii="宋体" w:hAnsi="宋体"/>
          <w:sz w:val="24"/>
        </w:rPr>
        <w:t>7-10投标人认为必要的其他资格证明文件复印件（须加盖本单位公章）。</w:t>
      </w:r>
    </w:p>
    <w:p>
      <w:pPr>
        <w:pStyle w:val="110"/>
        <w:spacing w:line="360" w:lineRule="auto"/>
        <w:rPr>
          <w:rFonts w:ascii="宋体" w:hAnsi="宋体"/>
          <w:sz w:val="24"/>
        </w:rPr>
      </w:pPr>
      <w:r>
        <w:rPr>
          <w:rFonts w:hint="eastAsia" w:ascii="宋体" w:hAnsi="宋体"/>
          <w:sz w:val="24"/>
        </w:rPr>
        <w:t>注明：</w:t>
      </w:r>
      <w:r>
        <w:rPr>
          <w:rFonts w:ascii="宋体" w:hAnsi="宋体"/>
          <w:sz w:val="24"/>
        </w:rPr>
        <w:t>提交“三证合一”新版营业执照的可不提供</w:t>
      </w:r>
      <w:r>
        <w:rPr>
          <w:rFonts w:hint="eastAsia" w:ascii="宋体" w:hAnsi="宋体"/>
          <w:sz w:val="24"/>
        </w:rPr>
        <w:t>上述《组织机构代码证》、《税务登记证》。</w:t>
      </w:r>
    </w:p>
    <w:p>
      <w:pPr>
        <w:pStyle w:val="110"/>
        <w:spacing w:line="360" w:lineRule="auto"/>
        <w:rPr>
          <w:rFonts w:ascii="宋体" w:hAnsi="宋体"/>
          <w:sz w:val="24"/>
        </w:rPr>
      </w:pPr>
      <w:r>
        <w:rPr>
          <w:rFonts w:hint="eastAsia" w:ascii="宋体" w:hAnsi="宋体"/>
          <w:sz w:val="24"/>
        </w:rPr>
        <w:t>8 业绩案例一览表（须提供有效合同，包括首页、金额页和盖章页复印件加盖本单位公章）</w:t>
      </w:r>
    </w:p>
    <w:p>
      <w:pPr>
        <w:pStyle w:val="110"/>
        <w:spacing w:line="360" w:lineRule="auto"/>
      </w:pPr>
      <w:r>
        <w:rPr>
          <w:rFonts w:hint="eastAsia" w:ascii="宋体" w:hAnsi="宋体"/>
          <w:sz w:val="24"/>
        </w:rPr>
        <w:t>9 拟用于本项目人员资格和经历情况（如适用）</w:t>
      </w:r>
    </w:p>
    <w:p>
      <w:pPr>
        <w:spacing w:line="360" w:lineRule="auto"/>
        <w:rPr>
          <w:rFonts w:ascii="宋体" w:hAnsi="宋体"/>
          <w:sz w:val="24"/>
        </w:rPr>
      </w:pPr>
      <w:r>
        <w:rPr>
          <w:rFonts w:hint="eastAsia" w:ascii="宋体" w:hAnsi="宋体"/>
          <w:sz w:val="24"/>
        </w:rPr>
        <w:t>10 售后服务及培训计划</w:t>
      </w:r>
    </w:p>
    <w:p>
      <w:pPr>
        <w:spacing w:line="360" w:lineRule="auto"/>
        <w:rPr>
          <w:rFonts w:ascii="宋体" w:hAnsi="宋体"/>
          <w:sz w:val="24"/>
        </w:rPr>
      </w:pPr>
      <w:r>
        <w:rPr>
          <w:rFonts w:hint="eastAsia" w:ascii="宋体" w:hAnsi="宋体"/>
          <w:sz w:val="24"/>
          <w:lang w:val="en-GB"/>
        </w:rPr>
        <w:t>11</w:t>
      </w:r>
      <w:r>
        <w:rPr>
          <w:rFonts w:hint="eastAsia" w:ascii="宋体" w:hAnsi="宋体"/>
          <w:sz w:val="24"/>
        </w:rPr>
        <w:t>中标服务费承诺函格式</w:t>
      </w:r>
    </w:p>
    <w:p>
      <w:pPr>
        <w:spacing w:line="360" w:lineRule="auto"/>
        <w:rPr>
          <w:rFonts w:ascii="宋体" w:hAnsi="宋体"/>
          <w:sz w:val="24"/>
        </w:rPr>
      </w:pPr>
      <w:r>
        <w:rPr>
          <w:rFonts w:hint="eastAsia" w:ascii="宋体" w:hAnsi="宋体"/>
          <w:sz w:val="24"/>
        </w:rPr>
        <w:t xml:space="preserve">12政府采购投标担保函格式 </w:t>
      </w:r>
    </w:p>
    <w:p>
      <w:pPr>
        <w:spacing w:line="360" w:lineRule="auto"/>
        <w:rPr>
          <w:rFonts w:ascii="宋体" w:hAnsi="宋体"/>
          <w:sz w:val="24"/>
        </w:rPr>
      </w:pPr>
      <w:r>
        <w:rPr>
          <w:rFonts w:hint="eastAsia" w:ascii="宋体" w:hAnsi="宋体"/>
          <w:sz w:val="24"/>
        </w:rPr>
        <w:t xml:space="preserve">13政府采购履约担保函格式 </w:t>
      </w:r>
    </w:p>
    <w:p>
      <w:pPr>
        <w:spacing w:line="360" w:lineRule="auto"/>
        <w:rPr>
          <w:rFonts w:ascii="宋体" w:hAnsi="宋体"/>
          <w:sz w:val="24"/>
        </w:rPr>
      </w:pPr>
      <w:r>
        <w:rPr>
          <w:rFonts w:hint="eastAsia" w:ascii="宋体" w:hAnsi="宋体"/>
          <w:sz w:val="24"/>
        </w:rPr>
        <w:t>14《投标人企业类型声明函》（格式，符合《政府采购促进中小企业发展暂行办法》（财库[2011]181号）价格扣减条件的投标人须提交）（如适用）</w:t>
      </w:r>
    </w:p>
    <w:p>
      <w:pPr>
        <w:spacing w:line="360" w:lineRule="auto"/>
        <w:rPr>
          <w:rFonts w:ascii="宋体" w:hAnsi="宋体"/>
          <w:sz w:val="24"/>
        </w:rPr>
      </w:pPr>
      <w:r>
        <w:rPr>
          <w:rFonts w:hint="eastAsia" w:ascii="宋体" w:hAnsi="宋体"/>
          <w:sz w:val="24"/>
        </w:rPr>
        <w:t>15残疾人福利性单位声明函（格式）（如适用）</w:t>
      </w:r>
    </w:p>
    <w:p>
      <w:pPr>
        <w:spacing w:line="360" w:lineRule="auto"/>
        <w:rPr>
          <w:rFonts w:ascii="宋体" w:hAnsi="宋体"/>
          <w:sz w:val="24"/>
        </w:rPr>
      </w:pPr>
      <w:bookmarkStart w:id="55" w:name="_Toc516367023"/>
      <w:bookmarkStart w:id="56" w:name="_Toc520356153"/>
      <w:bookmarkStart w:id="57" w:name="_Toc310195705"/>
      <w:r>
        <w:rPr>
          <w:rFonts w:hint="eastAsia" w:ascii="宋体" w:hAnsi="宋体"/>
          <w:sz w:val="24"/>
        </w:rPr>
        <w:t>9.2 除上述9.1条外，投标文件还应包括本须知第10条的所有文件。</w:t>
      </w:r>
    </w:p>
    <w:p>
      <w:pPr>
        <w:pStyle w:val="5"/>
        <w:tabs>
          <w:tab w:val="left" w:pos="900"/>
        </w:tabs>
        <w:spacing w:line="360" w:lineRule="auto"/>
        <w:rPr>
          <w:rFonts w:hint="default"/>
          <w:b/>
          <w:sz w:val="24"/>
        </w:rPr>
      </w:pPr>
      <w:bookmarkStart w:id="58" w:name="_Toc497905819"/>
      <w:r>
        <w:rPr>
          <w:b/>
          <w:sz w:val="24"/>
        </w:rPr>
        <w:t>10.</w:t>
      </w:r>
      <w:bookmarkEnd w:id="55"/>
      <w:bookmarkEnd w:id="56"/>
      <w:bookmarkEnd w:id="57"/>
      <w:r>
        <w:rPr>
          <w:b/>
          <w:sz w:val="24"/>
        </w:rPr>
        <w:t>投标文件格式</w:t>
      </w:r>
      <w:bookmarkEnd w:id="58"/>
      <w:bookmarkStart w:id="59" w:name="_Toc520356155"/>
      <w:bookmarkStart w:id="60" w:name="_Toc310195706"/>
    </w:p>
    <w:p>
      <w:pPr>
        <w:pStyle w:val="110"/>
        <w:spacing w:line="360" w:lineRule="auto"/>
        <w:rPr>
          <w:rFonts w:ascii="宋体" w:hAnsi="宋体"/>
          <w:sz w:val="24"/>
        </w:rPr>
      </w:pPr>
      <w:r>
        <w:rPr>
          <w:rFonts w:ascii="宋体" w:hAnsi="宋体"/>
          <w:sz w:val="24"/>
        </w:rPr>
        <w:t>投标人应按招标文件附件中提供的投标文件格式逐项填写各文件并提交相应证明资料。</w:t>
      </w:r>
    </w:p>
    <w:p>
      <w:pPr>
        <w:pStyle w:val="5"/>
        <w:tabs>
          <w:tab w:val="left" w:pos="900"/>
        </w:tabs>
        <w:spacing w:line="360" w:lineRule="auto"/>
        <w:rPr>
          <w:rFonts w:hint="default"/>
          <w:b/>
          <w:sz w:val="24"/>
        </w:rPr>
      </w:pPr>
      <w:bookmarkStart w:id="61" w:name="_Toc497905820"/>
      <w:r>
        <w:rPr>
          <w:b/>
          <w:sz w:val="24"/>
        </w:rPr>
        <w:t>11.投标报价</w:t>
      </w:r>
      <w:bookmarkEnd w:id="59"/>
      <w:bookmarkEnd w:id="60"/>
      <w:bookmarkEnd w:id="61"/>
    </w:p>
    <w:p>
      <w:pPr>
        <w:pStyle w:val="110"/>
        <w:spacing w:line="360" w:lineRule="auto"/>
        <w:rPr>
          <w:rFonts w:ascii="宋体" w:hAnsi="宋体"/>
          <w:sz w:val="24"/>
        </w:rPr>
      </w:pPr>
      <w:r>
        <w:rPr>
          <w:rFonts w:hint="eastAsia" w:ascii="宋体" w:hAnsi="宋体"/>
          <w:sz w:val="24"/>
        </w:rPr>
        <w:t>11.1所有投标均以人民币报价。投标人的投标报价应遵守《中华人民共和国价格法》。</w:t>
      </w:r>
    </w:p>
    <w:p>
      <w:pPr>
        <w:pStyle w:val="110"/>
        <w:spacing w:line="360" w:lineRule="auto"/>
        <w:rPr>
          <w:rFonts w:ascii="宋体" w:hAnsi="宋体"/>
          <w:sz w:val="24"/>
        </w:rPr>
      </w:pPr>
      <w:r>
        <w:rPr>
          <w:rFonts w:hint="eastAsia" w:ascii="宋体" w:hAnsi="宋体"/>
          <w:sz w:val="24"/>
        </w:rPr>
        <w:t>11.2投标人应在“投标分项报价表”上标明投标相关服务的单价和总价，并由法定代表人或其授权代表签署。</w:t>
      </w:r>
    </w:p>
    <w:p>
      <w:pPr>
        <w:pStyle w:val="110"/>
        <w:spacing w:line="360" w:lineRule="auto"/>
        <w:rPr>
          <w:rFonts w:ascii="宋体" w:hAnsi="宋体"/>
          <w:sz w:val="24"/>
        </w:rPr>
      </w:pPr>
      <w:r>
        <w:rPr>
          <w:rFonts w:hint="eastAsia" w:ascii="宋体" w:hAnsi="宋体"/>
          <w:sz w:val="24"/>
        </w:rPr>
        <w:t>11.3投标分项报价表上的价格项应包含所有费用（招标文件另行规定除外），包括招标文件中要求的全部服务内容。</w:t>
      </w:r>
    </w:p>
    <w:p>
      <w:pPr>
        <w:pStyle w:val="110"/>
        <w:spacing w:line="360" w:lineRule="auto"/>
        <w:rPr>
          <w:rFonts w:ascii="宋体" w:hAnsi="宋体"/>
          <w:b/>
          <w:sz w:val="24"/>
        </w:rPr>
      </w:pPr>
      <w:r>
        <w:rPr>
          <w:rFonts w:hint="eastAsia" w:ascii="宋体" w:hAnsi="宋体"/>
          <w:b/>
          <w:sz w:val="24"/>
        </w:rPr>
        <w:t>11.4 本次招标投标人只允许对本项目或对每一包有一个总报价，任何选择性报价（或多个方案）的投标为无效标。</w:t>
      </w:r>
    </w:p>
    <w:p>
      <w:pPr>
        <w:pStyle w:val="110"/>
        <w:spacing w:line="360" w:lineRule="auto"/>
        <w:rPr>
          <w:rFonts w:ascii="宋体" w:hAnsi="宋体"/>
          <w:b/>
          <w:sz w:val="24"/>
        </w:rPr>
      </w:pPr>
      <w:r>
        <w:rPr>
          <w:rFonts w:hint="eastAsia" w:ascii="宋体" w:hAnsi="宋体"/>
          <w:b/>
          <w:sz w:val="24"/>
        </w:rPr>
        <w:t>11.5 投标报价中，如投标内容超出招标文件要求，该部分内容在评标时将不予以核减。</w:t>
      </w:r>
    </w:p>
    <w:p>
      <w:pPr>
        <w:pStyle w:val="110"/>
        <w:spacing w:line="360" w:lineRule="auto"/>
      </w:pPr>
      <w:r>
        <w:rPr>
          <w:rFonts w:hint="eastAsia" w:ascii="宋体" w:hAnsi="宋体"/>
          <w:sz w:val="24"/>
        </w:rPr>
        <w:t>11.6 最低报价不是授予合同的唯一保证。</w:t>
      </w:r>
    </w:p>
    <w:p>
      <w:pPr>
        <w:pStyle w:val="5"/>
        <w:tabs>
          <w:tab w:val="left" w:pos="900"/>
        </w:tabs>
        <w:spacing w:line="360" w:lineRule="auto"/>
        <w:rPr>
          <w:rFonts w:hint="default"/>
          <w:b/>
          <w:sz w:val="24"/>
        </w:rPr>
      </w:pPr>
      <w:bookmarkStart w:id="62" w:name="_Toc520356156"/>
      <w:bookmarkStart w:id="63" w:name="_Ref467306513"/>
      <w:bookmarkStart w:id="64" w:name="_Toc497905821"/>
      <w:bookmarkStart w:id="65" w:name="_Toc310195707"/>
      <w:r>
        <w:rPr>
          <w:b/>
          <w:sz w:val="24"/>
        </w:rPr>
        <w:t>12.投标保证金</w:t>
      </w:r>
      <w:bookmarkEnd w:id="62"/>
      <w:bookmarkEnd w:id="63"/>
      <w:bookmarkEnd w:id="64"/>
      <w:bookmarkEnd w:id="65"/>
    </w:p>
    <w:p>
      <w:pPr>
        <w:pStyle w:val="110"/>
        <w:spacing w:line="360" w:lineRule="auto"/>
        <w:rPr>
          <w:rFonts w:ascii="宋体" w:hAnsi="宋体"/>
          <w:sz w:val="24"/>
        </w:rPr>
      </w:pPr>
      <w:bookmarkStart w:id="66" w:name="_Ref467306302"/>
      <w:r>
        <w:rPr>
          <w:rFonts w:hint="eastAsia" w:ascii="宋体" w:hAnsi="宋体"/>
          <w:sz w:val="24"/>
        </w:rPr>
        <w:t>12.1 投标人应提供投标保证金</w:t>
      </w:r>
      <w:bookmarkEnd w:id="66"/>
      <w:r>
        <w:rPr>
          <w:rFonts w:hint="eastAsia" w:ascii="宋体" w:hAnsi="宋体"/>
          <w:sz w:val="24"/>
        </w:rPr>
        <w:t>，作为其有效投标的一部分。</w:t>
      </w:r>
    </w:p>
    <w:p>
      <w:pPr>
        <w:pStyle w:val="110"/>
        <w:spacing w:line="360" w:lineRule="auto"/>
        <w:rPr>
          <w:rFonts w:ascii="宋体" w:hAnsi="宋体"/>
          <w:sz w:val="24"/>
        </w:rPr>
      </w:pPr>
      <w:r>
        <w:rPr>
          <w:rFonts w:hint="eastAsia" w:ascii="宋体" w:hAnsi="宋体"/>
          <w:sz w:val="24"/>
        </w:rPr>
        <w:t>12.2 投标保证金是为了保护采购人和采购代理机构免遭因投标人的行为蒙受损失而要求的。</w:t>
      </w:r>
    </w:p>
    <w:p>
      <w:pPr>
        <w:pStyle w:val="110"/>
        <w:spacing w:line="360" w:lineRule="auto"/>
        <w:rPr>
          <w:rFonts w:ascii="宋体" w:hAnsi="宋体"/>
          <w:sz w:val="24"/>
        </w:rPr>
      </w:pPr>
      <w:r>
        <w:rPr>
          <w:rFonts w:hint="eastAsia" w:ascii="宋体" w:hAnsi="宋体"/>
          <w:b/>
          <w:sz w:val="24"/>
        </w:rPr>
        <w:t>下列任何情况发生，投标保证金将不予返还：</w:t>
      </w:r>
    </w:p>
    <w:p>
      <w:pPr>
        <w:pStyle w:val="110"/>
        <w:spacing w:line="360" w:lineRule="auto"/>
        <w:rPr>
          <w:rFonts w:ascii="宋体" w:hAnsi="宋体"/>
          <w:sz w:val="24"/>
        </w:rPr>
      </w:pPr>
      <w:r>
        <w:rPr>
          <w:rFonts w:hint="eastAsia" w:ascii="宋体" w:hAnsi="宋体"/>
          <w:sz w:val="24"/>
        </w:rPr>
        <w:t>(1)在开标之日后到投标有效期满前，投标人因自身原因撤回投标的；</w:t>
      </w:r>
    </w:p>
    <w:p>
      <w:pPr>
        <w:pStyle w:val="110"/>
        <w:spacing w:line="360" w:lineRule="auto"/>
        <w:rPr>
          <w:rFonts w:ascii="宋体" w:hAnsi="宋体"/>
          <w:sz w:val="24"/>
        </w:rPr>
      </w:pPr>
      <w:r>
        <w:rPr>
          <w:rFonts w:hint="eastAsia" w:ascii="宋体" w:hAnsi="宋体"/>
          <w:sz w:val="24"/>
        </w:rPr>
        <w:t>(2)投标人以他人名义投标、相互串通投标或者以其他方式弄虚作假的，投标人提交的投标文件中提交虚假资料或失实资料的；</w:t>
      </w:r>
    </w:p>
    <w:p>
      <w:pPr>
        <w:pStyle w:val="110"/>
        <w:spacing w:line="360" w:lineRule="auto"/>
        <w:rPr>
          <w:rFonts w:ascii="宋体" w:hAnsi="宋体"/>
          <w:sz w:val="24"/>
        </w:rPr>
      </w:pPr>
      <w:r>
        <w:rPr>
          <w:rFonts w:hint="eastAsia" w:ascii="宋体" w:hAnsi="宋体"/>
          <w:sz w:val="24"/>
        </w:rPr>
        <w:t>(3)中标人不按本须知第27条的规定与采购人签订合同的；</w:t>
      </w:r>
    </w:p>
    <w:p>
      <w:pPr>
        <w:pStyle w:val="110"/>
        <w:spacing w:line="360" w:lineRule="auto"/>
        <w:rPr>
          <w:rFonts w:ascii="宋体" w:hAnsi="宋体"/>
          <w:sz w:val="24"/>
        </w:rPr>
      </w:pPr>
      <w:r>
        <w:rPr>
          <w:rFonts w:hint="eastAsia" w:ascii="宋体" w:hAnsi="宋体"/>
          <w:sz w:val="24"/>
        </w:rPr>
        <w:t>(4)中标人不按本须知第28条的规定提交履约保证金的；</w:t>
      </w:r>
    </w:p>
    <w:p>
      <w:pPr>
        <w:pStyle w:val="110"/>
        <w:spacing w:line="360" w:lineRule="auto"/>
        <w:rPr>
          <w:rFonts w:ascii="宋体" w:hAnsi="宋体"/>
          <w:sz w:val="24"/>
        </w:rPr>
      </w:pPr>
      <w:r>
        <w:rPr>
          <w:rFonts w:hint="eastAsia" w:ascii="宋体" w:hAnsi="宋体"/>
          <w:sz w:val="24"/>
        </w:rPr>
        <w:t>(5)中标人领取中标通知书时未按第29条的规定缴纳中标服务费的。</w:t>
      </w:r>
    </w:p>
    <w:p>
      <w:pPr>
        <w:pStyle w:val="110"/>
        <w:spacing w:line="360" w:lineRule="auto"/>
        <w:rPr>
          <w:rFonts w:ascii="宋体" w:hAnsi="宋体"/>
          <w:sz w:val="24"/>
        </w:rPr>
      </w:pPr>
      <w:bookmarkStart w:id="67" w:name="_Ref467306336"/>
      <w:r>
        <w:rPr>
          <w:rFonts w:hint="eastAsia" w:ascii="宋体" w:hAnsi="宋体"/>
          <w:sz w:val="24"/>
        </w:rPr>
        <w:t>12.3投标保证金必须采用下列形式之一：</w:t>
      </w:r>
    </w:p>
    <w:bookmarkEnd w:id="67"/>
    <w:p>
      <w:pPr>
        <w:pStyle w:val="110"/>
        <w:spacing w:line="360" w:lineRule="auto"/>
        <w:rPr>
          <w:rFonts w:ascii="宋体" w:hAnsi="宋体"/>
          <w:sz w:val="24"/>
        </w:rPr>
      </w:pPr>
      <w:r>
        <w:rPr>
          <w:rFonts w:ascii="宋体" w:hAnsi="宋体"/>
          <w:sz w:val="24"/>
        </w:rPr>
        <w:t>支票</w:t>
      </w:r>
      <w:r>
        <w:rPr>
          <w:rFonts w:hint="eastAsia" w:ascii="宋体" w:hAnsi="宋体"/>
          <w:sz w:val="24"/>
        </w:rPr>
        <w:t>（北京地区）</w:t>
      </w:r>
      <w:r>
        <w:rPr>
          <w:rFonts w:ascii="宋体" w:hAnsi="宋体"/>
          <w:sz w:val="24"/>
        </w:rPr>
        <w:t>、</w:t>
      </w:r>
      <w:r>
        <w:rPr>
          <w:rFonts w:hint="eastAsia" w:ascii="宋体" w:hAnsi="宋体"/>
          <w:sz w:val="24"/>
        </w:rPr>
        <w:t>政府采购</w:t>
      </w:r>
      <w:r>
        <w:rPr>
          <w:rFonts w:ascii="宋体" w:hAnsi="宋体"/>
          <w:sz w:val="24"/>
        </w:rPr>
        <w:t>投标担保函</w:t>
      </w:r>
      <w:r>
        <w:rPr>
          <w:rFonts w:hint="eastAsia" w:ascii="宋体" w:hAnsi="宋体"/>
          <w:sz w:val="24"/>
        </w:rPr>
        <w:t>（</w:t>
      </w:r>
      <w:r>
        <w:rPr>
          <w:rFonts w:ascii="宋体" w:hAnsi="宋体"/>
          <w:sz w:val="24"/>
        </w:rPr>
        <w:t>投标担保函</w:t>
      </w:r>
      <w:r>
        <w:rPr>
          <w:rFonts w:hint="eastAsia" w:ascii="宋体" w:hAnsi="宋体"/>
          <w:sz w:val="24"/>
        </w:rPr>
        <w:t>应为北京市政府采购信用担保试点工作专业担保机构出具）、</w:t>
      </w:r>
      <w:r>
        <w:rPr>
          <w:rFonts w:ascii="宋体" w:hAnsi="宋体"/>
          <w:sz w:val="24"/>
        </w:rPr>
        <w:t>电汇（采用电汇必须保证在投标文件递交截止时间前汇到采购代理机构账户。以采购代理机构银行通知确认到账为准；如至投标文件递交截止时间仍未得到采购代理机构的银行确认，将被视为投标人未提供保证金）。</w:t>
      </w:r>
    </w:p>
    <w:p>
      <w:pPr>
        <w:pStyle w:val="110"/>
        <w:spacing w:line="360" w:lineRule="auto"/>
        <w:rPr>
          <w:rFonts w:ascii="宋体" w:hAnsi="宋体"/>
          <w:sz w:val="24"/>
        </w:rPr>
      </w:pPr>
      <w:r>
        <w:rPr>
          <w:rFonts w:hint="eastAsia" w:ascii="宋体" w:hAnsi="宋体"/>
          <w:sz w:val="24"/>
        </w:rPr>
        <w:t>12.4凡没有根据本须知12.1和第12.3条的规定随附投标保证金的投标，将被拒绝。</w:t>
      </w:r>
    </w:p>
    <w:p>
      <w:pPr>
        <w:pStyle w:val="110"/>
        <w:spacing w:line="360" w:lineRule="auto"/>
        <w:rPr>
          <w:rFonts w:ascii="宋体" w:hAnsi="宋体"/>
          <w:sz w:val="24"/>
        </w:rPr>
      </w:pPr>
      <w:r>
        <w:rPr>
          <w:rFonts w:hint="eastAsia" w:ascii="宋体" w:hAnsi="宋体"/>
          <w:sz w:val="24"/>
        </w:rPr>
        <w:t>12.5中标人的投标保证金，在与买方签订合同后五个工作日内退还（中标人凭收据和采购合同领取投标保证金）。</w:t>
      </w:r>
    </w:p>
    <w:p>
      <w:pPr>
        <w:pStyle w:val="110"/>
        <w:spacing w:line="360" w:lineRule="auto"/>
      </w:pPr>
      <w:r>
        <w:rPr>
          <w:rFonts w:hint="eastAsia" w:ascii="宋体" w:hAnsi="宋体"/>
          <w:sz w:val="24"/>
        </w:rPr>
        <w:t>12.6未中标的投标人的投标保证金将于中标通知书发出后五个工作日内退还投标人（投标人凭采购代理机构出具的收款收据领取投标保证金）。</w:t>
      </w:r>
    </w:p>
    <w:p>
      <w:pPr>
        <w:pStyle w:val="5"/>
        <w:tabs>
          <w:tab w:val="left" w:pos="900"/>
        </w:tabs>
        <w:spacing w:line="360" w:lineRule="auto"/>
        <w:rPr>
          <w:rFonts w:hint="default"/>
          <w:b/>
          <w:sz w:val="24"/>
        </w:rPr>
      </w:pPr>
      <w:bookmarkStart w:id="68" w:name="_Toc310195708"/>
      <w:bookmarkStart w:id="69" w:name="_Toc497905822"/>
      <w:bookmarkStart w:id="70" w:name="_Toc520356157"/>
      <w:r>
        <w:rPr>
          <w:b/>
          <w:sz w:val="24"/>
        </w:rPr>
        <w:t>13.投标有效期</w:t>
      </w:r>
      <w:bookmarkEnd w:id="68"/>
      <w:bookmarkEnd w:id="69"/>
      <w:bookmarkEnd w:id="70"/>
    </w:p>
    <w:p>
      <w:pPr>
        <w:pStyle w:val="110"/>
        <w:spacing w:line="360" w:lineRule="auto"/>
        <w:rPr>
          <w:rFonts w:ascii="宋体" w:hAnsi="宋体"/>
          <w:sz w:val="24"/>
        </w:rPr>
      </w:pPr>
      <w:r>
        <w:rPr>
          <w:rFonts w:hint="eastAsia" w:ascii="宋体" w:hAnsi="宋体"/>
          <w:sz w:val="24"/>
        </w:rPr>
        <w:t>13.1投标应在规定的开标日后的</w:t>
      </w:r>
      <w:r>
        <w:rPr>
          <w:rFonts w:hint="eastAsia" w:ascii="宋体" w:hAnsi="宋体"/>
          <w:sz w:val="24"/>
          <w:u w:val="single"/>
        </w:rPr>
        <w:t xml:space="preserve"> 90</w:t>
      </w:r>
      <w:r>
        <w:rPr>
          <w:rFonts w:hint="eastAsia" w:ascii="宋体" w:hAnsi="宋体"/>
          <w:sz w:val="24"/>
        </w:rPr>
        <w:t>天内保持有效，投标有效期不满足要求的投标，将按无效标处理。</w:t>
      </w:r>
    </w:p>
    <w:p>
      <w:pPr>
        <w:pStyle w:val="110"/>
        <w:spacing w:line="360" w:lineRule="auto"/>
      </w:pPr>
      <w:r>
        <w:rPr>
          <w:rFonts w:hint="eastAsia" w:ascii="宋体" w:hAnsi="宋体"/>
          <w:sz w:val="24"/>
        </w:rPr>
        <w:t>13.2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pPr>
        <w:pStyle w:val="5"/>
        <w:tabs>
          <w:tab w:val="left" w:pos="900"/>
        </w:tabs>
        <w:spacing w:line="360" w:lineRule="auto"/>
        <w:rPr>
          <w:rFonts w:hint="default"/>
          <w:b/>
          <w:sz w:val="24"/>
        </w:rPr>
      </w:pPr>
      <w:bookmarkStart w:id="71" w:name="_Toc520356158"/>
      <w:bookmarkStart w:id="72" w:name="_Toc497905823"/>
      <w:bookmarkStart w:id="73" w:name="_Toc310195709"/>
      <w:r>
        <w:rPr>
          <w:b/>
          <w:sz w:val="24"/>
        </w:rPr>
        <w:t>14.投标文件的签署</w:t>
      </w:r>
      <w:bookmarkEnd w:id="71"/>
      <w:r>
        <w:rPr>
          <w:b/>
          <w:sz w:val="24"/>
        </w:rPr>
        <w:t>与规定</w:t>
      </w:r>
      <w:bookmarkEnd w:id="72"/>
      <w:bookmarkEnd w:id="73"/>
    </w:p>
    <w:p>
      <w:pPr>
        <w:pStyle w:val="110"/>
        <w:spacing w:line="360" w:lineRule="auto"/>
        <w:rPr>
          <w:rFonts w:ascii="宋体" w:hAnsi="宋体"/>
          <w:sz w:val="24"/>
        </w:rPr>
      </w:pPr>
      <w:r>
        <w:rPr>
          <w:rFonts w:hint="eastAsia" w:ascii="宋体" w:hAnsi="宋体"/>
          <w:sz w:val="24"/>
        </w:rPr>
        <w:t>14.1投标人应按招标文件投标人须知资料表的规定准备投标文件正本和副本，每份投标文件须清楚地标明“正本”或“副本”。若正本和副本不符，以正本为准。</w:t>
      </w:r>
    </w:p>
    <w:p>
      <w:pPr>
        <w:pStyle w:val="110"/>
        <w:spacing w:line="360" w:lineRule="auto"/>
        <w:rPr>
          <w:rFonts w:ascii="宋体" w:hAnsi="宋体"/>
          <w:sz w:val="24"/>
        </w:rPr>
      </w:pPr>
      <w:r>
        <w:rPr>
          <w:rFonts w:hint="eastAsia" w:ascii="宋体" w:hAnsi="宋体"/>
          <w:sz w:val="24"/>
        </w:rPr>
        <w:t>14.2投标文件的正本需打印或用不退色墨水书写，并由投标人的法定代表人或经其正式授权的代表在投标文件上签字并加盖单位印章。授权代表须持有书面的“法定代表人授权书”（标准格式附后），并将其附在投标文件中。</w:t>
      </w:r>
    </w:p>
    <w:p>
      <w:pPr>
        <w:pStyle w:val="110"/>
        <w:spacing w:line="360" w:lineRule="auto"/>
        <w:rPr>
          <w:rFonts w:ascii="宋体" w:hAnsi="宋体"/>
          <w:sz w:val="24"/>
        </w:rPr>
      </w:pPr>
      <w:r>
        <w:rPr>
          <w:rFonts w:hint="eastAsia" w:ascii="宋体" w:hAnsi="宋体"/>
          <w:sz w:val="24"/>
        </w:rPr>
        <w:t>14.3 任何对投标文件行间插字、涂改和增删，必须由投标文件签字人签字或盖章后才有效。</w:t>
      </w:r>
    </w:p>
    <w:p>
      <w:pPr>
        <w:pStyle w:val="110"/>
        <w:spacing w:line="360" w:lineRule="auto"/>
        <w:rPr>
          <w:rFonts w:ascii="宋体" w:hAnsi="宋体"/>
          <w:sz w:val="24"/>
        </w:rPr>
      </w:pPr>
      <w:r>
        <w:rPr>
          <w:rFonts w:hint="eastAsia" w:ascii="宋体" w:hAnsi="宋体"/>
          <w:sz w:val="24"/>
        </w:rPr>
        <w:t>14.4 投标文件因字迹潦草或表达不清所引起的后果由投标人负责。</w:t>
      </w:r>
    </w:p>
    <w:p>
      <w:pPr>
        <w:pStyle w:val="110"/>
        <w:spacing w:line="360" w:lineRule="auto"/>
        <w:rPr>
          <w:rFonts w:ascii="宋体" w:hAnsi="宋体"/>
          <w:sz w:val="24"/>
        </w:rPr>
      </w:pPr>
      <w:r>
        <w:rPr>
          <w:rFonts w:hint="eastAsia" w:ascii="宋体" w:hAnsi="宋体"/>
          <w:sz w:val="24"/>
        </w:rPr>
        <w:t>14.5 投标文件无法人签字，或无被授权代表签字，其投标为无效标。</w:t>
      </w:r>
    </w:p>
    <w:p>
      <w:pPr>
        <w:pStyle w:val="5"/>
        <w:tabs>
          <w:tab w:val="left" w:pos="900"/>
        </w:tabs>
        <w:spacing w:line="360" w:lineRule="auto"/>
        <w:jc w:val="center"/>
        <w:rPr>
          <w:rFonts w:hint="default"/>
          <w:sz w:val="24"/>
        </w:rPr>
      </w:pPr>
      <w:bookmarkStart w:id="74" w:name="_Toc520356159"/>
      <w:bookmarkStart w:id="75" w:name="_Toc310195710"/>
      <w:bookmarkStart w:id="76" w:name="_Toc497905824"/>
      <w:r>
        <w:rPr>
          <w:sz w:val="24"/>
        </w:rPr>
        <w:t>四   投标文件的递交</w:t>
      </w:r>
      <w:bookmarkEnd w:id="74"/>
      <w:bookmarkEnd w:id="75"/>
      <w:bookmarkEnd w:id="76"/>
    </w:p>
    <w:p>
      <w:pPr>
        <w:pStyle w:val="5"/>
        <w:spacing w:line="360" w:lineRule="auto"/>
        <w:rPr>
          <w:rFonts w:hint="default"/>
          <w:b/>
          <w:sz w:val="24"/>
        </w:rPr>
      </w:pPr>
      <w:bookmarkStart w:id="77" w:name="_Toc310195711"/>
      <w:bookmarkStart w:id="78" w:name="_Toc497905825"/>
      <w:r>
        <w:rPr>
          <w:b/>
          <w:sz w:val="24"/>
        </w:rPr>
        <w:t>15.投标文件的装订及递交</w:t>
      </w:r>
      <w:bookmarkEnd w:id="77"/>
      <w:bookmarkEnd w:id="78"/>
    </w:p>
    <w:p>
      <w:pPr>
        <w:pStyle w:val="110"/>
        <w:spacing w:line="360" w:lineRule="auto"/>
        <w:rPr>
          <w:rFonts w:ascii="宋体" w:hAnsi="宋体"/>
          <w:b/>
          <w:sz w:val="24"/>
        </w:rPr>
      </w:pPr>
      <w:bookmarkStart w:id="79" w:name="_Toc520356161"/>
      <w:r>
        <w:rPr>
          <w:rFonts w:hint="eastAsia" w:ascii="宋体" w:hAnsi="宋体"/>
          <w:b/>
          <w:sz w:val="24"/>
        </w:rPr>
        <w:t>15.1 投标文件的装订要求，正文部分一律采用A4纸（图纸、彩页等除外），左侧装订。装订应牢固可靠，不易散落，不得采用活页式装订。采购人对因装订不牢造成的文件散失不负责任。投标文件需打印或用不退色墨水书写，并由投标人的法定代表人或经其正式授权的代表在投标文件上签字并加盖单位印章(标书中所要求盖章处均为本单位公章，其他印章如投标专用章、业务专用章、合同专用章等均无效)。</w:t>
      </w:r>
    </w:p>
    <w:p>
      <w:pPr>
        <w:pStyle w:val="110"/>
        <w:spacing w:line="360" w:lineRule="auto"/>
        <w:rPr>
          <w:rFonts w:ascii="宋体" w:hAnsi="宋体"/>
          <w:b/>
          <w:sz w:val="24"/>
        </w:rPr>
      </w:pPr>
      <w:r>
        <w:rPr>
          <w:rFonts w:hint="eastAsia" w:ascii="宋体" w:hAnsi="宋体"/>
          <w:b/>
          <w:sz w:val="24"/>
        </w:rPr>
        <w:t>15.2投标人应将“开标一览表”、“投标保证金复印件”、“电子版”、“投标文件正本”、“投标文件副本”，分开单独密封，并在信封上分别注明标明“开标一览表”、“投标保证金”、“电子版”、“投标文件正本”、“投标文件副本”字样，在投标时单独递交。同时提供“法人代表授权书复印件（加盖本单位公章）”及“授权代表身份证复印件（加盖本单位公章）”。</w:t>
      </w:r>
    </w:p>
    <w:p>
      <w:pPr>
        <w:pStyle w:val="110"/>
        <w:spacing w:line="360" w:lineRule="auto"/>
        <w:rPr>
          <w:rFonts w:ascii="宋体" w:hAnsi="宋体"/>
          <w:b/>
          <w:sz w:val="24"/>
        </w:rPr>
      </w:pPr>
      <w:r>
        <w:rPr>
          <w:rFonts w:hint="eastAsia" w:ascii="宋体" w:hAnsi="宋体"/>
          <w:b/>
          <w:sz w:val="24"/>
        </w:rPr>
        <w:t>15.3所有信封上均应：</w:t>
      </w:r>
    </w:p>
    <w:p>
      <w:pPr>
        <w:pStyle w:val="110"/>
        <w:spacing w:line="360" w:lineRule="auto"/>
        <w:rPr>
          <w:rFonts w:ascii="宋体" w:hAnsi="宋体"/>
          <w:b/>
          <w:sz w:val="24"/>
        </w:rPr>
      </w:pPr>
      <w:r>
        <w:rPr>
          <w:rFonts w:hint="eastAsia" w:ascii="宋体" w:hAnsi="宋体"/>
          <w:b/>
          <w:sz w:val="24"/>
        </w:rPr>
        <w:t>1)清楚标明递交至招标公告或投标邀请书中指明的地址。</w:t>
      </w:r>
    </w:p>
    <w:p>
      <w:pPr>
        <w:pStyle w:val="110"/>
        <w:spacing w:line="360" w:lineRule="auto"/>
        <w:rPr>
          <w:rFonts w:ascii="宋体" w:hAnsi="宋体"/>
          <w:b/>
          <w:sz w:val="24"/>
        </w:rPr>
      </w:pPr>
      <w:r>
        <w:rPr>
          <w:rFonts w:hint="eastAsia" w:ascii="宋体" w:hAnsi="宋体"/>
          <w:b/>
          <w:sz w:val="24"/>
        </w:rPr>
        <w:t>2)注明招标的项目名称、项目编号和“在</w:t>
      </w:r>
      <w:r>
        <w:rPr>
          <w:rFonts w:hint="eastAsia" w:ascii="宋体" w:hAnsi="宋体"/>
          <w:b/>
          <w:i/>
          <w:sz w:val="24"/>
          <w:u w:val="single"/>
        </w:rPr>
        <w:t>（</w:t>
      </w:r>
      <w:r>
        <w:rPr>
          <w:rFonts w:hint="eastAsia" w:ascii="宋体" w:hAnsi="宋体"/>
          <w:i/>
          <w:sz w:val="24"/>
          <w:u w:val="single"/>
        </w:rPr>
        <w:t>开标时间</w:t>
      </w:r>
      <w:r>
        <w:rPr>
          <w:rFonts w:hint="eastAsia" w:ascii="宋体" w:hAnsi="宋体"/>
          <w:b/>
          <w:i/>
          <w:sz w:val="24"/>
          <w:u w:val="single"/>
        </w:rPr>
        <w:t>）</w:t>
      </w:r>
      <w:r>
        <w:rPr>
          <w:rFonts w:hint="eastAsia" w:ascii="宋体" w:hAnsi="宋体"/>
          <w:b/>
          <w:sz w:val="24"/>
        </w:rPr>
        <w:t>之前不得启封”的字样。</w:t>
      </w:r>
    </w:p>
    <w:p>
      <w:pPr>
        <w:pStyle w:val="110"/>
        <w:spacing w:line="360" w:lineRule="auto"/>
        <w:rPr>
          <w:rFonts w:ascii="宋体" w:hAnsi="宋体"/>
          <w:b/>
          <w:sz w:val="24"/>
        </w:rPr>
      </w:pPr>
      <w:r>
        <w:rPr>
          <w:rFonts w:hint="eastAsia" w:ascii="宋体" w:hAnsi="宋体"/>
          <w:b/>
          <w:sz w:val="24"/>
        </w:rPr>
        <w:t>3)投标人提供投标文件的密封粘贴处应加盖本单位公章或被授权代表签字，以便确认密封情况，不符合要求的投标将被拒绝。</w:t>
      </w:r>
    </w:p>
    <w:p>
      <w:pPr>
        <w:pStyle w:val="110"/>
        <w:spacing w:line="360" w:lineRule="auto"/>
        <w:rPr>
          <w:rFonts w:ascii="宋体" w:hAnsi="宋体"/>
          <w:sz w:val="24"/>
        </w:rPr>
      </w:pPr>
      <w:r>
        <w:rPr>
          <w:rFonts w:hint="eastAsia" w:ascii="宋体" w:hAnsi="宋体"/>
          <w:sz w:val="24"/>
        </w:rPr>
        <w:t>15.4 所有信封上还应写明投标人名称和地址，以便采购代理机构在投标截止时间以后收到的投标文件，能原封退回。如果投标人未按上述要求加写标记的，采购代理机构对投标文件的误投概不负责。</w:t>
      </w:r>
    </w:p>
    <w:p>
      <w:pPr>
        <w:pStyle w:val="11"/>
        <w:tabs>
          <w:tab w:val="clear" w:pos="567"/>
        </w:tabs>
        <w:spacing w:line="360" w:lineRule="auto"/>
        <w:rPr>
          <w:rFonts w:ascii="宋体" w:hAnsi="宋体"/>
          <w:lang w:val="en-US"/>
        </w:rPr>
      </w:pPr>
      <w:r>
        <w:rPr>
          <w:rFonts w:hint="eastAsia" w:ascii="宋体" w:hAnsi="宋体"/>
          <w:lang w:val="en-US"/>
        </w:rPr>
        <w:t>15.5如需提供样品的，在评审结果公示后，未中标人提供的样品在5个工作日内退还；中标人提供的样品进行保管封存，做为履约验收的参考依据。</w:t>
      </w:r>
    </w:p>
    <w:p>
      <w:pPr>
        <w:pStyle w:val="5"/>
        <w:spacing w:line="360" w:lineRule="auto"/>
        <w:rPr>
          <w:rFonts w:hint="default"/>
          <w:b/>
          <w:sz w:val="24"/>
        </w:rPr>
      </w:pPr>
      <w:bookmarkStart w:id="80" w:name="_Toc310195712"/>
      <w:bookmarkStart w:id="81" w:name="_Toc497905826"/>
      <w:r>
        <w:rPr>
          <w:b/>
          <w:sz w:val="24"/>
        </w:rPr>
        <w:t>16.投标截止期</w:t>
      </w:r>
      <w:bookmarkEnd w:id="79"/>
      <w:bookmarkEnd w:id="80"/>
      <w:bookmarkEnd w:id="81"/>
    </w:p>
    <w:p>
      <w:pPr>
        <w:pStyle w:val="110"/>
        <w:spacing w:line="360" w:lineRule="auto"/>
        <w:rPr>
          <w:rFonts w:ascii="宋体" w:hAnsi="宋体"/>
          <w:sz w:val="24"/>
        </w:rPr>
      </w:pPr>
      <w:r>
        <w:rPr>
          <w:rFonts w:hint="eastAsia" w:ascii="宋体" w:hAnsi="宋体"/>
          <w:sz w:val="24"/>
        </w:rPr>
        <w:t>16.1投标人应在招标公告或投标邀请书中规定的截止时间前，将投标文件按招标公告或投标邀请书中规定的地址递交。</w:t>
      </w:r>
    </w:p>
    <w:p>
      <w:pPr>
        <w:pStyle w:val="110"/>
        <w:spacing w:line="360" w:lineRule="auto"/>
        <w:rPr>
          <w:rFonts w:ascii="宋体" w:hAnsi="宋体"/>
          <w:sz w:val="24"/>
        </w:rPr>
      </w:pPr>
      <w:r>
        <w:rPr>
          <w:rFonts w:hint="eastAsia" w:ascii="宋体" w:hAnsi="宋体"/>
          <w:sz w:val="24"/>
        </w:rPr>
        <w:t>16.2采购代理机构有权按本须知的规定，通过修改招标文件延长投标截止期。在此情况下，采购代理机构和投标人受投标截止期制约的所有权利和义务均应延长至新的截止期。</w:t>
      </w:r>
    </w:p>
    <w:p>
      <w:pPr>
        <w:pStyle w:val="110"/>
        <w:spacing w:line="360" w:lineRule="auto"/>
      </w:pPr>
      <w:r>
        <w:rPr>
          <w:rFonts w:hint="eastAsia" w:ascii="宋体" w:hAnsi="宋体"/>
          <w:sz w:val="24"/>
        </w:rPr>
        <w:t>16.3采购代理机构将拒绝并原封退回在本须知规定的投标截止期后收到的任何投标文件。</w:t>
      </w:r>
    </w:p>
    <w:p>
      <w:pPr>
        <w:pStyle w:val="5"/>
        <w:spacing w:line="360" w:lineRule="auto"/>
        <w:rPr>
          <w:rFonts w:hint="default"/>
          <w:b/>
          <w:sz w:val="24"/>
        </w:rPr>
      </w:pPr>
      <w:bookmarkStart w:id="82" w:name="_Toc520356162"/>
      <w:bookmarkStart w:id="83" w:name="_Toc310195713"/>
      <w:bookmarkStart w:id="84" w:name="_Toc497905827"/>
      <w:r>
        <w:rPr>
          <w:b/>
          <w:sz w:val="24"/>
        </w:rPr>
        <w:t>17.投标文件的修改与撤回</w:t>
      </w:r>
      <w:bookmarkEnd w:id="82"/>
      <w:bookmarkEnd w:id="83"/>
      <w:bookmarkEnd w:id="84"/>
    </w:p>
    <w:p>
      <w:pPr>
        <w:pStyle w:val="110"/>
        <w:spacing w:line="360" w:lineRule="auto"/>
        <w:rPr>
          <w:rFonts w:ascii="宋体" w:hAnsi="宋体"/>
          <w:sz w:val="24"/>
        </w:rPr>
      </w:pPr>
      <w:r>
        <w:rPr>
          <w:rFonts w:hint="eastAsia" w:ascii="宋体" w:hAnsi="宋体"/>
          <w:sz w:val="24"/>
        </w:rPr>
        <w:t>17.1投标以后，如果投标人提出书面修改或撤标要求，在投标截止时间前送达采购代理机构者，采购代理机构将予以接受。</w:t>
      </w:r>
    </w:p>
    <w:p>
      <w:pPr>
        <w:pStyle w:val="110"/>
        <w:spacing w:line="360" w:lineRule="auto"/>
        <w:rPr>
          <w:rFonts w:ascii="宋体" w:hAnsi="宋体"/>
          <w:sz w:val="24"/>
        </w:rPr>
      </w:pPr>
      <w:r>
        <w:rPr>
          <w:rFonts w:hint="eastAsia" w:ascii="宋体" w:hAnsi="宋体"/>
          <w:sz w:val="24"/>
        </w:rPr>
        <w:t>17.2投标人对投标文件的修改或撤回通知应按本须知规定进行编制、密封、标记和递</w:t>
      </w:r>
    </w:p>
    <w:p>
      <w:pPr>
        <w:pStyle w:val="110"/>
        <w:spacing w:line="360" w:lineRule="auto"/>
        <w:rPr>
          <w:rFonts w:ascii="宋体" w:hAnsi="宋体"/>
          <w:sz w:val="24"/>
        </w:rPr>
      </w:pPr>
      <w:r>
        <w:rPr>
          <w:rFonts w:hint="eastAsia" w:ascii="宋体" w:hAnsi="宋体"/>
          <w:sz w:val="24"/>
        </w:rPr>
        <w:t>交。</w:t>
      </w:r>
    </w:p>
    <w:p>
      <w:pPr>
        <w:pStyle w:val="110"/>
        <w:spacing w:line="360" w:lineRule="auto"/>
        <w:rPr>
          <w:rFonts w:ascii="宋体" w:hAnsi="宋体"/>
          <w:sz w:val="24"/>
        </w:rPr>
      </w:pPr>
      <w:r>
        <w:rPr>
          <w:rFonts w:hint="eastAsia" w:ascii="宋体" w:hAnsi="宋体"/>
          <w:sz w:val="24"/>
        </w:rPr>
        <w:t>17.3在投标截止期之后，投标人不得对其投标做任何修改。</w:t>
      </w:r>
    </w:p>
    <w:p>
      <w:pPr>
        <w:pStyle w:val="110"/>
        <w:spacing w:line="360" w:lineRule="auto"/>
        <w:rPr>
          <w:rFonts w:ascii="宋体" w:hAnsi="宋体"/>
          <w:b/>
          <w:sz w:val="24"/>
        </w:rPr>
      </w:pPr>
      <w:r>
        <w:rPr>
          <w:rFonts w:hint="eastAsia" w:ascii="宋体" w:hAnsi="宋体"/>
          <w:b/>
          <w:sz w:val="24"/>
        </w:rPr>
        <w:t>17.4在投标截止期之后，投标人不得撤回其投标（包括全部投标资料），否则其投标保证金将按照本须知的第12条规定不予退回。</w:t>
      </w:r>
    </w:p>
    <w:p>
      <w:pPr>
        <w:pStyle w:val="5"/>
        <w:spacing w:line="360" w:lineRule="auto"/>
        <w:ind w:left="899" w:hanging="899"/>
        <w:jc w:val="center"/>
        <w:rPr>
          <w:rFonts w:hint="default"/>
          <w:sz w:val="24"/>
        </w:rPr>
      </w:pPr>
      <w:bookmarkStart w:id="85" w:name="_Toc497905828"/>
      <w:bookmarkStart w:id="86" w:name="_Toc310195714"/>
      <w:bookmarkStart w:id="87" w:name="_Toc520356163"/>
      <w:r>
        <w:rPr>
          <w:sz w:val="24"/>
        </w:rPr>
        <w:t>五   开标及评标</w:t>
      </w:r>
      <w:bookmarkEnd w:id="85"/>
      <w:bookmarkEnd w:id="86"/>
      <w:bookmarkEnd w:id="87"/>
    </w:p>
    <w:p>
      <w:pPr>
        <w:pStyle w:val="5"/>
        <w:spacing w:line="360" w:lineRule="auto"/>
        <w:rPr>
          <w:rFonts w:hint="default"/>
          <w:b/>
          <w:sz w:val="24"/>
        </w:rPr>
      </w:pPr>
      <w:bookmarkStart w:id="88" w:name="_Toc310195715"/>
      <w:bookmarkStart w:id="89" w:name="_Toc497905829"/>
      <w:bookmarkStart w:id="90" w:name="_Toc520356164"/>
      <w:r>
        <w:rPr>
          <w:b/>
          <w:sz w:val="24"/>
        </w:rPr>
        <w:t>18.开标</w:t>
      </w:r>
      <w:bookmarkEnd w:id="88"/>
      <w:bookmarkEnd w:id="89"/>
      <w:bookmarkEnd w:id="90"/>
    </w:p>
    <w:p>
      <w:pPr>
        <w:pStyle w:val="110"/>
        <w:spacing w:line="360" w:lineRule="auto"/>
        <w:rPr>
          <w:rFonts w:ascii="宋体" w:hAnsi="宋体"/>
          <w:sz w:val="24"/>
        </w:rPr>
      </w:pPr>
      <w:r>
        <w:rPr>
          <w:rFonts w:hint="eastAsia" w:ascii="宋体" w:hAnsi="宋体"/>
          <w:sz w:val="24"/>
        </w:rPr>
        <w:t>18.1采购代理机构应当按招标公告或投标邀请书的规定，在投标截止时间的同一时间和预先确定的地点组织公开开标。所有投标人应派被授权人参加。参加开标的代表应签名报到以证明其出席。</w:t>
      </w:r>
    </w:p>
    <w:p>
      <w:pPr>
        <w:pStyle w:val="110"/>
        <w:spacing w:line="360" w:lineRule="auto"/>
        <w:rPr>
          <w:rFonts w:ascii="宋体" w:hAnsi="宋体"/>
          <w:sz w:val="24"/>
        </w:rPr>
      </w:pPr>
      <w:r>
        <w:rPr>
          <w:rFonts w:hint="eastAsia" w:ascii="宋体" w:hAnsi="宋体"/>
          <w:sz w:val="24"/>
        </w:rPr>
        <w:t>18.2开标时，由公证员、监标人或投标人代表检查投标文件的密封情况。</w:t>
      </w:r>
    </w:p>
    <w:p>
      <w:pPr>
        <w:pStyle w:val="110"/>
        <w:spacing w:line="360" w:lineRule="auto"/>
        <w:rPr>
          <w:rFonts w:ascii="宋体" w:hAnsi="宋体"/>
          <w:b/>
          <w:sz w:val="24"/>
        </w:rPr>
      </w:pPr>
      <w:r>
        <w:rPr>
          <w:rFonts w:hint="eastAsia" w:ascii="宋体" w:hAnsi="宋体"/>
          <w:b/>
          <w:sz w:val="24"/>
        </w:rPr>
        <w:t>18.3开标时，采购代理机构当众宣读开标一览表中全部内容。对于投标人在投标截止期前递交的投标声明，在开标时当众宣读，评标时有效。未宣读的投标价格、价格折扣等实质内容，评标时不予承认。</w:t>
      </w:r>
    </w:p>
    <w:p>
      <w:pPr>
        <w:pStyle w:val="110"/>
        <w:spacing w:line="360" w:lineRule="auto"/>
      </w:pPr>
      <w:r>
        <w:rPr>
          <w:rFonts w:hint="eastAsia" w:ascii="宋体" w:hAnsi="宋体"/>
          <w:sz w:val="24"/>
        </w:rPr>
        <w:t>18.4采购代理机构将对唱标内容做开标记录</w:t>
      </w:r>
      <w:bookmarkStart w:id="91" w:name="_Toc520356165"/>
      <w:r>
        <w:rPr>
          <w:rFonts w:hint="eastAsia" w:ascii="宋体" w:hAnsi="宋体"/>
          <w:sz w:val="24"/>
        </w:rPr>
        <w:t>，由公证员或监标人、采购代理机构、投标人代表签字确认。</w:t>
      </w:r>
    </w:p>
    <w:bookmarkEnd w:id="91"/>
    <w:p>
      <w:pPr>
        <w:pStyle w:val="5"/>
        <w:spacing w:line="360" w:lineRule="auto"/>
        <w:rPr>
          <w:rFonts w:hint="default"/>
          <w:b/>
          <w:sz w:val="24"/>
        </w:rPr>
      </w:pPr>
      <w:bookmarkStart w:id="92" w:name="_Toc497905830"/>
      <w:bookmarkStart w:id="93" w:name="_Toc310195716"/>
      <w:r>
        <w:rPr>
          <w:b/>
          <w:sz w:val="24"/>
        </w:rPr>
        <w:t>19.评标委员会和评标方法</w:t>
      </w:r>
      <w:bookmarkEnd w:id="92"/>
      <w:bookmarkEnd w:id="93"/>
    </w:p>
    <w:p>
      <w:pPr>
        <w:pStyle w:val="110"/>
        <w:spacing w:line="360" w:lineRule="auto"/>
        <w:rPr>
          <w:rFonts w:ascii="宋体" w:hAnsi="宋体"/>
          <w:sz w:val="24"/>
        </w:rPr>
      </w:pPr>
      <w:r>
        <w:rPr>
          <w:rFonts w:hint="eastAsia" w:ascii="宋体" w:hAnsi="宋体"/>
          <w:sz w:val="24"/>
        </w:rPr>
        <w:t>19.1评标由依照有关法律法规组建的评标委员会负责。评标方法和标准在本招标文件第五章中规定。评标委员会对投标文件的评审，分为符合性检查、资格性检查、商务评议、技术评议、综合评议。</w:t>
      </w:r>
    </w:p>
    <w:p>
      <w:pPr>
        <w:pStyle w:val="5"/>
        <w:spacing w:line="360" w:lineRule="auto"/>
        <w:rPr>
          <w:rFonts w:hint="default"/>
          <w:b/>
          <w:sz w:val="24"/>
        </w:rPr>
      </w:pPr>
      <w:bookmarkStart w:id="94" w:name="_Toc520356166"/>
      <w:bookmarkStart w:id="95" w:name="_Toc310195717"/>
      <w:bookmarkStart w:id="96" w:name="_Toc497905831"/>
      <w:r>
        <w:rPr>
          <w:b/>
          <w:sz w:val="24"/>
        </w:rPr>
        <w:t>20.投标文件的</w:t>
      </w:r>
      <w:bookmarkEnd w:id="94"/>
      <w:r>
        <w:rPr>
          <w:b/>
          <w:sz w:val="24"/>
        </w:rPr>
        <w:t>初审</w:t>
      </w:r>
      <w:bookmarkEnd w:id="95"/>
      <w:bookmarkEnd w:id="96"/>
    </w:p>
    <w:p>
      <w:pPr>
        <w:pStyle w:val="110"/>
        <w:spacing w:line="360" w:lineRule="auto"/>
        <w:rPr>
          <w:rFonts w:ascii="宋体" w:hAnsi="宋体"/>
          <w:sz w:val="24"/>
        </w:rPr>
      </w:pPr>
      <w:r>
        <w:rPr>
          <w:rFonts w:hint="eastAsia" w:ascii="宋体" w:hAnsi="宋体"/>
          <w:sz w:val="24"/>
        </w:rPr>
        <w:t>20.1符合性审查。评标委员会将审查投标文件有效性、完整性和对招标文件的响应程度，以确定是否对招标文件的实质性要求做出响应。</w:t>
      </w:r>
    </w:p>
    <w:p>
      <w:pPr>
        <w:pStyle w:val="110"/>
        <w:spacing w:line="360" w:lineRule="auto"/>
        <w:rPr>
          <w:rFonts w:ascii="宋体" w:hAnsi="宋体"/>
          <w:sz w:val="24"/>
        </w:rPr>
      </w:pPr>
      <w:r>
        <w:rPr>
          <w:rFonts w:hint="eastAsia" w:ascii="宋体" w:hAnsi="宋体"/>
          <w:sz w:val="24"/>
        </w:rPr>
        <w:t>20.2资格性审查。依据法律法规和招标文件的规定，对投标文件中的资格证明、投标保证金等进行审查，以确定投标人是否具备投标资格。</w:t>
      </w:r>
    </w:p>
    <w:p>
      <w:pPr>
        <w:pStyle w:val="110"/>
        <w:spacing w:line="360" w:lineRule="auto"/>
        <w:rPr>
          <w:rFonts w:ascii="宋体" w:hAnsi="宋体"/>
          <w:sz w:val="24"/>
        </w:rPr>
      </w:pPr>
      <w:r>
        <w:rPr>
          <w:rFonts w:hint="eastAsia" w:ascii="宋体" w:hAnsi="宋体"/>
          <w:sz w:val="24"/>
        </w:rPr>
        <w:t>20.3评标时算术错误将按以下方法更正（有明显错误的情况除外）：</w:t>
      </w:r>
    </w:p>
    <w:p>
      <w:pPr>
        <w:pStyle w:val="110"/>
        <w:spacing w:line="360" w:lineRule="auto"/>
        <w:rPr>
          <w:rFonts w:ascii="宋体" w:hAnsi="宋体"/>
          <w:sz w:val="24"/>
        </w:rPr>
      </w:pPr>
      <w:r>
        <w:rPr>
          <w:rFonts w:hint="eastAsia" w:ascii="宋体" w:hAnsi="宋体"/>
          <w:sz w:val="24"/>
        </w:rPr>
        <w:t>20.3.1投标文件中开标一览表（报价表）内容与投标文件中相应内容不一致的，以开标一览表（报价表）为准；</w:t>
      </w:r>
    </w:p>
    <w:p>
      <w:pPr>
        <w:pStyle w:val="110"/>
        <w:spacing w:line="360" w:lineRule="auto"/>
        <w:rPr>
          <w:rFonts w:ascii="宋体" w:hAnsi="宋体"/>
          <w:sz w:val="24"/>
        </w:rPr>
      </w:pPr>
      <w:r>
        <w:rPr>
          <w:rFonts w:hint="eastAsia" w:ascii="宋体" w:hAnsi="宋体"/>
          <w:sz w:val="24"/>
        </w:rPr>
        <w:t>20.3.2大写金额和小写金额不一致的，以大写金额为准；</w:t>
      </w:r>
    </w:p>
    <w:p>
      <w:pPr>
        <w:pStyle w:val="110"/>
        <w:spacing w:line="360" w:lineRule="auto"/>
        <w:rPr>
          <w:rFonts w:ascii="宋体" w:hAnsi="宋体"/>
          <w:sz w:val="24"/>
        </w:rPr>
      </w:pPr>
      <w:r>
        <w:rPr>
          <w:rFonts w:hint="eastAsia" w:ascii="宋体" w:hAnsi="宋体"/>
          <w:sz w:val="24"/>
        </w:rPr>
        <w:t>20.3.3单价金额小数点或者百分比有明显错位的，以开标一览表的总价为准，并修改单价；</w:t>
      </w:r>
    </w:p>
    <w:p>
      <w:pPr>
        <w:pStyle w:val="110"/>
        <w:spacing w:line="360" w:lineRule="auto"/>
        <w:rPr>
          <w:rFonts w:ascii="宋体" w:hAnsi="宋体"/>
          <w:sz w:val="24"/>
        </w:rPr>
      </w:pPr>
      <w:r>
        <w:rPr>
          <w:rFonts w:hint="eastAsia" w:ascii="宋体" w:hAnsi="宋体"/>
          <w:sz w:val="24"/>
        </w:rPr>
        <w:t>20.3.4总价金额与按单价汇总金额不一致的，以单价金额计算结果为准。</w:t>
      </w:r>
    </w:p>
    <w:p>
      <w:pPr>
        <w:pStyle w:val="110"/>
        <w:spacing w:line="360" w:lineRule="auto"/>
        <w:rPr>
          <w:rFonts w:ascii="宋体" w:hAnsi="宋体"/>
          <w:sz w:val="24"/>
        </w:rPr>
      </w:pPr>
      <w:r>
        <w:rPr>
          <w:rFonts w:hint="eastAsia" w:ascii="宋体" w:hAnsi="宋体"/>
          <w:sz w:val="24"/>
        </w:rPr>
        <w:t>同时出现两种以上不一致的，按照前款规定的顺序修正。</w:t>
      </w:r>
    </w:p>
    <w:p>
      <w:pPr>
        <w:pStyle w:val="110"/>
        <w:spacing w:line="360" w:lineRule="auto"/>
        <w:rPr>
          <w:rFonts w:ascii="宋体" w:hAnsi="宋体"/>
          <w:sz w:val="24"/>
        </w:rPr>
      </w:pPr>
      <w:r>
        <w:rPr>
          <w:rFonts w:hint="eastAsia" w:ascii="宋体" w:hAnsi="宋体"/>
          <w:sz w:val="24"/>
        </w:rPr>
        <w:t>20.3.5对不同文字文本投标文件解释发生异议的，以中文文本为准。</w:t>
      </w:r>
    </w:p>
    <w:p>
      <w:pPr>
        <w:pStyle w:val="110"/>
        <w:spacing w:line="360" w:lineRule="auto"/>
        <w:rPr>
          <w:rFonts w:ascii="宋体" w:hAnsi="宋体"/>
          <w:sz w:val="24"/>
        </w:rPr>
      </w:pPr>
      <w:r>
        <w:rPr>
          <w:rFonts w:hint="eastAsia" w:ascii="宋体" w:hAnsi="宋体"/>
          <w:sz w:val="24"/>
        </w:rPr>
        <w:t>20.4 在详细评标之前，评标委员会要审查每份投标文件是否实质上响应了招标文件的要求。实质上响应的投标应该是投标文件完整的、与招标文件要求的全部条款、条件和规格相符的，没有重大偏离的投标。对关键条文例如关于投标保证金、投标有效期、资格证明文件、适用法律、社会保障资金等内容的偏离、保留和反对将被认为是实质上的偏离。评标委员会决定投标的响应性只根据投标文件本身的内容，而不寻求外部的证据。</w:t>
      </w:r>
    </w:p>
    <w:p>
      <w:pPr>
        <w:pStyle w:val="110"/>
        <w:spacing w:line="360" w:lineRule="auto"/>
      </w:pPr>
      <w:r>
        <w:rPr>
          <w:rFonts w:hint="eastAsia" w:ascii="宋体" w:hAnsi="宋体"/>
          <w:sz w:val="24"/>
        </w:rPr>
        <w:t>20.5</w:t>
      </w:r>
      <w:r>
        <w:rPr>
          <w:rFonts w:ascii="宋体" w:hAnsi="宋体"/>
          <w:sz w:val="24"/>
        </w:rPr>
        <w:t>对于投标文件中不构成实质性偏差的不正规、不一致或不规则，评标委员会可以接受，但这种接受不能损坏或影响任何投标人的相对排序。</w:t>
      </w:r>
    </w:p>
    <w:p>
      <w:pPr>
        <w:pStyle w:val="110"/>
        <w:spacing w:line="360" w:lineRule="auto"/>
        <w:rPr>
          <w:rFonts w:ascii="宋体" w:hAnsi="宋体"/>
          <w:b/>
          <w:sz w:val="24"/>
        </w:rPr>
      </w:pPr>
      <w:r>
        <w:rPr>
          <w:rFonts w:hint="eastAsia" w:ascii="宋体" w:hAnsi="宋体"/>
          <w:b/>
          <w:sz w:val="24"/>
        </w:rPr>
        <w:t>20.6 在招标采购中，出现下列情形之一的，应予废标：</w:t>
      </w:r>
    </w:p>
    <w:p>
      <w:pPr>
        <w:pStyle w:val="110"/>
        <w:spacing w:line="360" w:lineRule="auto"/>
        <w:rPr>
          <w:rFonts w:ascii="宋体" w:hAnsi="宋体"/>
          <w:b/>
          <w:sz w:val="24"/>
        </w:rPr>
      </w:pPr>
      <w:r>
        <w:rPr>
          <w:rFonts w:hint="eastAsia" w:ascii="宋体" w:hAnsi="宋体"/>
          <w:b/>
          <w:sz w:val="24"/>
        </w:rPr>
        <w:t xml:space="preserve">      1)符合专业条件的投标人或者对招标文件实质响应的投标人不足三家的；</w:t>
      </w:r>
    </w:p>
    <w:p>
      <w:pPr>
        <w:pStyle w:val="110"/>
        <w:spacing w:line="360" w:lineRule="auto"/>
        <w:rPr>
          <w:rFonts w:ascii="宋体" w:hAnsi="宋体"/>
          <w:b/>
          <w:sz w:val="24"/>
        </w:rPr>
      </w:pPr>
      <w:r>
        <w:rPr>
          <w:rFonts w:hint="eastAsia" w:ascii="宋体" w:hAnsi="宋体"/>
          <w:b/>
          <w:sz w:val="24"/>
        </w:rPr>
        <w:t xml:space="preserve">      2)出现影响采购公正的违法、违规行为的；</w:t>
      </w:r>
    </w:p>
    <w:p>
      <w:pPr>
        <w:pStyle w:val="110"/>
        <w:spacing w:line="360" w:lineRule="auto"/>
        <w:rPr>
          <w:rFonts w:ascii="宋体" w:hAnsi="宋体"/>
          <w:b/>
          <w:sz w:val="24"/>
        </w:rPr>
      </w:pPr>
      <w:r>
        <w:rPr>
          <w:rFonts w:hint="eastAsia" w:ascii="宋体" w:hAnsi="宋体"/>
          <w:b/>
          <w:sz w:val="24"/>
        </w:rPr>
        <w:t xml:space="preserve">      3)投标人的报价均超过了采购预算，采购人不能支付的；</w:t>
      </w:r>
    </w:p>
    <w:p>
      <w:pPr>
        <w:pStyle w:val="110"/>
        <w:spacing w:line="360" w:lineRule="auto"/>
        <w:rPr>
          <w:rFonts w:ascii="宋体" w:hAnsi="宋体"/>
          <w:b/>
          <w:sz w:val="24"/>
        </w:rPr>
      </w:pPr>
      <w:r>
        <w:rPr>
          <w:rFonts w:hint="eastAsia" w:ascii="宋体" w:hAnsi="宋体"/>
          <w:b/>
          <w:sz w:val="24"/>
        </w:rPr>
        <w:t xml:space="preserve">      4)因重大变故，采购任务取消的。</w:t>
      </w:r>
    </w:p>
    <w:p>
      <w:pPr>
        <w:pStyle w:val="110"/>
        <w:spacing w:line="360" w:lineRule="auto"/>
        <w:rPr>
          <w:rFonts w:ascii="宋体" w:hAnsi="宋体"/>
          <w:b/>
          <w:sz w:val="24"/>
        </w:rPr>
      </w:pPr>
      <w:r>
        <w:rPr>
          <w:rFonts w:hint="eastAsia" w:ascii="宋体" w:hAnsi="宋体"/>
          <w:b/>
          <w:sz w:val="24"/>
        </w:rPr>
        <w:t>20.7 投标文件属下列情况之一的，应当在资格性、符合性检查时按照无效投标处理：</w:t>
      </w:r>
    </w:p>
    <w:p>
      <w:pPr>
        <w:pStyle w:val="110"/>
        <w:spacing w:line="360" w:lineRule="auto"/>
        <w:rPr>
          <w:rFonts w:ascii="宋体" w:hAnsi="宋体"/>
          <w:b/>
          <w:sz w:val="24"/>
        </w:rPr>
      </w:pPr>
      <w:r>
        <w:rPr>
          <w:rFonts w:hint="eastAsia" w:ascii="宋体" w:hAnsi="宋体"/>
          <w:b/>
          <w:sz w:val="24"/>
        </w:rPr>
        <w:t xml:space="preserve">      </w:t>
      </w:r>
      <w:bookmarkStart w:id="97" w:name="_Toc310195718"/>
      <w:bookmarkStart w:id="98" w:name="_Toc520356167"/>
      <w:r>
        <w:rPr>
          <w:rFonts w:hint="eastAsia" w:ascii="宋体" w:hAnsi="宋体"/>
          <w:b/>
          <w:sz w:val="24"/>
        </w:rPr>
        <w:t>1）应交未交或未按规定递交投标保证金的；</w:t>
      </w:r>
    </w:p>
    <w:p>
      <w:pPr>
        <w:pStyle w:val="110"/>
        <w:spacing w:line="360" w:lineRule="auto"/>
        <w:rPr>
          <w:rFonts w:ascii="宋体" w:hAnsi="宋体"/>
          <w:b/>
          <w:sz w:val="24"/>
        </w:rPr>
      </w:pPr>
      <w:r>
        <w:rPr>
          <w:rFonts w:hint="eastAsia" w:ascii="宋体" w:hAnsi="宋体"/>
          <w:b/>
          <w:sz w:val="24"/>
        </w:rPr>
        <w:t xml:space="preserve">      2）未按照招标文件规定要求密封、签署、盖章的；</w:t>
      </w:r>
    </w:p>
    <w:p>
      <w:pPr>
        <w:pStyle w:val="110"/>
        <w:spacing w:line="360" w:lineRule="auto"/>
        <w:rPr>
          <w:rFonts w:ascii="宋体" w:hAnsi="宋体"/>
          <w:b/>
          <w:sz w:val="24"/>
        </w:rPr>
      </w:pPr>
      <w:r>
        <w:rPr>
          <w:rFonts w:hint="eastAsia" w:ascii="宋体" w:hAnsi="宋体"/>
          <w:b/>
          <w:sz w:val="24"/>
        </w:rPr>
        <w:t xml:space="preserve">      3）不具备招标文件中规定资格要求的；</w:t>
      </w:r>
    </w:p>
    <w:p>
      <w:pPr>
        <w:pStyle w:val="110"/>
        <w:spacing w:line="360" w:lineRule="auto"/>
        <w:ind w:firstLine="723" w:firstLineChars="300"/>
        <w:rPr>
          <w:rFonts w:ascii="宋体" w:hAnsi="宋体"/>
          <w:b/>
          <w:sz w:val="24"/>
        </w:rPr>
      </w:pPr>
      <w:r>
        <w:rPr>
          <w:rFonts w:hint="eastAsia" w:ascii="宋体" w:hAnsi="宋体"/>
          <w:b/>
          <w:sz w:val="24"/>
        </w:rPr>
        <w:t>4）投标总价超出采购预算或最高限价的；</w:t>
      </w:r>
    </w:p>
    <w:p>
      <w:pPr>
        <w:pStyle w:val="110"/>
        <w:spacing w:line="360" w:lineRule="auto"/>
        <w:ind w:firstLine="723" w:firstLineChars="300"/>
        <w:rPr>
          <w:rFonts w:ascii="宋体" w:hAnsi="宋体"/>
          <w:b/>
          <w:sz w:val="24"/>
        </w:rPr>
      </w:pPr>
      <w:r>
        <w:rPr>
          <w:rFonts w:hint="eastAsia" w:ascii="宋体" w:hAnsi="宋体"/>
          <w:b/>
          <w:sz w:val="24"/>
        </w:rPr>
        <w:t>5）投标文件含有采购人不能接受的附加条件的;</w:t>
      </w:r>
    </w:p>
    <w:p>
      <w:pPr>
        <w:pStyle w:val="110"/>
        <w:spacing w:line="360" w:lineRule="auto"/>
        <w:ind w:firstLine="723" w:firstLineChars="300"/>
        <w:rPr>
          <w:rFonts w:ascii="宋体" w:hAnsi="宋体"/>
          <w:b/>
          <w:sz w:val="24"/>
        </w:rPr>
      </w:pPr>
      <w:r>
        <w:rPr>
          <w:rFonts w:hint="eastAsia" w:ascii="宋体" w:hAnsi="宋体"/>
          <w:b/>
          <w:sz w:val="24"/>
        </w:rPr>
        <w:t>6）投标人未遵循公平竞争的原则、串通投标、妨碍其他投标人的竞争行为、损害采购人或者其他投标人的合法权益的；</w:t>
      </w:r>
    </w:p>
    <w:p>
      <w:pPr>
        <w:pStyle w:val="110"/>
        <w:spacing w:line="360" w:lineRule="auto"/>
        <w:ind w:firstLine="723" w:firstLineChars="300"/>
        <w:rPr>
          <w:rFonts w:ascii="宋体" w:hAnsi="宋体"/>
          <w:b/>
          <w:sz w:val="24"/>
        </w:rPr>
      </w:pPr>
      <w:r>
        <w:rPr>
          <w:rFonts w:hint="eastAsia" w:ascii="宋体" w:hAnsi="宋体"/>
          <w:b/>
          <w:sz w:val="24"/>
        </w:rPr>
        <w:t>7）投标文件报价出现前后不一致，在合理时间内，投标人不确认按规定修正后投标报价的；</w:t>
      </w:r>
    </w:p>
    <w:p>
      <w:pPr>
        <w:pStyle w:val="110"/>
        <w:spacing w:line="360" w:lineRule="auto"/>
        <w:ind w:firstLine="723" w:firstLineChars="300"/>
        <w:rPr>
          <w:rFonts w:ascii="宋体" w:hAnsi="宋体"/>
          <w:b/>
          <w:sz w:val="24"/>
        </w:rPr>
      </w:pPr>
      <w:r>
        <w:rPr>
          <w:rFonts w:hint="eastAsia" w:ascii="宋体" w:hAnsi="宋体"/>
          <w:b/>
          <w:sz w:val="24"/>
        </w:rPr>
        <w:t>8）投标人的报价明显低于其他投标人的报价，且不能在合理时间内提供证明其报价合理性的书面说明的；</w:t>
      </w:r>
    </w:p>
    <w:p>
      <w:pPr>
        <w:pStyle w:val="110"/>
        <w:spacing w:line="360" w:lineRule="auto"/>
        <w:ind w:firstLine="723" w:firstLineChars="300"/>
        <w:rPr>
          <w:rFonts w:ascii="宋体" w:hAnsi="宋体"/>
          <w:b/>
          <w:sz w:val="24"/>
        </w:rPr>
      </w:pPr>
      <w:r>
        <w:rPr>
          <w:rFonts w:hint="eastAsia" w:ascii="宋体" w:hAnsi="宋体"/>
          <w:b/>
          <w:sz w:val="24"/>
        </w:rPr>
        <w:t>9）不符合法律、法规和招标文件中规定的其他实质性要求的：</w:t>
      </w:r>
    </w:p>
    <w:p>
      <w:pPr>
        <w:pStyle w:val="110"/>
        <w:spacing w:line="360" w:lineRule="auto"/>
        <w:ind w:firstLine="723" w:firstLineChars="300"/>
        <w:rPr>
          <w:rFonts w:ascii="宋体" w:hAnsi="宋体"/>
          <w:b/>
          <w:sz w:val="24"/>
        </w:rPr>
      </w:pPr>
      <w:r>
        <w:rPr>
          <w:rFonts w:hint="eastAsia" w:ascii="宋体" w:hAnsi="宋体"/>
          <w:b/>
          <w:sz w:val="24"/>
        </w:rPr>
        <w:t>①“技术参数要求”中星号“*”指标的；</w:t>
      </w:r>
    </w:p>
    <w:p>
      <w:pPr>
        <w:pStyle w:val="110"/>
        <w:spacing w:line="360" w:lineRule="auto"/>
        <w:ind w:firstLine="723" w:firstLineChars="300"/>
        <w:rPr>
          <w:rFonts w:ascii="宋体" w:hAnsi="宋体"/>
          <w:b/>
          <w:sz w:val="24"/>
        </w:rPr>
      </w:pPr>
      <w:r>
        <w:rPr>
          <w:rFonts w:hint="eastAsia" w:ascii="宋体" w:hAnsi="宋体"/>
          <w:b/>
          <w:sz w:val="24"/>
        </w:rPr>
        <w:t xml:space="preserve">②  投标有效期不足的； </w:t>
      </w:r>
    </w:p>
    <w:p>
      <w:pPr>
        <w:pStyle w:val="110"/>
        <w:spacing w:line="360" w:lineRule="auto"/>
        <w:ind w:firstLine="723" w:firstLineChars="300"/>
        <w:rPr>
          <w:rFonts w:ascii="宋体" w:hAnsi="宋体"/>
          <w:b/>
          <w:sz w:val="24"/>
        </w:rPr>
      </w:pPr>
      <w:r>
        <w:rPr>
          <w:rFonts w:hint="eastAsia" w:ascii="宋体" w:hAnsi="宋体"/>
          <w:b/>
          <w:sz w:val="24"/>
        </w:rPr>
        <w:t>③ 投标人有违法违纪行为，或在过去三年中有重大的质量、信誉等问题；</w:t>
      </w:r>
    </w:p>
    <w:p>
      <w:pPr>
        <w:pStyle w:val="110"/>
        <w:spacing w:line="360" w:lineRule="auto"/>
        <w:ind w:firstLine="723" w:firstLineChars="300"/>
        <w:rPr>
          <w:rFonts w:ascii="宋体" w:hAnsi="宋体"/>
          <w:b/>
          <w:sz w:val="24"/>
        </w:rPr>
      </w:pPr>
      <w:r>
        <w:rPr>
          <w:rFonts w:hint="eastAsia" w:ascii="宋体" w:hAnsi="宋体"/>
          <w:b/>
          <w:sz w:val="24"/>
        </w:rPr>
        <w:t>④ 投标文件中提供虚假或失实资料的；</w:t>
      </w:r>
    </w:p>
    <w:p>
      <w:pPr>
        <w:pStyle w:val="110"/>
        <w:spacing w:line="360" w:lineRule="auto"/>
        <w:ind w:firstLine="723" w:firstLineChars="300"/>
        <w:rPr>
          <w:rFonts w:ascii="宋体" w:hAnsi="宋体"/>
          <w:b/>
          <w:sz w:val="24"/>
        </w:rPr>
      </w:pPr>
      <w:r>
        <w:rPr>
          <w:rFonts w:hint="eastAsia" w:ascii="宋体" w:hAnsi="宋体"/>
          <w:b/>
          <w:sz w:val="24"/>
        </w:rPr>
        <w:t>⑤ 在未经财政部门批准采购进口产品前提下，投标人所投产品中含有进口产品的；</w:t>
      </w:r>
    </w:p>
    <w:p>
      <w:pPr>
        <w:pStyle w:val="110"/>
        <w:spacing w:line="360" w:lineRule="auto"/>
        <w:ind w:firstLine="723" w:firstLineChars="300"/>
        <w:rPr>
          <w:rFonts w:ascii="宋体" w:hAnsi="宋体"/>
          <w:b/>
          <w:sz w:val="24"/>
        </w:rPr>
      </w:pPr>
      <w:r>
        <w:rPr>
          <w:rFonts w:hint="eastAsia" w:ascii="宋体" w:hAnsi="宋体"/>
          <w:b/>
          <w:sz w:val="24"/>
        </w:rPr>
        <w:t>⑥为本次招标标的进行设计、编制规范和其他文件的咨询公司；</w:t>
      </w:r>
    </w:p>
    <w:p>
      <w:pPr>
        <w:pStyle w:val="110"/>
        <w:spacing w:line="360" w:lineRule="auto"/>
        <w:ind w:firstLine="723" w:firstLineChars="300"/>
        <w:rPr>
          <w:rFonts w:ascii="宋体" w:hAnsi="宋体"/>
          <w:b/>
          <w:sz w:val="24"/>
        </w:rPr>
      </w:pPr>
      <w:r>
        <w:rPr>
          <w:rFonts w:hint="eastAsia" w:ascii="宋体" w:hAnsi="宋体"/>
          <w:b/>
          <w:sz w:val="24"/>
        </w:rPr>
        <w:t>⑦投标人的报价明显低于其他投标报价，投标人不能合理说明或者不能提供相关证明材料的，或者被评标委员会认定为低于个别成本的，或者拒不按照要求对投标文件进行澄清、说明或者补正的。</w:t>
      </w:r>
    </w:p>
    <w:p>
      <w:pPr>
        <w:pStyle w:val="110"/>
        <w:spacing w:line="360" w:lineRule="auto"/>
        <w:rPr>
          <w:b/>
          <w:sz w:val="24"/>
        </w:rPr>
      </w:pPr>
      <w:r>
        <w:rPr>
          <w:b/>
          <w:sz w:val="24"/>
        </w:rPr>
        <w:t>21. 投标文件的澄清</w:t>
      </w:r>
      <w:bookmarkEnd w:id="97"/>
    </w:p>
    <w:p>
      <w:pPr>
        <w:pStyle w:val="110"/>
        <w:spacing w:line="360" w:lineRule="auto"/>
        <w:rPr>
          <w:rFonts w:ascii="宋体" w:hAnsi="宋体"/>
          <w:sz w:val="24"/>
        </w:rPr>
      </w:pPr>
      <w:r>
        <w:rPr>
          <w:rFonts w:hint="eastAsia" w:ascii="宋体" w:hAnsi="宋体"/>
          <w:sz w:val="24"/>
        </w:rPr>
        <w:t>21.1 在评标期间，评标委员会有权以书面方式要求投标人对其投标文件中含义不明确、对同类问题表述不一致或者有明显文字和计算错误的内容作必要的澄清。澄清应在评标委员会规定的时间内以书面方式进行，并不得超出投标文件范围或者改变投标文件的实质性内容。</w:t>
      </w:r>
    </w:p>
    <w:p>
      <w:pPr>
        <w:pStyle w:val="110"/>
        <w:spacing w:line="360" w:lineRule="auto"/>
      </w:pPr>
      <w:r>
        <w:rPr>
          <w:rFonts w:hint="eastAsia" w:ascii="宋体" w:hAnsi="宋体"/>
          <w:sz w:val="24"/>
        </w:rPr>
        <w:t>21.2 澄清文件将作为投标文件内容的一部分。</w:t>
      </w:r>
    </w:p>
    <w:bookmarkEnd w:id="98"/>
    <w:p>
      <w:pPr>
        <w:pStyle w:val="5"/>
        <w:spacing w:line="360" w:lineRule="auto"/>
        <w:rPr>
          <w:rFonts w:hint="default"/>
          <w:b/>
          <w:sz w:val="24"/>
        </w:rPr>
      </w:pPr>
      <w:bookmarkStart w:id="99" w:name="_Toc497905832"/>
      <w:bookmarkStart w:id="100" w:name="_Toc310195719"/>
      <w:r>
        <w:rPr>
          <w:b/>
          <w:sz w:val="24"/>
        </w:rPr>
        <w:t>22. 评标</w:t>
      </w:r>
      <w:bookmarkEnd w:id="99"/>
      <w:bookmarkEnd w:id="100"/>
    </w:p>
    <w:p>
      <w:pPr>
        <w:pStyle w:val="110"/>
        <w:spacing w:line="360" w:lineRule="auto"/>
        <w:rPr>
          <w:rFonts w:ascii="宋体" w:hAnsi="宋体"/>
          <w:sz w:val="24"/>
        </w:rPr>
      </w:pPr>
      <w:r>
        <w:rPr>
          <w:rFonts w:hint="eastAsia" w:ascii="宋体" w:hAnsi="宋体"/>
          <w:sz w:val="24"/>
        </w:rPr>
        <w:t>22.1经初审合格的投标文件，评标委员会将根据招标文件确定的评标方法和标准，对其技术部分和商务部分作进一步的评审和比较。</w:t>
      </w:r>
    </w:p>
    <w:p>
      <w:pPr>
        <w:pStyle w:val="110"/>
        <w:spacing w:line="360" w:lineRule="auto"/>
        <w:rPr>
          <w:rFonts w:ascii="宋体" w:hAnsi="宋体"/>
          <w:sz w:val="24"/>
        </w:rPr>
      </w:pPr>
      <w:r>
        <w:rPr>
          <w:rFonts w:hint="eastAsia" w:ascii="宋体" w:hAnsi="宋体"/>
          <w:sz w:val="24"/>
        </w:rPr>
        <w:t>22.2评标严格按照招标文件的要求和条件进行。同时考虑以下因素：</w:t>
      </w:r>
    </w:p>
    <w:p>
      <w:pPr>
        <w:pStyle w:val="110"/>
        <w:spacing w:line="360" w:lineRule="auto"/>
        <w:rPr>
          <w:rFonts w:ascii="宋体" w:hAnsi="宋体"/>
          <w:b/>
          <w:sz w:val="24"/>
        </w:rPr>
      </w:pPr>
      <w:r>
        <w:rPr>
          <w:rFonts w:hint="eastAsia" w:ascii="宋体" w:hAnsi="宋体"/>
          <w:b/>
          <w:sz w:val="24"/>
        </w:rPr>
        <w:t>(1)环保标志产品、节能产品（须附证明材料）；如采购人所采购产品为政府强制采购的节能产品，投标人所投产品的品牌及型号必须为清单中有效期内产品并提供证明文件；</w:t>
      </w:r>
    </w:p>
    <w:p>
      <w:pPr>
        <w:pStyle w:val="110"/>
        <w:spacing w:line="360" w:lineRule="auto"/>
        <w:rPr>
          <w:rFonts w:ascii="宋体" w:hAnsi="宋体"/>
          <w:b/>
          <w:sz w:val="24"/>
        </w:rPr>
      </w:pPr>
      <w:r>
        <w:rPr>
          <w:rFonts w:hint="eastAsia" w:ascii="宋体" w:hAnsi="宋体"/>
          <w:b/>
          <w:sz w:val="24"/>
        </w:rPr>
        <w:t>(2)财政部门核准的进口产品。优先采购向我国企业转让技术、提供培训服务及其他补偿贸易措施、与我国企业签订消化吸收再创新方案（须附证明材料）。</w:t>
      </w:r>
    </w:p>
    <w:p>
      <w:pPr>
        <w:pStyle w:val="110"/>
        <w:spacing w:line="360" w:lineRule="auto"/>
        <w:rPr>
          <w:rFonts w:ascii="宋体" w:hAnsi="宋体"/>
          <w:sz w:val="24"/>
        </w:rPr>
      </w:pPr>
      <w:r>
        <w:rPr>
          <w:rFonts w:hint="eastAsia" w:ascii="宋体" w:hAnsi="宋体"/>
          <w:sz w:val="24"/>
        </w:rPr>
        <w:t>22.3综合评分法：</w:t>
      </w:r>
    </w:p>
    <w:p>
      <w:pPr>
        <w:pStyle w:val="110"/>
        <w:spacing w:line="360" w:lineRule="auto"/>
        <w:rPr>
          <w:rFonts w:ascii="宋体" w:hAnsi="宋体"/>
          <w:sz w:val="24"/>
        </w:rPr>
      </w:pPr>
      <w:r>
        <w:rPr>
          <w:rFonts w:hint="eastAsia" w:ascii="宋体" w:hAnsi="宋体"/>
          <w:sz w:val="24"/>
        </w:rPr>
        <w:t>综合评分法，是指在最大限度地满足招标文件实质性要求前提下，按照招标文件中规定的各项因素(如投标价格、质量、信誉、服务、业绩、样品等)进行综合评审。评标委员会每位成员分别对投标人按相应的加权分值进行评价、打分。</w:t>
      </w:r>
    </w:p>
    <w:p>
      <w:pPr>
        <w:pStyle w:val="110"/>
        <w:spacing w:line="360" w:lineRule="auto"/>
        <w:rPr>
          <w:rFonts w:ascii="宋体" w:hAnsi="宋体"/>
          <w:sz w:val="24"/>
        </w:rPr>
      </w:pPr>
      <w:r>
        <w:rPr>
          <w:rFonts w:hint="eastAsia" w:ascii="宋体" w:hAnsi="宋体"/>
          <w:sz w:val="24"/>
        </w:rPr>
        <w:t>22.4</w:t>
      </w:r>
      <w:r>
        <w:rPr>
          <w:rFonts w:ascii="宋体" w:hAnsi="宋体"/>
          <w:sz w:val="24"/>
        </w:rPr>
        <w:t>评标时，评标委员会各成员应当独立对每个有效投标人的</w:t>
      </w:r>
      <w:r>
        <w:rPr>
          <w:rFonts w:hint="eastAsia" w:ascii="宋体" w:hAnsi="宋体"/>
          <w:sz w:val="24"/>
        </w:rPr>
        <w:t>投标文件</w:t>
      </w:r>
      <w:r>
        <w:rPr>
          <w:rFonts w:ascii="宋体" w:hAnsi="宋体"/>
          <w:sz w:val="24"/>
        </w:rPr>
        <w:t>进行评价、打分，然后汇总每个投标人每项评分因素的得分。</w:t>
      </w:r>
    </w:p>
    <w:p>
      <w:pPr>
        <w:pStyle w:val="110"/>
        <w:spacing w:line="360" w:lineRule="auto"/>
        <w:rPr>
          <w:rFonts w:ascii="宋体" w:hAnsi="宋体"/>
          <w:sz w:val="24"/>
        </w:rPr>
      </w:pPr>
      <w:r>
        <w:rPr>
          <w:rFonts w:ascii="宋体" w:hAnsi="宋体"/>
          <w:sz w:val="24"/>
        </w:rPr>
        <w:t>22.</w:t>
      </w:r>
      <w:r>
        <w:rPr>
          <w:rFonts w:hint="eastAsia" w:ascii="宋体" w:hAnsi="宋体"/>
          <w:sz w:val="24"/>
        </w:rPr>
        <w:t>5根据《政府采购促进中小企业发展暂行办法》（财库[2011]181号）的规定，对满足价格扣除条件且在投标文件中提交了《投标人企业类型声明函》的投标人，其投标报价扣除7%后参与评审。具体办法详见招标文件第九章（如适用）。</w:t>
      </w:r>
    </w:p>
    <w:p>
      <w:pPr>
        <w:pStyle w:val="5"/>
        <w:spacing w:line="360" w:lineRule="auto"/>
        <w:rPr>
          <w:rFonts w:hint="default"/>
          <w:b/>
          <w:sz w:val="24"/>
        </w:rPr>
      </w:pPr>
      <w:bookmarkStart w:id="101" w:name="_Toc520356168"/>
      <w:bookmarkStart w:id="102" w:name="_Toc497905833"/>
      <w:bookmarkStart w:id="103" w:name="_Toc310195720"/>
      <w:r>
        <w:rPr>
          <w:b/>
          <w:sz w:val="24"/>
        </w:rPr>
        <w:t>2</w:t>
      </w:r>
      <w:bookmarkEnd w:id="101"/>
      <w:r>
        <w:rPr>
          <w:b/>
          <w:sz w:val="24"/>
        </w:rPr>
        <w:t>3.评标过程及保密原则</w:t>
      </w:r>
      <w:bookmarkEnd w:id="102"/>
      <w:bookmarkEnd w:id="103"/>
    </w:p>
    <w:p>
      <w:pPr>
        <w:pStyle w:val="110"/>
        <w:spacing w:line="360" w:lineRule="auto"/>
        <w:rPr>
          <w:rFonts w:ascii="宋体" w:hAnsi="宋体"/>
          <w:sz w:val="24"/>
        </w:rPr>
      </w:pPr>
      <w:r>
        <w:rPr>
          <w:rFonts w:hint="eastAsia" w:ascii="宋体" w:hAnsi="宋体"/>
          <w:sz w:val="24"/>
        </w:rPr>
        <w:t>23.1开标之后，直到授予中标人合同止，凡与本次招标有关人员对属于审查、澄清、评价和比较投标的有关资料以及授标意向等，均不得向</w:t>
      </w:r>
      <w:r>
        <w:rPr>
          <w:rFonts w:ascii="宋体" w:hAnsi="宋体"/>
          <w:sz w:val="24"/>
        </w:rPr>
        <w:t>投标人</w:t>
      </w:r>
      <w:r>
        <w:rPr>
          <w:rFonts w:hint="eastAsia" w:ascii="宋体" w:hAnsi="宋体"/>
          <w:sz w:val="24"/>
        </w:rPr>
        <w:t>或其他无关的人员透露。</w:t>
      </w:r>
    </w:p>
    <w:p>
      <w:pPr>
        <w:pStyle w:val="110"/>
        <w:spacing w:line="360" w:lineRule="auto"/>
      </w:pPr>
      <w:r>
        <w:rPr>
          <w:rFonts w:hint="eastAsia" w:ascii="宋体" w:hAnsi="宋体"/>
          <w:sz w:val="24"/>
        </w:rPr>
        <w:t>23.2在评标期间，投标人试图影响采购人、采购代理机构和评标委员会的任何活动，将导致其投标无效，并承担相应的法律责任</w:t>
      </w:r>
      <w:r>
        <w:rPr>
          <w:rFonts w:hint="eastAsia"/>
        </w:rPr>
        <w:t>。</w:t>
      </w:r>
      <w:bookmarkStart w:id="104" w:name="_Toc520356169"/>
    </w:p>
    <w:p>
      <w:pPr>
        <w:pStyle w:val="5"/>
        <w:spacing w:line="360" w:lineRule="auto"/>
        <w:ind w:left="899" w:hanging="899"/>
        <w:jc w:val="center"/>
        <w:rPr>
          <w:rFonts w:hint="default"/>
          <w:sz w:val="24"/>
        </w:rPr>
      </w:pPr>
      <w:bookmarkStart w:id="105" w:name="_Toc310195721"/>
      <w:bookmarkStart w:id="106" w:name="_Toc497905834"/>
      <w:r>
        <w:rPr>
          <w:sz w:val="24"/>
        </w:rPr>
        <w:t xml:space="preserve">六   </w:t>
      </w:r>
      <w:bookmarkEnd w:id="104"/>
      <w:r>
        <w:rPr>
          <w:sz w:val="24"/>
        </w:rPr>
        <w:t>确定中标</w:t>
      </w:r>
      <w:bookmarkEnd w:id="105"/>
      <w:bookmarkEnd w:id="106"/>
    </w:p>
    <w:p>
      <w:pPr>
        <w:pStyle w:val="5"/>
        <w:spacing w:line="360" w:lineRule="auto"/>
        <w:rPr>
          <w:rFonts w:hint="default"/>
          <w:b/>
          <w:sz w:val="24"/>
        </w:rPr>
      </w:pPr>
      <w:bookmarkStart w:id="107" w:name="_Ref467307010"/>
      <w:bookmarkStart w:id="108" w:name="_Toc520356170"/>
      <w:bookmarkStart w:id="109" w:name="_Toc310195722"/>
      <w:bookmarkStart w:id="110" w:name="_Toc497905835"/>
      <w:r>
        <w:rPr>
          <w:b/>
          <w:sz w:val="24"/>
        </w:rPr>
        <w:t>24.中标人的确定标准</w:t>
      </w:r>
      <w:bookmarkEnd w:id="107"/>
      <w:bookmarkEnd w:id="108"/>
      <w:bookmarkEnd w:id="109"/>
      <w:bookmarkEnd w:id="110"/>
    </w:p>
    <w:p>
      <w:pPr>
        <w:pStyle w:val="110"/>
        <w:spacing w:line="360" w:lineRule="auto"/>
        <w:rPr>
          <w:rFonts w:ascii="宋体" w:hAnsi="宋体"/>
          <w:sz w:val="24"/>
        </w:rPr>
      </w:pPr>
      <w:r>
        <w:rPr>
          <w:rFonts w:hint="eastAsia" w:ascii="宋体" w:hAnsi="宋体"/>
          <w:sz w:val="24"/>
        </w:rPr>
        <w:t>24.1除第22条规定外，评标委员会应采用综合评分法，在符合招标文件要求的投标文件中，根据价格、技术性能、质量、服务业绩等因素在评标总分中所占比例，由评委分别进行打分，按各</w:t>
      </w:r>
      <w:r>
        <w:rPr>
          <w:rFonts w:ascii="宋体" w:hAnsi="宋体"/>
          <w:sz w:val="24"/>
        </w:rPr>
        <w:t>投标人</w:t>
      </w:r>
      <w:r>
        <w:rPr>
          <w:rFonts w:hint="eastAsia" w:ascii="宋体" w:hAnsi="宋体"/>
          <w:sz w:val="24"/>
        </w:rPr>
        <w:t>汇总得分进行排序，以评标总得分最高的投标人作为中标候选人或者中标人。得分相同的，按投标报价由低到高顺序排列，得分与投标报价均相同的，按技术指标优劣排列。</w:t>
      </w:r>
    </w:p>
    <w:p>
      <w:pPr>
        <w:pStyle w:val="110"/>
        <w:spacing w:line="360" w:lineRule="auto"/>
        <w:rPr>
          <w:rFonts w:ascii="宋体" w:hAnsi="宋体"/>
          <w:sz w:val="24"/>
        </w:rPr>
      </w:pPr>
      <w:r>
        <w:rPr>
          <w:rFonts w:hint="eastAsia" w:ascii="宋体" w:hAnsi="宋体"/>
          <w:sz w:val="24"/>
        </w:rPr>
        <w:t>24.2</w:t>
      </w:r>
      <w:r>
        <w:rPr>
          <w:rFonts w:ascii="宋体" w:hAnsi="宋体"/>
          <w:sz w:val="24"/>
        </w:rPr>
        <w:t>评标委员会将根据评标标准，推荐中标候选人，或根据采购人的委托，直接确定中标人。</w:t>
      </w:r>
    </w:p>
    <w:p>
      <w:pPr>
        <w:pStyle w:val="5"/>
        <w:spacing w:line="360" w:lineRule="auto"/>
        <w:rPr>
          <w:rFonts w:hint="default"/>
          <w:b/>
          <w:sz w:val="24"/>
        </w:rPr>
      </w:pPr>
      <w:bookmarkStart w:id="111" w:name="_Ref467306874"/>
      <w:bookmarkStart w:id="112" w:name="_Toc520356173"/>
      <w:bookmarkStart w:id="113" w:name="_Toc497905836"/>
      <w:bookmarkStart w:id="114" w:name="_Toc310195723"/>
      <w:r>
        <w:rPr>
          <w:b/>
          <w:sz w:val="24"/>
        </w:rPr>
        <w:t>25.接受和拒绝任何或所有投标的权利</w:t>
      </w:r>
      <w:bookmarkEnd w:id="111"/>
      <w:bookmarkEnd w:id="112"/>
      <w:bookmarkEnd w:id="113"/>
      <w:bookmarkEnd w:id="114"/>
    </w:p>
    <w:p>
      <w:pPr>
        <w:pStyle w:val="110"/>
        <w:spacing w:line="360" w:lineRule="auto"/>
        <w:rPr>
          <w:rFonts w:ascii="宋体" w:hAnsi="宋体"/>
          <w:sz w:val="24"/>
        </w:rPr>
      </w:pPr>
      <w:r>
        <w:rPr>
          <w:rFonts w:hint="eastAsia" w:ascii="宋体" w:hAnsi="宋体"/>
          <w:sz w:val="24"/>
        </w:rPr>
        <w:t>25.1为维护国家和社会公共利益，采购人和采购代理机构保留在授标之前任何时候接受或拒绝任何投标的权利，且对受影响的</w:t>
      </w:r>
      <w:r>
        <w:rPr>
          <w:rFonts w:ascii="宋体" w:hAnsi="宋体"/>
          <w:sz w:val="24"/>
        </w:rPr>
        <w:t>投标人</w:t>
      </w:r>
      <w:r>
        <w:rPr>
          <w:rFonts w:hint="eastAsia" w:ascii="宋体" w:hAnsi="宋体"/>
          <w:sz w:val="24"/>
        </w:rPr>
        <w:t>不承担任何责任。</w:t>
      </w:r>
    </w:p>
    <w:p>
      <w:pPr>
        <w:pStyle w:val="110"/>
        <w:spacing w:line="360" w:lineRule="auto"/>
        <w:rPr>
          <w:rFonts w:ascii="宋体" w:hAnsi="宋体"/>
          <w:sz w:val="24"/>
        </w:rPr>
      </w:pPr>
      <w:r>
        <w:rPr>
          <w:rFonts w:hint="eastAsia" w:ascii="宋体" w:hAnsi="宋体"/>
          <w:sz w:val="24"/>
        </w:rPr>
        <w:t>25.2</w:t>
      </w:r>
      <w:r>
        <w:rPr>
          <w:rFonts w:ascii="宋体" w:hAnsi="宋体"/>
          <w:sz w:val="24"/>
        </w:rPr>
        <w:t>因不可抗力或中标人自身原因不能履约等情形，采购人保留与其他候选人签订合同的权利。</w:t>
      </w:r>
    </w:p>
    <w:p>
      <w:pPr>
        <w:pStyle w:val="5"/>
        <w:spacing w:line="360" w:lineRule="auto"/>
        <w:rPr>
          <w:rFonts w:hint="default"/>
          <w:b/>
          <w:sz w:val="24"/>
        </w:rPr>
      </w:pPr>
      <w:bookmarkStart w:id="115" w:name="_Toc520356174"/>
      <w:bookmarkStart w:id="116" w:name="_Toc497905837"/>
      <w:bookmarkStart w:id="117" w:name="_Toc310195724"/>
      <w:r>
        <w:rPr>
          <w:b/>
          <w:sz w:val="24"/>
        </w:rPr>
        <w:t>26.中标通知书</w:t>
      </w:r>
      <w:bookmarkEnd w:id="115"/>
      <w:bookmarkEnd w:id="116"/>
      <w:bookmarkEnd w:id="117"/>
    </w:p>
    <w:p>
      <w:pPr>
        <w:pStyle w:val="110"/>
        <w:spacing w:line="360" w:lineRule="auto"/>
        <w:rPr>
          <w:rFonts w:ascii="宋体" w:hAnsi="宋体"/>
          <w:sz w:val="24"/>
        </w:rPr>
      </w:pPr>
      <w:r>
        <w:rPr>
          <w:rFonts w:hint="eastAsia" w:ascii="宋体" w:hAnsi="宋体"/>
          <w:sz w:val="24"/>
        </w:rPr>
        <w:t>26.1中标确定后，中标结果在财政部门指定的政府采购信息发布媒体上公告，同时以书面形式向中标人发出中标通知书，中标通知书对采购人和中标人具有同等法律效力。</w:t>
      </w:r>
    </w:p>
    <w:p>
      <w:pPr>
        <w:pStyle w:val="110"/>
        <w:spacing w:line="360" w:lineRule="auto"/>
        <w:rPr>
          <w:rFonts w:ascii="宋体" w:hAnsi="宋体"/>
          <w:sz w:val="24"/>
        </w:rPr>
      </w:pPr>
      <w:r>
        <w:rPr>
          <w:rFonts w:hint="eastAsia" w:ascii="宋体" w:hAnsi="宋体"/>
          <w:sz w:val="24"/>
        </w:rPr>
        <w:t>26.2</w:t>
      </w:r>
      <w:r>
        <w:rPr>
          <w:rFonts w:ascii="宋体" w:hAnsi="宋体"/>
          <w:sz w:val="24"/>
        </w:rPr>
        <w:t>投标人</w:t>
      </w:r>
      <w:r>
        <w:rPr>
          <w:rFonts w:hint="eastAsia" w:ascii="宋体" w:hAnsi="宋体"/>
          <w:sz w:val="24"/>
        </w:rPr>
        <w:t>可通过相关发布媒体查询评标结果。投标人可以在公示期内对评标结果以书面形式提出质疑，但需对质疑内容的真实性承担责任，并提交相应的证明材料。公示期外提出的质疑，采购代理机构将不予以受理。</w:t>
      </w:r>
    </w:p>
    <w:p>
      <w:pPr>
        <w:pStyle w:val="110"/>
        <w:spacing w:line="360" w:lineRule="auto"/>
        <w:rPr>
          <w:rFonts w:ascii="宋体" w:hAnsi="宋体"/>
          <w:sz w:val="24"/>
        </w:rPr>
      </w:pPr>
      <w:r>
        <w:rPr>
          <w:rFonts w:hint="eastAsia" w:ascii="宋体" w:hAnsi="宋体"/>
          <w:sz w:val="24"/>
        </w:rPr>
        <w:t>26.3中标通知书是合同的组成部分。</w:t>
      </w:r>
    </w:p>
    <w:p>
      <w:pPr>
        <w:pStyle w:val="110"/>
        <w:spacing w:line="360" w:lineRule="auto"/>
        <w:rPr>
          <w:rFonts w:ascii="宋体" w:hAnsi="宋体"/>
          <w:sz w:val="24"/>
        </w:rPr>
      </w:pPr>
      <w:r>
        <w:rPr>
          <w:rFonts w:hint="eastAsia" w:ascii="宋体" w:hAnsi="宋体"/>
          <w:sz w:val="24"/>
        </w:rPr>
        <w:t>26.4未中标的投标人应当在中标结果公示后5个工作日内领取落标通知书。</w:t>
      </w:r>
    </w:p>
    <w:p>
      <w:pPr>
        <w:pStyle w:val="5"/>
        <w:spacing w:line="360" w:lineRule="auto"/>
        <w:rPr>
          <w:rFonts w:hint="default"/>
          <w:b/>
          <w:sz w:val="24"/>
        </w:rPr>
      </w:pPr>
      <w:bookmarkStart w:id="118" w:name="_Ref467307204"/>
      <w:bookmarkStart w:id="119" w:name="_Toc497905838"/>
      <w:bookmarkStart w:id="120" w:name="_Toc520356175"/>
      <w:bookmarkStart w:id="121" w:name="_Ref467306377"/>
      <w:bookmarkStart w:id="122" w:name="_Ref467306978"/>
      <w:bookmarkStart w:id="123" w:name="_Ref467307062"/>
      <w:bookmarkStart w:id="124" w:name="_Toc310195725"/>
      <w:r>
        <w:rPr>
          <w:b/>
          <w:sz w:val="24"/>
        </w:rPr>
        <w:t>27. 签订合同</w:t>
      </w:r>
      <w:bookmarkEnd w:id="118"/>
      <w:bookmarkEnd w:id="119"/>
      <w:bookmarkEnd w:id="120"/>
      <w:bookmarkEnd w:id="121"/>
      <w:bookmarkEnd w:id="122"/>
      <w:bookmarkEnd w:id="123"/>
      <w:bookmarkEnd w:id="124"/>
    </w:p>
    <w:p>
      <w:pPr>
        <w:pStyle w:val="110"/>
        <w:spacing w:line="360" w:lineRule="auto"/>
        <w:rPr>
          <w:rFonts w:ascii="宋体" w:hAnsi="宋体"/>
          <w:sz w:val="24"/>
        </w:rPr>
      </w:pPr>
      <w:r>
        <w:rPr>
          <w:rFonts w:hint="eastAsia" w:ascii="宋体" w:hAnsi="宋体"/>
          <w:sz w:val="24"/>
        </w:rPr>
        <w:t>27.1中标人应当自中标通知书发出之日起三十日内与采购人签订合同。</w:t>
      </w:r>
      <w:r>
        <w:rPr>
          <w:rFonts w:ascii="宋体" w:hAnsi="宋体"/>
          <w:sz w:val="24"/>
        </w:rPr>
        <w:t>如果中标人无正当理由不与采购人签订合同，</w:t>
      </w:r>
      <w:r>
        <w:rPr>
          <w:rFonts w:hint="eastAsia" w:ascii="宋体" w:hAnsi="宋体"/>
          <w:sz w:val="24"/>
        </w:rPr>
        <w:t>则</w:t>
      </w:r>
      <w:r>
        <w:rPr>
          <w:rFonts w:ascii="宋体" w:hAnsi="宋体"/>
          <w:sz w:val="24"/>
        </w:rPr>
        <w:t>其投标保证金</w:t>
      </w:r>
      <w:r>
        <w:rPr>
          <w:rFonts w:hint="eastAsia" w:ascii="宋体" w:hAnsi="宋体"/>
          <w:sz w:val="24"/>
        </w:rPr>
        <w:t>将被</w:t>
      </w:r>
      <w:r>
        <w:rPr>
          <w:rFonts w:ascii="宋体" w:hAnsi="宋体"/>
          <w:sz w:val="24"/>
        </w:rPr>
        <w:t>没收。在此情况下，可另选下一个中标候选人，或重新招标。</w:t>
      </w:r>
    </w:p>
    <w:p>
      <w:pPr>
        <w:pStyle w:val="110"/>
        <w:spacing w:line="360" w:lineRule="auto"/>
        <w:rPr>
          <w:rFonts w:ascii="宋体" w:hAnsi="宋体"/>
          <w:sz w:val="24"/>
        </w:rPr>
      </w:pPr>
      <w:r>
        <w:rPr>
          <w:rFonts w:hint="eastAsia" w:ascii="宋体" w:hAnsi="宋体"/>
          <w:sz w:val="24"/>
        </w:rPr>
        <w:t>27.2</w:t>
      </w:r>
      <w:bookmarkStart w:id="125" w:name="_Ref467306425"/>
      <w:bookmarkStart w:id="126" w:name="_Toc520356176"/>
      <w:bookmarkStart w:id="127" w:name="_Ref467307090"/>
      <w:r>
        <w:rPr>
          <w:rFonts w:hint="eastAsia" w:ascii="宋体" w:hAnsi="宋体"/>
          <w:sz w:val="24"/>
        </w:rPr>
        <w:t>招标文件、中标人的投标文件及其澄清文件等，均为签订合同的依据。</w:t>
      </w:r>
    </w:p>
    <w:bookmarkEnd w:id="125"/>
    <w:bookmarkEnd w:id="126"/>
    <w:bookmarkEnd w:id="127"/>
    <w:p>
      <w:pPr>
        <w:pStyle w:val="5"/>
        <w:spacing w:line="360" w:lineRule="auto"/>
        <w:rPr>
          <w:rFonts w:hint="default"/>
          <w:b/>
          <w:sz w:val="24"/>
        </w:rPr>
      </w:pPr>
      <w:bookmarkStart w:id="128" w:name="_Toc497905839"/>
      <w:bookmarkStart w:id="129" w:name="_Toc310195726"/>
      <w:r>
        <w:rPr>
          <w:b/>
          <w:sz w:val="24"/>
        </w:rPr>
        <w:t>28.履约保证金</w:t>
      </w:r>
      <w:bookmarkEnd w:id="128"/>
      <w:bookmarkEnd w:id="129"/>
    </w:p>
    <w:p>
      <w:pPr>
        <w:pStyle w:val="110"/>
        <w:spacing w:line="360" w:lineRule="auto"/>
        <w:rPr>
          <w:rFonts w:ascii="宋体" w:hAnsi="宋体"/>
          <w:sz w:val="24"/>
        </w:rPr>
      </w:pPr>
      <w:r>
        <w:rPr>
          <w:rFonts w:hint="eastAsia" w:ascii="宋体" w:hAnsi="宋体"/>
          <w:sz w:val="24"/>
        </w:rPr>
        <w:t>28.1中标人在签订合同后7 个工作日内，按招标文件中提供的履约保证金保函格式或采购人可以接受的其他形式向采购人提交合同总金额 5% 的履约保证金。</w:t>
      </w:r>
    </w:p>
    <w:p>
      <w:pPr>
        <w:pStyle w:val="110"/>
        <w:spacing w:line="360" w:lineRule="auto"/>
        <w:rPr>
          <w:rFonts w:ascii="宋体" w:hAnsi="宋体"/>
          <w:sz w:val="24"/>
        </w:rPr>
      </w:pPr>
    </w:p>
    <w:p>
      <w:pPr>
        <w:pStyle w:val="110"/>
        <w:spacing w:line="360" w:lineRule="auto"/>
        <w:rPr>
          <w:rFonts w:ascii="宋体" w:hAnsi="宋体"/>
          <w:sz w:val="24"/>
        </w:rPr>
      </w:pPr>
      <w:r>
        <w:rPr>
          <w:rFonts w:hint="eastAsia" w:ascii="宋体" w:hAnsi="宋体"/>
          <w:sz w:val="24"/>
        </w:rPr>
        <w:t>28.1.1履约保证金用于补偿采购人因中标人不能履行其合同义务而蒙受的损失。</w:t>
      </w:r>
    </w:p>
    <w:p>
      <w:pPr>
        <w:pStyle w:val="110"/>
        <w:spacing w:line="360" w:lineRule="auto"/>
        <w:rPr>
          <w:rFonts w:ascii="宋体" w:hAnsi="宋体"/>
          <w:sz w:val="24"/>
        </w:rPr>
      </w:pPr>
      <w:r>
        <w:rPr>
          <w:rFonts w:hint="eastAsia" w:ascii="宋体" w:hAnsi="宋体"/>
          <w:sz w:val="24"/>
        </w:rPr>
        <w:t>28.1.2履约保证金应使用本合同货币，按下述方式之一提交：</w:t>
      </w:r>
    </w:p>
    <w:p>
      <w:pPr>
        <w:pStyle w:val="110"/>
        <w:spacing w:line="360" w:lineRule="auto"/>
        <w:rPr>
          <w:rFonts w:ascii="宋体" w:hAnsi="宋体"/>
          <w:sz w:val="24"/>
        </w:rPr>
      </w:pPr>
      <w:r>
        <w:rPr>
          <w:rFonts w:hint="eastAsia" w:ascii="宋体" w:hAnsi="宋体"/>
          <w:sz w:val="24"/>
        </w:rPr>
        <w:t>A．银行保函：采购人可接受的在中华人民共和国注册和营业的银行，或其他采购人可接受的格式。</w:t>
      </w:r>
    </w:p>
    <w:p>
      <w:pPr>
        <w:pStyle w:val="110"/>
        <w:spacing w:line="360" w:lineRule="auto"/>
        <w:rPr>
          <w:rFonts w:ascii="宋体" w:hAnsi="宋体"/>
          <w:sz w:val="24"/>
        </w:rPr>
      </w:pPr>
      <w:r>
        <w:rPr>
          <w:rFonts w:hint="eastAsia" w:ascii="宋体" w:hAnsi="宋体"/>
          <w:sz w:val="24"/>
        </w:rPr>
        <w:t>B. 支票、汇票或现金。</w:t>
      </w:r>
    </w:p>
    <w:p>
      <w:pPr>
        <w:pStyle w:val="110"/>
        <w:spacing w:line="360" w:lineRule="auto"/>
        <w:rPr>
          <w:rFonts w:ascii="宋体" w:hAnsi="宋体"/>
          <w:sz w:val="24"/>
        </w:rPr>
      </w:pPr>
      <w:r>
        <w:rPr>
          <w:rFonts w:hint="eastAsia" w:ascii="宋体" w:hAnsi="宋体"/>
          <w:sz w:val="24"/>
        </w:rPr>
        <w:t>C．政府采购履约担保函：</w:t>
      </w:r>
      <w:r>
        <w:rPr>
          <w:rFonts w:ascii="宋体" w:hAnsi="宋体"/>
          <w:sz w:val="24"/>
        </w:rPr>
        <w:t>保函</w:t>
      </w:r>
      <w:r>
        <w:rPr>
          <w:rFonts w:hint="eastAsia" w:ascii="宋体" w:hAnsi="宋体"/>
          <w:sz w:val="24"/>
        </w:rPr>
        <w:t>应为北京市政府采购信用担保试点工作专业担保机构出具。</w:t>
      </w:r>
    </w:p>
    <w:p>
      <w:pPr>
        <w:pStyle w:val="110"/>
        <w:spacing w:line="360" w:lineRule="auto"/>
        <w:rPr>
          <w:rFonts w:ascii="宋体" w:hAnsi="宋体"/>
          <w:sz w:val="24"/>
        </w:rPr>
      </w:pPr>
      <w:r>
        <w:rPr>
          <w:rFonts w:hint="eastAsia" w:ascii="宋体" w:hAnsi="宋体"/>
          <w:sz w:val="24"/>
        </w:rPr>
        <w:t>28.1.3履约保证金在法定的服务质量保证期期满前应完全有效。</w:t>
      </w:r>
    </w:p>
    <w:p>
      <w:pPr>
        <w:pStyle w:val="110"/>
        <w:spacing w:line="360" w:lineRule="auto"/>
        <w:rPr>
          <w:rFonts w:ascii="宋体" w:hAnsi="宋体"/>
          <w:sz w:val="24"/>
        </w:rPr>
      </w:pPr>
      <w:r>
        <w:rPr>
          <w:rFonts w:hint="eastAsia" w:ascii="宋体" w:hAnsi="宋体"/>
          <w:sz w:val="24"/>
        </w:rPr>
        <w:t>28.1.4如果中标人未能按合同规定履行其义务，采购人有权从履约保证金中取得补偿。</w:t>
      </w:r>
    </w:p>
    <w:p>
      <w:pPr>
        <w:pStyle w:val="110"/>
        <w:spacing w:line="360" w:lineRule="auto"/>
        <w:rPr>
          <w:rFonts w:ascii="宋体" w:hAnsi="宋体"/>
          <w:sz w:val="24"/>
        </w:rPr>
      </w:pPr>
      <w:r>
        <w:rPr>
          <w:rFonts w:hint="eastAsia" w:ascii="宋体" w:hAnsi="宋体"/>
          <w:sz w:val="24"/>
        </w:rPr>
        <w:t>28.2如果中标人没有按照上述第27条或28.1条的规定执行，采购人和采购代理机构将取消该中标决定，该中标人的投标保证金不予返还，同时将结果报政府采购监督管理部门备案。采购人和采购代理机构可将中标结果授予下一个中标人，或重新招标。</w:t>
      </w:r>
      <w:bookmarkStart w:id="130" w:name="_Toc518803443"/>
      <w:bookmarkStart w:id="131" w:name="_Toc520424502"/>
      <w:bookmarkStart w:id="132" w:name="_Toc520647611"/>
    </w:p>
    <w:p>
      <w:pPr>
        <w:spacing w:before="120" w:line="360" w:lineRule="auto"/>
        <w:rPr>
          <w:rFonts w:ascii="宋体" w:hAnsi="宋体"/>
          <w:sz w:val="24"/>
        </w:rPr>
      </w:pPr>
    </w:p>
    <w:p>
      <w:pPr>
        <w:pStyle w:val="5"/>
        <w:spacing w:line="360" w:lineRule="auto"/>
        <w:ind w:left="899" w:hanging="899"/>
        <w:jc w:val="center"/>
        <w:rPr>
          <w:rFonts w:hint="default"/>
          <w:sz w:val="24"/>
        </w:rPr>
      </w:pPr>
      <w:bookmarkStart w:id="133" w:name="_Toc497905840"/>
      <w:bookmarkStart w:id="134" w:name="_Toc310195727"/>
      <w:r>
        <w:rPr>
          <w:sz w:val="24"/>
        </w:rPr>
        <w:t>七  中标服务费</w:t>
      </w:r>
      <w:bookmarkEnd w:id="130"/>
      <w:bookmarkEnd w:id="131"/>
      <w:bookmarkEnd w:id="132"/>
      <w:bookmarkEnd w:id="133"/>
      <w:bookmarkEnd w:id="134"/>
    </w:p>
    <w:p>
      <w:pPr>
        <w:pStyle w:val="5"/>
        <w:spacing w:line="360" w:lineRule="auto"/>
        <w:rPr>
          <w:rFonts w:hint="default"/>
          <w:b/>
          <w:sz w:val="24"/>
        </w:rPr>
      </w:pPr>
      <w:bookmarkStart w:id="135" w:name="_Toc497905841"/>
      <w:bookmarkStart w:id="136" w:name="_Toc310195728"/>
      <w:bookmarkStart w:id="137" w:name="_Toc518803444"/>
      <w:bookmarkStart w:id="138" w:name="_Ref467306463"/>
      <w:bookmarkStart w:id="139" w:name="_Toc520647612"/>
      <w:bookmarkStart w:id="140" w:name="_Toc520424503"/>
      <w:r>
        <w:rPr>
          <w:b/>
          <w:sz w:val="24"/>
        </w:rPr>
        <w:t>29.中标服务费</w:t>
      </w:r>
      <w:bookmarkEnd w:id="135"/>
      <w:bookmarkEnd w:id="136"/>
      <w:bookmarkEnd w:id="137"/>
      <w:bookmarkEnd w:id="138"/>
      <w:bookmarkEnd w:id="139"/>
      <w:bookmarkEnd w:id="140"/>
    </w:p>
    <w:p>
      <w:pPr>
        <w:pStyle w:val="110"/>
        <w:spacing w:line="360" w:lineRule="auto"/>
        <w:rPr>
          <w:rFonts w:ascii="宋体" w:hAnsi="宋体"/>
          <w:sz w:val="24"/>
        </w:rPr>
      </w:pPr>
      <w:bookmarkStart w:id="141" w:name="_Ref467307288"/>
      <w:r>
        <w:rPr>
          <w:rFonts w:hint="eastAsia" w:ascii="宋体" w:hAnsi="宋体"/>
          <w:sz w:val="24"/>
        </w:rPr>
        <w:t>29.1</w:t>
      </w:r>
      <w:bookmarkEnd w:id="141"/>
      <w:r>
        <w:rPr>
          <w:rFonts w:hint="eastAsia" w:ascii="宋体" w:hAnsi="宋体"/>
          <w:sz w:val="24"/>
        </w:rPr>
        <w:t>采购代理机构按计价格[2002]1980号文、</w:t>
      </w:r>
      <w:r>
        <w:rPr>
          <w:rFonts w:hint="eastAsia" w:ascii="宋体" w:hAnsi="宋体" w:cs="宋体"/>
          <w:kern w:val="0"/>
          <w:sz w:val="24"/>
        </w:rPr>
        <w:t>发改办价格[2003]857号文及</w:t>
      </w:r>
      <w:r>
        <w:rPr>
          <w:rFonts w:ascii="宋体" w:hAnsi="宋体" w:cs="宋体"/>
          <w:kern w:val="0"/>
          <w:sz w:val="24"/>
        </w:rPr>
        <w:t>发改价格</w:t>
      </w:r>
      <w:r>
        <w:rPr>
          <w:rFonts w:ascii="宋体" w:hAnsi="宋体"/>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中标服务费用。此项费用不单独开列而应计入投标价。</w:t>
      </w:r>
    </w:p>
    <w:p>
      <w:pPr>
        <w:pStyle w:val="110"/>
        <w:spacing w:line="360" w:lineRule="auto"/>
        <w:rPr>
          <w:rFonts w:ascii="宋体" w:hAnsi="宋体"/>
          <w:sz w:val="24"/>
        </w:rPr>
      </w:pPr>
      <w:bookmarkStart w:id="142" w:name="_Ref467307311"/>
      <w:r>
        <w:rPr>
          <w:rFonts w:hint="eastAsia" w:ascii="宋体" w:hAnsi="宋体"/>
          <w:sz w:val="24"/>
        </w:rPr>
        <w:t>29.2中标人在领取中标通知书时向采购代理机构缴付中标服务费。</w:t>
      </w:r>
      <w:bookmarkEnd w:id="142"/>
    </w:p>
    <w:p>
      <w:pPr>
        <w:pStyle w:val="110"/>
        <w:spacing w:line="360" w:lineRule="auto"/>
        <w:rPr>
          <w:rFonts w:ascii="宋体" w:hAnsi="宋体"/>
          <w:sz w:val="24"/>
        </w:rPr>
      </w:pPr>
      <w:r>
        <w:rPr>
          <w:rFonts w:hint="eastAsia" w:ascii="宋体" w:hAnsi="宋体"/>
          <w:sz w:val="24"/>
        </w:rPr>
        <w:t>29.3中标服务费将以现金、支票（北京地区）或电汇的方式进行收取。中标人如未按29.1和29.2条规定办理，采购代理机构将没收其投标保证金。</w:t>
      </w:r>
    </w:p>
    <w:p>
      <w:pPr>
        <w:pStyle w:val="110"/>
        <w:spacing w:line="360" w:lineRule="auto"/>
      </w:pPr>
      <w:r>
        <w:rPr>
          <w:rFonts w:hint="eastAsia" w:ascii="宋体" w:hAnsi="宋体"/>
          <w:sz w:val="24"/>
        </w:rPr>
        <w:t>29.4在投标时，投标人应提供中标服务费承诺书。</w:t>
      </w:r>
    </w:p>
    <w:p>
      <w:pPr>
        <w:pStyle w:val="5"/>
        <w:spacing w:line="360" w:lineRule="auto"/>
        <w:ind w:left="899" w:hanging="899"/>
        <w:jc w:val="center"/>
        <w:rPr>
          <w:rFonts w:hint="default"/>
          <w:sz w:val="24"/>
        </w:rPr>
      </w:pPr>
      <w:bookmarkStart w:id="143" w:name="_Toc324255574"/>
      <w:bookmarkStart w:id="144" w:name="_Toc497905842"/>
      <w:r>
        <w:rPr>
          <w:sz w:val="24"/>
        </w:rPr>
        <w:t>八  政府采购信用担保</w:t>
      </w:r>
      <w:bookmarkEnd w:id="143"/>
      <w:bookmarkEnd w:id="144"/>
    </w:p>
    <w:p>
      <w:pPr>
        <w:pStyle w:val="5"/>
        <w:spacing w:line="360" w:lineRule="auto"/>
        <w:rPr>
          <w:rFonts w:hint="default"/>
          <w:b/>
          <w:sz w:val="24"/>
        </w:rPr>
      </w:pPr>
      <w:bookmarkStart w:id="145" w:name="_Toc497905843"/>
      <w:bookmarkStart w:id="146" w:name="_Toc324255575"/>
      <w:r>
        <w:rPr>
          <w:b/>
          <w:sz w:val="24"/>
        </w:rPr>
        <w:t>30.政府采购信用担保</w:t>
      </w:r>
      <w:bookmarkEnd w:id="145"/>
      <w:bookmarkEnd w:id="146"/>
    </w:p>
    <w:p>
      <w:pPr>
        <w:pStyle w:val="110"/>
        <w:spacing w:line="360" w:lineRule="auto"/>
        <w:rPr>
          <w:rFonts w:ascii="宋体" w:hAnsi="宋体"/>
          <w:sz w:val="24"/>
        </w:rPr>
      </w:pPr>
      <w:r>
        <w:rPr>
          <w:rFonts w:hint="eastAsia" w:ascii="宋体" w:hAnsi="宋体"/>
          <w:sz w:val="24"/>
        </w:rPr>
        <w:t>30.1中小型企业投标人可以自由按照财政部门规定，采用投标担保、履约担保和融资担保用。</w:t>
      </w:r>
    </w:p>
    <w:p>
      <w:pPr>
        <w:pStyle w:val="110"/>
        <w:spacing w:line="360" w:lineRule="auto"/>
        <w:rPr>
          <w:rFonts w:ascii="宋体" w:hAnsi="宋体"/>
          <w:sz w:val="24"/>
        </w:rPr>
      </w:pPr>
      <w:r>
        <w:rPr>
          <w:rFonts w:hint="eastAsia" w:ascii="宋体" w:hAnsi="宋体"/>
          <w:sz w:val="24"/>
        </w:rPr>
        <w:t>30.2投标人递交的投标担保函和履约担保函应为北京市政府采购信用担保试点工作专业担保机构出具。</w:t>
      </w:r>
    </w:p>
    <w:p>
      <w:pPr>
        <w:pStyle w:val="110"/>
        <w:spacing w:line="360" w:lineRule="auto"/>
        <w:rPr>
          <w:rFonts w:ascii="宋体" w:hAnsi="宋体"/>
          <w:sz w:val="24"/>
        </w:rPr>
      </w:pPr>
      <w:r>
        <w:rPr>
          <w:rFonts w:hint="eastAsia" w:ascii="宋体" w:hAnsi="宋体"/>
          <w:sz w:val="24"/>
        </w:rPr>
        <w:t>30.3 投标人可以采取融资担保的形式为政府采购项目履约进行融资。</w:t>
      </w:r>
    </w:p>
    <w:p>
      <w:pPr>
        <w:pStyle w:val="110"/>
        <w:spacing w:line="360" w:lineRule="auto"/>
        <w:rPr>
          <w:rFonts w:ascii="宋体" w:hAnsi="宋体"/>
          <w:sz w:val="24"/>
        </w:rPr>
      </w:pPr>
      <w:r>
        <w:rPr>
          <w:rFonts w:hint="eastAsia" w:ascii="宋体" w:hAnsi="宋体"/>
          <w:sz w:val="24"/>
        </w:rPr>
        <w:t>30.4 合格的政府采购专业信用担保公司名单见第二章投标人须知资料表。</w:t>
      </w:r>
    </w:p>
    <w:p>
      <w:pPr>
        <w:pStyle w:val="5"/>
        <w:spacing w:line="480" w:lineRule="auto"/>
        <w:ind w:left="899" w:hanging="899"/>
        <w:jc w:val="center"/>
        <w:rPr>
          <w:rFonts w:hint="default"/>
          <w:color w:val="000000"/>
          <w:sz w:val="24"/>
          <w:szCs w:val="24"/>
        </w:rPr>
      </w:pPr>
      <w:bookmarkStart w:id="147" w:name="_Toc497905844"/>
      <w:r>
        <w:rPr>
          <w:color w:val="000000"/>
          <w:sz w:val="24"/>
          <w:szCs w:val="24"/>
        </w:rPr>
        <w:t>九 履约验收</w:t>
      </w:r>
      <w:bookmarkEnd w:id="147"/>
    </w:p>
    <w:p>
      <w:pPr>
        <w:tabs>
          <w:tab w:val="left" w:pos="660"/>
        </w:tabs>
        <w:spacing w:before="120" w:line="360" w:lineRule="auto"/>
        <w:ind w:left="1"/>
        <w:rPr>
          <w:b/>
          <w:bCs/>
          <w:color w:val="000000"/>
          <w:sz w:val="24"/>
          <w:lang w:val="zh-CN"/>
        </w:rPr>
      </w:pPr>
      <w:r>
        <w:rPr>
          <w:rFonts w:hint="eastAsia"/>
          <w:b/>
          <w:bCs/>
          <w:color w:val="000000"/>
          <w:sz w:val="24"/>
          <w:lang w:val="zh-CN"/>
        </w:rPr>
        <w:t>31.履约验收</w:t>
      </w:r>
    </w:p>
    <w:p>
      <w:pPr>
        <w:pStyle w:val="110"/>
        <w:spacing w:line="360" w:lineRule="auto"/>
        <w:rPr>
          <w:rFonts w:ascii="宋体" w:hAnsi="宋体"/>
          <w:sz w:val="24"/>
        </w:rPr>
        <w:sectPr>
          <w:footerReference r:id="rId7" w:type="first"/>
          <w:footerReference r:id="rId6" w:type="even"/>
          <w:pgSz w:w="11907" w:h="16840"/>
          <w:pgMar w:top="1400" w:right="1811" w:bottom="1089" w:left="1276" w:header="851" w:footer="1117" w:gutter="0"/>
          <w:cols w:space="720" w:num="1"/>
          <w:titlePg/>
          <w:docGrid w:linePitch="312" w:charSpace="0"/>
        </w:sectPr>
      </w:pPr>
      <w:r>
        <w:rPr>
          <w:rFonts w:hint="eastAsia"/>
          <w:bCs/>
          <w:color w:val="000000"/>
          <w:sz w:val="24"/>
          <w:lang w:val="zh-CN"/>
        </w:rPr>
        <w:t>31.1项目完成后，中标人应当配合采购人或采购代理机构或相关专业专家提供验收需要的相关资料，按采购人要求的验收流程及措施对项目进行履约验收。</w:t>
      </w:r>
    </w:p>
    <w:p>
      <w:pPr>
        <w:pStyle w:val="2"/>
        <w:numPr>
          <w:ilvl w:val="0"/>
          <w:numId w:val="2"/>
        </w:numPr>
        <w:spacing w:line="360" w:lineRule="auto"/>
        <w:ind w:right="1120"/>
        <w:rPr>
          <w:szCs w:val="28"/>
        </w:rPr>
      </w:pPr>
      <w:bookmarkStart w:id="148" w:name="_Toc421633337"/>
      <w:bookmarkStart w:id="149" w:name="_Toc497905845"/>
      <w:bookmarkStart w:id="150" w:name="_Toc310195729"/>
      <w:r>
        <w:rPr>
          <w:rFonts w:hint="eastAsia"/>
          <w:sz w:val="32"/>
          <w:szCs w:val="32"/>
        </w:rPr>
        <w:t>技术</w:t>
      </w:r>
      <w:bookmarkEnd w:id="148"/>
      <w:r>
        <w:rPr>
          <w:rFonts w:hint="eastAsia"/>
          <w:sz w:val="32"/>
          <w:szCs w:val="32"/>
        </w:rPr>
        <w:t>要求</w:t>
      </w:r>
      <w:bookmarkEnd w:id="149"/>
      <w:bookmarkStart w:id="151" w:name="_Toc421633338"/>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技术参数:</w:t>
      </w:r>
    </w:p>
    <w:tbl>
      <w:tblPr>
        <w:tblStyle w:val="50"/>
        <w:tblW w:w="8789" w:type="dxa"/>
        <w:tblInd w:w="-176" w:type="dxa"/>
        <w:tblLayout w:type="fixed"/>
        <w:tblCellMar>
          <w:top w:w="0" w:type="dxa"/>
          <w:left w:w="108" w:type="dxa"/>
          <w:bottom w:w="0" w:type="dxa"/>
          <w:right w:w="108" w:type="dxa"/>
        </w:tblCellMar>
      </w:tblPr>
      <w:tblGrid>
        <w:gridCol w:w="568"/>
        <w:gridCol w:w="992"/>
        <w:gridCol w:w="5822"/>
        <w:gridCol w:w="699"/>
        <w:gridCol w:w="708"/>
      </w:tblGrid>
      <w:tr>
        <w:tblPrEx>
          <w:tblLayout w:type="fixed"/>
          <w:tblCellMar>
            <w:top w:w="0" w:type="dxa"/>
            <w:left w:w="108" w:type="dxa"/>
            <w:bottom w:w="0" w:type="dxa"/>
            <w:right w:w="108" w:type="dxa"/>
          </w:tblCellMar>
        </w:tblPrEx>
        <w:trPr>
          <w:trHeight w:val="27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序号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课程服务名称</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规格要求</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单位</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数量</w:t>
            </w:r>
          </w:p>
        </w:tc>
      </w:tr>
      <w:tr>
        <w:tblPrEx>
          <w:tblLayout w:type="fixed"/>
          <w:tblCellMar>
            <w:top w:w="0" w:type="dxa"/>
            <w:left w:w="108" w:type="dxa"/>
            <w:bottom w:w="0" w:type="dxa"/>
            <w:right w:w="108" w:type="dxa"/>
          </w:tblCellMar>
        </w:tblPrEx>
        <w:trPr>
          <w:trHeight w:val="1692"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99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asciiTheme="minorEastAsia" w:hAnsiTheme="minorEastAsia" w:eastAsiaTheme="minorEastAsia"/>
                <w:sz w:val="24"/>
              </w:rPr>
              <w:t>食品质量安全管理</w:t>
            </w:r>
          </w:p>
        </w:tc>
        <w:tc>
          <w:tcPr>
            <w:tcW w:w="5822" w:type="dxa"/>
            <w:tcBorders>
              <w:top w:val="nil"/>
              <w:left w:val="nil"/>
              <w:bottom w:val="single" w:color="auto" w:sz="4" w:space="0"/>
              <w:right w:val="single" w:color="auto" w:sz="4" w:space="0"/>
            </w:tcBorders>
            <w:shd w:val="clear" w:color="auto" w:fill="auto"/>
            <w:vAlign w:val="center"/>
          </w:tcPr>
          <w:p>
            <w:pPr>
              <w:pStyle w:val="118"/>
              <w:widowControl/>
              <w:numPr>
                <w:ilvl w:val="0"/>
                <w:numId w:val="3"/>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内容概述</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针对“</w:t>
            </w:r>
            <w:r>
              <w:rPr>
                <w:rFonts w:hint="eastAsia" w:asciiTheme="minorEastAsia" w:hAnsiTheme="minorEastAsia" w:eastAsiaTheme="minorEastAsia"/>
                <w:sz w:val="24"/>
              </w:rPr>
              <w:t>食品质量安全管理</w:t>
            </w:r>
            <w:r>
              <w:rPr>
                <w:rFonts w:hint="eastAsia" w:cs="宋体" w:asciiTheme="minorEastAsia" w:hAnsiTheme="minorEastAsia" w:eastAsiaTheme="minorEastAsia"/>
                <w:kern w:val="0"/>
                <w:sz w:val="24"/>
              </w:rPr>
              <w:t>”课程，基于对该课程的掌握和理解，归纳总结知识点或技能点，信息数字化资源总数</w:t>
            </w:r>
            <w:r>
              <w:rPr>
                <w:rFonts w:cs="宋体" w:asciiTheme="minorEastAsia" w:hAnsiTheme="minorEastAsia" w:eastAsiaTheme="minorEastAsia"/>
                <w:kern w:val="0"/>
                <w:sz w:val="24"/>
              </w:rPr>
              <w:t>不少于</w:t>
            </w:r>
            <w:r>
              <w:rPr>
                <w:rFonts w:hint="eastAsia" w:cs="宋体" w:asciiTheme="minorEastAsia" w:hAnsiTheme="minorEastAsia" w:eastAsiaTheme="minorEastAsia"/>
                <w:kern w:val="0"/>
                <w:sz w:val="24"/>
              </w:rPr>
              <w:t>12个，充分运用信息数字化手段进行课程资源开发。</w:t>
            </w:r>
          </w:p>
          <w:p>
            <w:pPr>
              <w:pStyle w:val="118"/>
              <w:widowControl/>
              <w:numPr>
                <w:ilvl w:val="0"/>
                <w:numId w:val="3"/>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课程资源开发要求</w:t>
            </w:r>
          </w:p>
          <w:p>
            <w:pPr>
              <w:pStyle w:val="118"/>
              <w:widowControl/>
              <w:numPr>
                <w:ilvl w:val="0"/>
                <w:numId w:val="4"/>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4"/>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信息数字化课程视频总时长不得低于72分钟，其中二维动画场景不少于6个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总时长不得低于30分钟（可以在视频中内嵌动画或单独动画）；三维动画总时长不得低于90秒（可以在视频中内嵌动画或单独3D动画）；PC端二维交互软件不少于2个；</w:t>
            </w:r>
          </w:p>
          <w:p>
            <w:pPr>
              <w:pStyle w:val="118"/>
              <w:widowControl/>
              <w:numPr>
                <w:ilvl w:val="1"/>
                <w:numId w:val="5"/>
              </w:numPr>
              <w:spacing w:line="276" w:lineRule="auto"/>
              <w:ind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5"/>
              </w:numPr>
              <w:spacing w:line="276" w:lineRule="auto"/>
              <w:ind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特率128kbps；</w:t>
            </w:r>
          </w:p>
        </w:tc>
        <w:tc>
          <w:tcPr>
            <w:tcW w:w="69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416"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食品感官检验技术</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cs="宋体" w:asciiTheme="minorEastAsia" w:hAnsiTheme="minorEastAsia" w:eastAsiaTheme="minorEastAsia"/>
                <w:kern w:val="0"/>
                <w:sz w:val="24"/>
              </w:rPr>
            </w:pPr>
            <w:r>
              <w:rPr>
                <w:rFonts w:hint="eastAsia" w:asciiTheme="minorEastAsia" w:hAnsiTheme="minorEastAsia" w:eastAsiaTheme="minorEastAsia"/>
                <w:sz w:val="24"/>
              </w:rPr>
              <w:t>针对“食品感官检验技术”课程，基于对该课程的掌握和理解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15个，充分运用信息数字化手段进行课程资源开发。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6"/>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6"/>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7"/>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7"/>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信息数字化课程视频总时长不得低于90分钟，其中二维动画场景不少于6个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总时长不得低于40分钟（可以在视频中内嵌动画或单独动画）；三维动画总时长不得低于140秒（可以在视频中内嵌动画或单独3D动画）；PC端二维交互软件不少于2个；</w:t>
            </w:r>
          </w:p>
          <w:p>
            <w:pPr>
              <w:pStyle w:val="118"/>
              <w:widowControl/>
              <w:numPr>
                <w:ilvl w:val="1"/>
                <w:numId w:val="7"/>
              </w:numPr>
              <w:spacing w:line="276" w:lineRule="auto"/>
              <w:ind w:left="743"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7"/>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7"/>
              </w:numPr>
              <w:spacing w:line="276" w:lineRule="auto"/>
              <w:ind w:left="601"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widowControl/>
              <w:spacing w:line="276" w:lineRule="auto"/>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558"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食品安全检验技术</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cs="宋体" w:asciiTheme="minorEastAsia" w:hAnsiTheme="minorEastAsia" w:eastAsiaTheme="minorEastAsia"/>
                <w:kern w:val="0"/>
                <w:sz w:val="24"/>
              </w:rPr>
            </w:pPr>
            <w:r>
              <w:rPr>
                <w:rFonts w:hint="eastAsia" w:asciiTheme="minorEastAsia" w:hAnsiTheme="minorEastAsia" w:eastAsiaTheme="minorEastAsia"/>
                <w:sz w:val="24"/>
              </w:rPr>
              <w:t>针对“食品安全检验技术”课程，基于对该课程的掌握和理解，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10个，充分运用信息数字化手段进行课程资源开发。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8"/>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8"/>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信息数字化课程视频总时长不得低于60分钟，其中二维动画场景不少于3个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总时长不得低于20分钟（可以在视频中内嵌动画或单独动画）；三维动画总时长不得低于130秒（可以在视频中内嵌动画或单独3D动画）；PC端二维交互软件不少于2个；</w:t>
            </w:r>
          </w:p>
          <w:p>
            <w:pPr>
              <w:pStyle w:val="118"/>
              <w:widowControl/>
              <w:numPr>
                <w:ilvl w:val="1"/>
                <w:numId w:val="9"/>
              </w:numPr>
              <w:spacing w:line="276" w:lineRule="auto"/>
              <w:ind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080" w:hanging="104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9"/>
              </w:numPr>
              <w:spacing w:line="276" w:lineRule="auto"/>
              <w:ind w:left="601"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176" w:hanging="142"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w:t>
            </w:r>
          </w:p>
          <w:p>
            <w:pPr>
              <w:pStyle w:val="118"/>
              <w:widowControl/>
              <w:spacing w:line="276" w:lineRule="auto"/>
              <w:ind w:left="176" w:hanging="142"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特率128kbps；</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211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食品营养与配餐</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针对“食品营养与配餐”课程，基于对该课程的掌握和理解，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16个，充分运用信息数字化手段进行课程资源开发。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10"/>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10"/>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11"/>
              </w:numPr>
              <w:spacing w:line="276" w:lineRule="auto"/>
              <w:ind w:left="174" w:leftChars="17" w:hanging="138"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11"/>
              </w:numPr>
              <w:spacing w:line="276" w:lineRule="auto"/>
              <w:ind w:left="35" w:leftChars="-49" w:hanging="138"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信息数字化课程视频总时长不得低于96分钟，其中二维动画场景不少于8个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总时长不得低于40分钟（可以在视频中内嵌动画或单独动画）；三维动画总时长不得低于120秒（可以在视频中内嵌动画或单独3D动画）；PC端二维交互软件不少于2个；</w:t>
            </w:r>
          </w:p>
          <w:p>
            <w:pPr>
              <w:pStyle w:val="118"/>
              <w:widowControl/>
              <w:numPr>
                <w:ilvl w:val="1"/>
                <w:numId w:val="11"/>
              </w:numPr>
              <w:spacing w:line="276" w:lineRule="auto"/>
              <w:ind w:left="603" w:leftChars="17"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44" w:leftChars="-21"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1080像素（非此次拍摄素材可为素材实际分辨率）</w:t>
            </w:r>
            <w:r>
              <w:rPr>
                <w:rFonts w:cs="宋体" w:asciiTheme="minorEastAsia" w:hAnsiTheme="minorEastAsia" w:eastAsiaTheme="minorEastAsia"/>
                <w:kern w:val="0"/>
                <w:sz w:val="24"/>
              </w:rPr>
              <w:t>，数据速率6000kbps，总比特速率6128kbps，帧速率25帧每秒、比特率128kbps；稳定性：全片图像同步性能稳定，无失步现象；图像播放过程稳定，无抖动跳跃，色彩无突变；信噪比：图像信噪比不低于55db，无明显杂波；色调：白平衡正确，无明显偏色，多种资源切换镜头衔接无明显色差；采用通用分辨率，宽高比统一为16:9；</w:t>
            </w:r>
          </w:p>
          <w:p>
            <w:pPr>
              <w:pStyle w:val="118"/>
              <w:widowControl/>
              <w:numPr>
                <w:ilvl w:val="1"/>
                <w:numId w:val="11"/>
              </w:numPr>
              <w:spacing w:line="276" w:lineRule="auto"/>
              <w:ind w:left="319" w:leftChars="17" w:hanging="283"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比不低于48db；声音和画面要求同步，无交流声或其</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他杂音缺陷；配音清晰、饱满、圆润，无失真、噪声</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杂音干扰、音量忽大忽小现象；解说声与现场声无明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显比例失调，与背景音乐无明显比例失调；</w:t>
            </w:r>
          </w:p>
          <w:p>
            <w:pPr>
              <w:pStyle w:val="118"/>
              <w:widowControl/>
              <w:numPr>
                <w:ilvl w:val="1"/>
                <w:numId w:val="11"/>
              </w:numPr>
              <w:spacing w:line="276" w:lineRule="auto"/>
              <w:ind w:left="745" w:leftChars="17"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特率128kbps；</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2823"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食品营养物质分析</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针对“食品营养物质分析”课程，基于对该课程的掌握和理解，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12个，充分运用信息数字化手段进行课程资源开发。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12"/>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12"/>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13"/>
              </w:numPr>
              <w:spacing w:line="276" w:lineRule="auto"/>
              <w:ind w:left="319" w:leftChars="18" w:hanging="281"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13"/>
              </w:numPr>
              <w:spacing w:line="276" w:lineRule="auto"/>
              <w:ind w:left="319" w:leftChars="17" w:hanging="283"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信息数字化课程视频总时长不得低于72分钟，其中二维动画场景不少于6个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总时长不得低于40分钟（可以在视频中内嵌动画或单独动画）；三维动画总时长不得低于115秒（可以在视频中内嵌动画或单独3D动画）；PC端二维交互软件不少于2个；</w:t>
            </w:r>
          </w:p>
          <w:p>
            <w:pPr>
              <w:pStyle w:val="118"/>
              <w:widowControl/>
              <w:numPr>
                <w:ilvl w:val="1"/>
                <w:numId w:val="13"/>
              </w:numPr>
              <w:spacing w:line="276" w:lineRule="auto"/>
              <w:ind w:left="745" w:leftChars="17"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13"/>
              </w:numPr>
              <w:spacing w:line="276" w:lineRule="auto"/>
              <w:ind w:left="603" w:leftChars="17"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比不低于48db；声音和画面要求同步，无交流声或其</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他杂音缺陷；配音清晰、饱满、圆润，无失真、噪声</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杂音干扰、音量忽大忽小现象；解说声与现场声无明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显比例失调，与背景音乐无明显比例失调；</w:t>
            </w:r>
          </w:p>
          <w:p>
            <w:pPr>
              <w:pStyle w:val="118"/>
              <w:widowControl/>
              <w:numPr>
                <w:ilvl w:val="1"/>
                <w:numId w:val="13"/>
              </w:numPr>
              <w:spacing w:line="276" w:lineRule="auto"/>
              <w:ind w:left="461" w:leftChars="17" w:hanging="425"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widowControl/>
              <w:spacing w:line="276" w:lineRule="auto"/>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1691"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食品加工技术</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针对“食品加工技术”课程，基于对该课程的掌握和理解，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15个，充分运用信息数字化手段进行课程资源开发。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14"/>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14"/>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13"/>
              </w:numPr>
              <w:spacing w:line="276" w:lineRule="auto"/>
              <w:ind w:left="178" w:leftChars="17" w:hanging="142"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13"/>
              </w:numPr>
              <w:spacing w:line="276" w:lineRule="auto"/>
              <w:ind w:left="176" w:hanging="17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信息数字化课程视频总时长不得低于90分钟，其中二维动画场景不少于6个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总时长不得低于30分钟（可以在视频中内嵌动画或单独动画）；三维动画总时长不得低于125秒（可以在视频中内嵌动画或单独3D动画）；PC端二维交互软件不少于2个；</w:t>
            </w:r>
          </w:p>
          <w:p>
            <w:pPr>
              <w:pStyle w:val="118"/>
              <w:widowControl/>
              <w:numPr>
                <w:ilvl w:val="1"/>
                <w:numId w:val="13"/>
              </w:numPr>
              <w:spacing w:line="276" w:lineRule="auto"/>
              <w:ind w:left="886" w:leftChars="17" w:hanging="85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13"/>
              </w:numPr>
              <w:spacing w:line="276" w:lineRule="auto"/>
              <w:ind w:left="603" w:leftChars="17"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比不低于48db；声音和画面要求同步，无交流声或其</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他杂音缺陷；配音清晰、饱满、圆润，无失真、噪声</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杂音干扰、音量忽大忽小现象；解说声与现场声无明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显比例失调，与背景音乐无明显比例失调；</w:t>
            </w:r>
          </w:p>
          <w:p>
            <w:pPr>
              <w:pStyle w:val="118"/>
              <w:widowControl/>
              <w:numPr>
                <w:ilvl w:val="1"/>
                <w:numId w:val="13"/>
              </w:numPr>
              <w:spacing w:line="276" w:lineRule="auto"/>
              <w:ind w:left="319" w:leftChars="17" w:hanging="283"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特率128kbps；</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1691"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课件（PPT）版式设计、美化</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针对</w:t>
            </w:r>
            <w:r>
              <w:rPr>
                <w:rFonts w:cs="宋体" w:asciiTheme="minorEastAsia" w:hAnsiTheme="minorEastAsia" w:eastAsiaTheme="minorEastAsia"/>
                <w:kern w:val="0"/>
                <w:sz w:val="24"/>
              </w:rPr>
              <w:t>“</w:t>
            </w:r>
            <w:r>
              <w:rPr>
                <w:rFonts w:hint="eastAsia" w:asciiTheme="minorEastAsia" w:hAnsiTheme="minorEastAsia" w:eastAsiaTheme="minorEastAsia"/>
                <w:sz w:val="24"/>
              </w:rPr>
              <w:t>食品质量安全管理、食品感官检验技术、食品安全检验技术、食品营养与配餐、食品营养物质分析、食品加工技术</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共计6个</w:t>
            </w:r>
            <w:r>
              <w:rPr>
                <w:rFonts w:cs="宋体" w:asciiTheme="minorEastAsia" w:hAnsiTheme="minorEastAsia" w:eastAsiaTheme="minorEastAsia"/>
                <w:kern w:val="0"/>
                <w:sz w:val="24"/>
              </w:rPr>
              <w:t>课程，</w:t>
            </w:r>
            <w:r>
              <w:rPr>
                <w:rFonts w:hint="eastAsia" w:cs="宋体" w:asciiTheme="minorEastAsia" w:hAnsiTheme="minorEastAsia" w:eastAsiaTheme="minorEastAsia"/>
                <w:kern w:val="0"/>
                <w:sz w:val="24"/>
              </w:rPr>
              <w:t>进行课件（PPT）制作</w:t>
            </w:r>
            <w:r>
              <w:rPr>
                <w:rFonts w:cs="宋体" w:asciiTheme="minorEastAsia" w:hAnsiTheme="minorEastAsia" w:eastAsiaTheme="minorEastAsia"/>
                <w:kern w:val="0"/>
                <w:sz w:val="24"/>
              </w:rPr>
              <w:t>，包括</w:t>
            </w:r>
            <w:r>
              <w:rPr>
                <w:rFonts w:hint="eastAsia" w:cs="宋体" w:asciiTheme="minorEastAsia" w:hAnsiTheme="minorEastAsia" w:eastAsiaTheme="minorEastAsia"/>
                <w:kern w:val="0"/>
                <w:sz w:val="24"/>
              </w:rPr>
              <w:t>版式设计、美化等</w:t>
            </w:r>
            <w:r>
              <w:rPr>
                <w:rFonts w:cs="宋体" w:asciiTheme="minorEastAsia" w:hAnsiTheme="minorEastAsia" w:eastAsiaTheme="minorEastAsia"/>
                <w:kern w:val="0"/>
                <w:sz w:val="24"/>
              </w:rPr>
              <w:t>内容。</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页</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700</w:t>
            </w:r>
          </w:p>
        </w:tc>
      </w:tr>
      <w:tr>
        <w:tblPrEx>
          <w:tblLayout w:type="fixed"/>
          <w:tblCellMar>
            <w:top w:w="0" w:type="dxa"/>
            <w:left w:w="108" w:type="dxa"/>
            <w:bottom w:w="0" w:type="dxa"/>
            <w:right w:w="108" w:type="dxa"/>
          </w:tblCellMar>
        </w:tblPrEx>
        <w:trPr>
          <w:trHeight w:val="1691"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食品营养与检测专业视频短片</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针对食品营养与检测专业，</w:t>
            </w:r>
            <w:r>
              <w:rPr>
                <w:rFonts w:asciiTheme="minorEastAsia" w:hAnsiTheme="minorEastAsia" w:eastAsiaTheme="minorEastAsia"/>
                <w:sz w:val="24"/>
              </w:rPr>
              <w:t>拍摄</w:t>
            </w:r>
            <w:r>
              <w:rPr>
                <w:rFonts w:hint="eastAsia" w:asciiTheme="minorEastAsia" w:hAnsiTheme="minorEastAsia" w:eastAsiaTheme="minorEastAsia"/>
                <w:sz w:val="24"/>
              </w:rPr>
              <w:t>视频短片。</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拍摄</w:t>
            </w:r>
            <w:r>
              <w:rPr>
                <w:rFonts w:cs="宋体" w:asciiTheme="minorEastAsia" w:hAnsiTheme="minorEastAsia" w:eastAsiaTheme="minorEastAsia"/>
                <w:kern w:val="0"/>
                <w:sz w:val="24"/>
              </w:rPr>
              <w:t>要求</w:t>
            </w:r>
          </w:p>
          <w:p>
            <w:pPr>
              <w:pStyle w:val="118"/>
              <w:widowControl/>
              <w:numPr>
                <w:ilvl w:val="1"/>
                <w:numId w:val="15"/>
              </w:numPr>
              <w:spacing w:line="276" w:lineRule="auto"/>
              <w:ind w:left="745" w:leftChars="17" w:hanging="709"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此视频时长不低于5分钟；</w:t>
            </w:r>
          </w:p>
          <w:p>
            <w:pPr>
              <w:pStyle w:val="118"/>
              <w:widowControl/>
              <w:numPr>
                <w:ilvl w:val="1"/>
                <w:numId w:val="15"/>
              </w:numPr>
              <w:spacing w:line="276" w:lineRule="auto"/>
              <w:ind w:left="743" w:leftChars="16"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15"/>
              </w:numPr>
              <w:spacing w:line="276" w:lineRule="auto"/>
              <w:ind w:left="745" w:leftChars="17"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比不低于48db；声音和画面要求同步，无交流声或其</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他杂音缺陷；配音清晰、饱满、圆润，无失真、噪声</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杂音干扰、音量忽大忽小现象；解说声与现场声无明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显比例失调，与背景音乐无明显比例失调</w:t>
            </w:r>
            <w:r>
              <w:rPr>
                <w:rFonts w:hint="eastAsia" w:cs="宋体" w:asciiTheme="minorEastAsia" w:hAnsiTheme="minorEastAsia" w:eastAsiaTheme="minorEastAsia"/>
                <w:kern w:val="0"/>
                <w:sz w:val="24"/>
              </w:rPr>
              <w:t>。</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bl>
    <w:p/>
    <w:p>
      <w:pPr>
        <w:ind w:left="843" w:hanging="843" w:hangingChars="400"/>
        <w:rPr>
          <w:b/>
        </w:rPr>
      </w:pPr>
      <w:r>
        <w:rPr>
          <w:rFonts w:hint="eastAsia"/>
          <w:b/>
        </w:rPr>
        <w:t>备注：1、本项目最终交付的相关标的物，要求中标单位无偿配合招标人在招标人已有平台上完成相关部署。</w:t>
      </w:r>
    </w:p>
    <w:p>
      <w:pPr>
        <w:rPr>
          <w:b/>
        </w:rPr>
      </w:pPr>
      <w:r>
        <w:rPr>
          <w:rFonts w:hint="eastAsia"/>
          <w:b/>
        </w:rPr>
        <w:t xml:space="preserve">      2、最终项目中视频制作部分交付两版，一版为1920*1080,另一版为1280*720。</w:t>
      </w:r>
    </w:p>
    <w:p>
      <w:pPr>
        <w:pStyle w:val="2"/>
        <w:spacing w:line="360" w:lineRule="auto"/>
      </w:pPr>
      <w:bookmarkStart w:id="152" w:name="_Toc497905846"/>
      <w:r>
        <w:rPr>
          <w:rFonts w:hint="eastAsia"/>
        </w:rPr>
        <w:t>第五章  评分办法及评分标准</w:t>
      </w:r>
      <w:bookmarkEnd w:id="151"/>
      <w:bookmarkEnd w:id="152"/>
    </w:p>
    <w:p>
      <w:pPr>
        <w:spacing w:line="360" w:lineRule="auto"/>
        <w:rPr>
          <w:rFonts w:ascii="宋体" w:hAnsi="宋体"/>
          <w:sz w:val="24"/>
        </w:rPr>
      </w:pPr>
      <w:r>
        <w:rPr>
          <w:rFonts w:hint="eastAsia" w:ascii="宋体" w:hAnsi="宋体"/>
          <w:sz w:val="24"/>
        </w:rPr>
        <w:t>一、评标办法</w:t>
      </w:r>
    </w:p>
    <w:p>
      <w:pPr>
        <w:spacing w:line="360" w:lineRule="auto"/>
        <w:rPr>
          <w:rFonts w:ascii="宋体" w:hAnsi="宋体"/>
          <w:sz w:val="24"/>
        </w:rPr>
      </w:pPr>
      <w:r>
        <w:rPr>
          <w:rFonts w:hint="eastAsia" w:ascii="宋体" w:hAnsi="宋体"/>
          <w:sz w:val="24"/>
        </w:rPr>
        <w:t>1、评标委员会评委根据评分标准对照各投标人的投标文件内容进行评分。</w:t>
      </w:r>
    </w:p>
    <w:p>
      <w:pPr>
        <w:spacing w:line="360" w:lineRule="auto"/>
        <w:rPr>
          <w:rFonts w:ascii="宋体" w:hAnsi="宋体"/>
          <w:sz w:val="24"/>
        </w:rPr>
      </w:pPr>
      <w:r>
        <w:rPr>
          <w:rFonts w:hint="eastAsia" w:ascii="宋体" w:hAnsi="宋体"/>
          <w:sz w:val="24"/>
        </w:rPr>
        <w:t>2、计分方法：将各评标委员对同一投标单位的得分合计后取平均值，即为该投标单位的最终得分。</w:t>
      </w:r>
    </w:p>
    <w:p>
      <w:pPr>
        <w:spacing w:line="360" w:lineRule="auto"/>
        <w:rPr>
          <w:rFonts w:ascii="宋体" w:hAnsi="宋体"/>
          <w:sz w:val="24"/>
        </w:rPr>
      </w:pPr>
      <w:r>
        <w:rPr>
          <w:rFonts w:hint="eastAsia" w:ascii="宋体" w:hAnsi="宋体"/>
          <w:sz w:val="24"/>
        </w:rPr>
        <w:t>3、评标结果按评审后得分由高到低顺序排列。得分相同的，按投标报价由低到高顺序排列。得分且投标报价相同的，按照技术指标优劣顺序排列。</w:t>
      </w:r>
    </w:p>
    <w:p>
      <w:pPr>
        <w:spacing w:line="360" w:lineRule="auto"/>
        <w:rPr>
          <w:rFonts w:ascii="宋体" w:hAnsi="宋体"/>
          <w:sz w:val="24"/>
        </w:rPr>
      </w:pPr>
      <w:r>
        <w:rPr>
          <w:rFonts w:hint="eastAsia" w:ascii="宋体" w:hAnsi="宋体"/>
          <w:sz w:val="24"/>
        </w:rPr>
        <w:t>4、采购人将确定排名第一的中标候选人为中标人。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pPr>
        <w:spacing w:line="360" w:lineRule="auto"/>
        <w:rPr>
          <w:rFonts w:ascii="宋体" w:hAnsi="宋体"/>
          <w:sz w:val="24"/>
        </w:rPr>
      </w:pPr>
      <w:r>
        <w:rPr>
          <w:rFonts w:hint="eastAsia" w:ascii="宋体" w:hAnsi="宋体"/>
          <w:sz w:val="24"/>
        </w:rPr>
        <w:t>5.提供相同品牌产品且通过资格审查、符合性审查的不同投标人参加同一合同项下投标的，按一家投标人计算，评审后得分最高的同品牌投标人获得中标人推荐资格；评审得分相同的，按照投标报价由低到高顺序排列，得分且投标报价相同的，按技术指标优劣顺序排列，其他同品牌投标人不作为中标候选人。</w:t>
      </w:r>
    </w:p>
    <w:p>
      <w:pPr>
        <w:spacing w:line="360" w:lineRule="auto"/>
        <w:rPr>
          <w:rFonts w:ascii="宋体" w:hAnsi="宋体"/>
          <w:sz w:val="24"/>
        </w:rPr>
      </w:pPr>
      <w:r>
        <w:rPr>
          <w:rFonts w:hint="eastAsia" w:ascii="宋体" w:hAnsi="宋体"/>
          <w:sz w:val="24"/>
        </w:rPr>
        <w:t>评分细则如下：</w:t>
      </w:r>
    </w:p>
    <w:tbl>
      <w:tblPr>
        <w:tblStyle w:val="50"/>
        <w:tblW w:w="93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8"/>
        <w:gridCol w:w="1432"/>
        <w:gridCol w:w="1087"/>
        <w:gridCol w:w="5245"/>
        <w:gridCol w:w="8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9" w:hRule="atLeast"/>
          <w:jc w:val="center"/>
        </w:trPr>
        <w:tc>
          <w:tcPr>
            <w:tcW w:w="728" w:type="dxa"/>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序号</w:t>
            </w:r>
          </w:p>
        </w:tc>
        <w:tc>
          <w:tcPr>
            <w:tcW w:w="2519" w:type="dxa"/>
            <w:gridSpan w:val="2"/>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评审因素</w:t>
            </w:r>
          </w:p>
        </w:tc>
        <w:tc>
          <w:tcPr>
            <w:tcW w:w="5245" w:type="dxa"/>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评分标准</w:t>
            </w:r>
          </w:p>
        </w:tc>
        <w:tc>
          <w:tcPr>
            <w:tcW w:w="868" w:type="dxa"/>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0" w:hRule="atLeast"/>
          <w:jc w:val="center"/>
        </w:trPr>
        <w:tc>
          <w:tcPr>
            <w:tcW w:w="728" w:type="dxa"/>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p>
        </w:tc>
        <w:tc>
          <w:tcPr>
            <w:tcW w:w="2519" w:type="dxa"/>
            <w:gridSpan w:val="2"/>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价格部分</w:t>
            </w:r>
          </w:p>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c>
          <w:tcPr>
            <w:tcW w:w="5245" w:type="dxa"/>
            <w:vAlign w:val="center"/>
          </w:tcPr>
          <w:p>
            <w:pPr>
              <w:snapToGrid w:val="0"/>
              <w:spacing w:line="276" w:lineRule="auto"/>
              <w:rPr>
                <w:rFonts w:cs="仿宋" w:asciiTheme="minorEastAsia" w:hAnsiTheme="minorEastAsia" w:eastAsiaTheme="minorEastAsia"/>
                <w:sz w:val="24"/>
              </w:rPr>
            </w:pPr>
            <w:r>
              <w:rPr>
                <w:rFonts w:hint="eastAsia" w:cs="仿宋" w:asciiTheme="minorEastAsia" w:hAnsiTheme="minorEastAsia" w:eastAsiaTheme="minorEastAsia"/>
                <w:sz w:val="24"/>
              </w:rPr>
              <w:t>综合评分法中的价格分统一采用低价优先法计算，即满足招标文件要求且投标价格最低的投标报价为评标基准价，其价格分为满分。其他投标人的价格分统一按照下列公式计算：</w:t>
            </w:r>
          </w:p>
          <w:p>
            <w:pPr>
              <w:pStyle w:val="16"/>
              <w:spacing w:line="276" w:lineRule="auto"/>
              <w:rPr>
                <w:rFonts w:cs="仿宋" w:asciiTheme="minorEastAsia" w:hAnsiTheme="minorEastAsia" w:eastAsiaTheme="minorEastAsia"/>
                <w:szCs w:val="24"/>
              </w:rPr>
            </w:pPr>
            <w:r>
              <w:rPr>
                <w:rFonts w:hint="eastAsia" w:cs="仿宋" w:asciiTheme="minorEastAsia" w:hAnsiTheme="minorEastAsia" w:eastAsiaTheme="minorEastAsia"/>
                <w:szCs w:val="24"/>
              </w:rPr>
              <w:t>投标报价得分</w:t>
            </w:r>
            <w:r>
              <w:rPr>
                <w:rFonts w:cs="仿宋" w:asciiTheme="minorEastAsia" w:hAnsiTheme="minorEastAsia" w:eastAsiaTheme="minorEastAsia"/>
                <w:szCs w:val="24"/>
              </w:rPr>
              <w:t>=(</w:t>
            </w:r>
            <w:r>
              <w:rPr>
                <w:rFonts w:hint="eastAsia" w:cs="仿宋" w:asciiTheme="minorEastAsia" w:hAnsiTheme="minorEastAsia" w:eastAsiaTheme="minorEastAsia"/>
                <w:szCs w:val="24"/>
              </w:rPr>
              <w:t>评标基准价／扣除后的投标价格</w:t>
            </w:r>
            <w:r>
              <w:rPr>
                <w:rFonts w:cs="仿宋" w:asciiTheme="minorEastAsia" w:hAnsiTheme="minorEastAsia" w:eastAsiaTheme="minorEastAsia"/>
                <w:szCs w:val="24"/>
              </w:rPr>
              <w:t>)</w:t>
            </w:r>
            <w:r>
              <w:rPr>
                <w:rFonts w:hint="eastAsia" w:cs="仿宋" w:asciiTheme="minorEastAsia" w:hAnsiTheme="minorEastAsia" w:eastAsiaTheme="minorEastAsia"/>
                <w:szCs w:val="24"/>
              </w:rPr>
              <w:t>×</w:t>
            </w:r>
            <w:r>
              <w:rPr>
                <w:rFonts w:cs="仿宋" w:asciiTheme="minorEastAsia" w:hAnsiTheme="minorEastAsia" w:eastAsiaTheme="minorEastAsia"/>
                <w:szCs w:val="24"/>
              </w:rPr>
              <w:t>10%</w:t>
            </w:r>
            <w:r>
              <w:rPr>
                <w:rFonts w:hint="eastAsia" w:cs="仿宋" w:asciiTheme="minorEastAsia" w:hAnsiTheme="minorEastAsia" w:eastAsiaTheme="minorEastAsia"/>
                <w:szCs w:val="24"/>
              </w:rPr>
              <w:t>×</w:t>
            </w:r>
            <w:r>
              <w:rPr>
                <w:rFonts w:cs="仿宋" w:asciiTheme="minorEastAsia" w:hAnsiTheme="minorEastAsia" w:eastAsiaTheme="minorEastAsia"/>
                <w:szCs w:val="24"/>
              </w:rPr>
              <w:t>100</w:t>
            </w:r>
          </w:p>
          <w:p>
            <w:pPr>
              <w:pStyle w:val="16"/>
              <w:spacing w:line="276" w:lineRule="auto"/>
              <w:rPr>
                <w:rFonts w:cs="仿宋" w:asciiTheme="minorEastAsia" w:hAnsiTheme="minorEastAsia" w:eastAsiaTheme="minorEastAsia"/>
                <w:szCs w:val="24"/>
              </w:rPr>
            </w:pPr>
            <w:r>
              <w:rPr>
                <w:rFonts w:cs="仿宋" w:asciiTheme="minorEastAsia" w:hAnsiTheme="minorEastAsia" w:eastAsiaTheme="minorEastAsia"/>
                <w:szCs w:val="24"/>
                <w:u w:val="single"/>
              </w:rPr>
              <w:t xml:space="preserve">                                                                </w:t>
            </w:r>
            <w:r>
              <w:rPr>
                <w:rFonts w:cs="仿宋" w:asciiTheme="minorEastAsia" w:hAnsiTheme="minorEastAsia" w:eastAsiaTheme="minorEastAsia"/>
                <w:szCs w:val="24"/>
              </w:rPr>
              <w:t xml:space="preserve">      </w:t>
            </w:r>
          </w:p>
          <w:p>
            <w:pPr>
              <w:spacing w:line="276" w:lineRule="auto"/>
              <w:rPr>
                <w:rFonts w:cs="宋体" w:asciiTheme="minorEastAsia" w:hAnsiTheme="minorEastAsia" w:eastAsiaTheme="minorEastAsia"/>
                <w:color w:val="000000"/>
                <w:kern w:val="0"/>
                <w:sz w:val="24"/>
              </w:rPr>
            </w:pPr>
            <w:r>
              <w:rPr>
                <w:rFonts w:hint="eastAsia" w:cs="仿宋" w:asciiTheme="minorEastAsia" w:hAnsiTheme="minorEastAsia" w:eastAsiaTheme="minorEastAsia"/>
                <w:sz w:val="24"/>
              </w:rPr>
              <w:t>对小型和微型企业的价格给予</w:t>
            </w:r>
            <w:r>
              <w:rPr>
                <w:rFonts w:cs="仿宋" w:asciiTheme="minorEastAsia" w:hAnsiTheme="minorEastAsia" w:eastAsiaTheme="minorEastAsia"/>
                <w:sz w:val="24"/>
              </w:rPr>
              <w:t>6%</w:t>
            </w:r>
            <w:r>
              <w:rPr>
                <w:rFonts w:hint="eastAsia" w:cs="仿宋" w:asciiTheme="minorEastAsia" w:hAnsiTheme="minorEastAsia" w:eastAsiaTheme="minorEastAsia"/>
                <w:sz w:val="24"/>
              </w:rPr>
              <w:t>的扣除，用扣除后的价格参与评审。</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728" w:type="dxa"/>
            <w:vMerge w:val="restart"/>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p>
        </w:tc>
        <w:tc>
          <w:tcPr>
            <w:tcW w:w="1432"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商务部分</w:t>
            </w:r>
          </w:p>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10分</w:t>
            </w:r>
            <w:r>
              <w:rPr>
                <w:rFonts w:cs="宋体" w:asciiTheme="minorEastAsia" w:hAnsiTheme="minorEastAsia" w:eastAsiaTheme="minorEastAsia"/>
                <w:color w:val="000000"/>
                <w:kern w:val="0"/>
                <w:sz w:val="24"/>
              </w:rPr>
              <w:t>)</w:t>
            </w:r>
          </w:p>
        </w:tc>
        <w:tc>
          <w:tcPr>
            <w:tcW w:w="1087"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投标人实力</w:t>
            </w:r>
          </w:p>
        </w:tc>
        <w:tc>
          <w:tcPr>
            <w:tcW w:w="5245" w:type="dxa"/>
            <w:vAlign w:val="center"/>
          </w:tcPr>
          <w:p>
            <w:pPr>
              <w:pStyle w:val="16"/>
              <w:spacing w:line="276" w:lineRule="auto"/>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投标人具有高新技术企业认证证书，得3分，否则</w:t>
            </w:r>
            <w:r>
              <w:rPr>
                <w:rFonts w:cs="宋体" w:asciiTheme="minorEastAsia" w:hAnsiTheme="minorEastAsia" w:eastAsiaTheme="minorEastAsia"/>
                <w:color w:val="000000"/>
                <w:kern w:val="0"/>
                <w:szCs w:val="24"/>
              </w:rPr>
              <w:t>0</w:t>
            </w:r>
            <w:r>
              <w:rPr>
                <w:rFonts w:hint="eastAsia" w:cs="宋体" w:asciiTheme="minorEastAsia" w:hAnsiTheme="minorEastAsia" w:eastAsiaTheme="minorEastAsia"/>
                <w:color w:val="000000"/>
                <w:kern w:val="0"/>
                <w:szCs w:val="24"/>
              </w:rPr>
              <w:t>分。须提供证书复印件并加盖投标人公章</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728"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432"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087"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5245" w:type="dxa"/>
            <w:vAlign w:val="center"/>
          </w:tcPr>
          <w:p>
            <w:pPr>
              <w:pStyle w:val="16"/>
              <w:spacing w:line="276" w:lineRule="auto"/>
              <w:rPr>
                <w:rFonts w:cs="仿宋" w:asciiTheme="minorEastAsia" w:hAnsiTheme="minorEastAsia" w:eastAsiaTheme="minorEastAsia"/>
                <w:kern w:val="0"/>
                <w:szCs w:val="24"/>
              </w:rPr>
            </w:pPr>
            <w:r>
              <w:rPr>
                <w:rFonts w:hint="eastAsia" w:cs="宋体" w:asciiTheme="minorEastAsia" w:hAnsiTheme="minorEastAsia" w:eastAsiaTheme="minorEastAsia"/>
                <w:color w:val="000000"/>
                <w:kern w:val="0"/>
                <w:szCs w:val="24"/>
              </w:rPr>
              <w:t>投标人具有</w:t>
            </w:r>
            <w:r>
              <w:rPr>
                <w:rFonts w:cs="宋体" w:asciiTheme="minorEastAsia" w:hAnsiTheme="minorEastAsia" w:eastAsiaTheme="minorEastAsia"/>
                <w:color w:val="000000"/>
                <w:kern w:val="0"/>
                <w:szCs w:val="24"/>
              </w:rPr>
              <w:t>ISO9001</w:t>
            </w:r>
            <w:r>
              <w:rPr>
                <w:rFonts w:hint="eastAsia" w:cs="宋体" w:asciiTheme="minorEastAsia" w:hAnsiTheme="minorEastAsia" w:eastAsiaTheme="minorEastAsia"/>
                <w:color w:val="000000"/>
                <w:kern w:val="0"/>
                <w:szCs w:val="24"/>
              </w:rPr>
              <w:t>质量管理体系认证证书，得3分，否则</w:t>
            </w:r>
            <w:r>
              <w:rPr>
                <w:rFonts w:cs="宋体" w:asciiTheme="minorEastAsia" w:hAnsiTheme="minorEastAsia" w:eastAsiaTheme="minorEastAsia"/>
                <w:color w:val="000000"/>
                <w:kern w:val="0"/>
                <w:szCs w:val="24"/>
              </w:rPr>
              <w:t>0</w:t>
            </w:r>
            <w:r>
              <w:rPr>
                <w:rFonts w:hint="eastAsia" w:cs="宋体" w:asciiTheme="minorEastAsia" w:hAnsiTheme="minorEastAsia" w:eastAsiaTheme="minorEastAsia"/>
                <w:color w:val="000000"/>
                <w:kern w:val="0"/>
                <w:szCs w:val="24"/>
              </w:rPr>
              <w:t>分。须提供证书复印件并加盖投标人公章</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728"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432"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近三年项目业绩</w:t>
            </w:r>
          </w:p>
        </w:tc>
        <w:tc>
          <w:tcPr>
            <w:tcW w:w="5245" w:type="dxa"/>
            <w:vAlign w:val="center"/>
          </w:tcPr>
          <w:p>
            <w:pPr>
              <w:pStyle w:val="16"/>
              <w:spacing w:line="276" w:lineRule="auto"/>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提供过去三年内（2014年至今）相关合同复印件（加盖公章），每提供一个得1分，最高4分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jc w:val="center"/>
        </w:trPr>
        <w:tc>
          <w:tcPr>
            <w:tcW w:w="728" w:type="dxa"/>
            <w:vMerge w:val="restart"/>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p>
        </w:tc>
        <w:tc>
          <w:tcPr>
            <w:tcW w:w="1432"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技术部分（70分）</w:t>
            </w:r>
          </w:p>
        </w:tc>
        <w:tc>
          <w:tcPr>
            <w:tcW w:w="1087" w:type="dxa"/>
            <w:vAlign w:val="center"/>
          </w:tcPr>
          <w:p>
            <w:pPr>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课程信息数字化教学设计方案（一个知识点或技能点）</w:t>
            </w:r>
          </w:p>
        </w:tc>
        <w:tc>
          <w:tcPr>
            <w:tcW w:w="5245"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招标参数中包括多门课程，</w:t>
            </w:r>
            <w:r>
              <w:rPr>
                <w:rFonts w:cs="仿宋" w:asciiTheme="minorEastAsia" w:hAnsiTheme="minorEastAsia" w:eastAsiaTheme="minorEastAsia"/>
                <w:color w:val="000000"/>
                <w:kern w:val="0"/>
                <w:sz w:val="24"/>
              </w:rPr>
              <w:t>任选其中一</w:t>
            </w:r>
            <w:r>
              <w:rPr>
                <w:rFonts w:hint="eastAsia" w:cs="仿宋" w:asciiTheme="minorEastAsia" w:hAnsiTheme="minorEastAsia" w:eastAsiaTheme="minorEastAsia"/>
                <w:color w:val="000000"/>
                <w:kern w:val="0"/>
                <w:sz w:val="24"/>
              </w:rPr>
              <w:t>门课程中的1个</w:t>
            </w:r>
            <w:r>
              <w:rPr>
                <w:rFonts w:cs="仿宋" w:asciiTheme="minorEastAsia" w:hAnsiTheme="minorEastAsia" w:eastAsiaTheme="minorEastAsia"/>
                <w:color w:val="000000"/>
                <w:kern w:val="0"/>
                <w:sz w:val="24"/>
              </w:rPr>
              <w:t>知识点或技能点，进行</w:t>
            </w:r>
            <w:r>
              <w:rPr>
                <w:rFonts w:hint="eastAsia" w:cs="仿宋" w:asciiTheme="minorEastAsia" w:hAnsiTheme="minorEastAsia" w:eastAsiaTheme="minorEastAsia"/>
                <w:color w:val="000000"/>
                <w:kern w:val="0"/>
                <w:sz w:val="24"/>
              </w:rPr>
              <w:t>信息数字化教学设计</w:t>
            </w:r>
            <w:r>
              <w:rPr>
                <w:rFonts w:cs="仿宋" w:asciiTheme="minorEastAsia" w:hAnsiTheme="minorEastAsia" w:eastAsiaTheme="minorEastAsia"/>
                <w:color w:val="000000"/>
                <w:kern w:val="0"/>
                <w:sz w:val="24"/>
              </w:rPr>
              <w:t>。</w:t>
            </w:r>
            <w:r>
              <w:rPr>
                <w:rFonts w:cs="仿宋" w:asciiTheme="minorEastAsia" w:hAnsiTheme="minorEastAsia" w:eastAsiaTheme="minorEastAsia"/>
                <w:color w:val="000000"/>
                <w:kern w:val="0"/>
                <w:sz w:val="24"/>
              </w:rPr>
              <w:br w:type="textWrapping"/>
            </w:r>
            <w:r>
              <w:rPr>
                <w:rFonts w:cs="仿宋" w:asciiTheme="minorEastAsia" w:hAnsiTheme="minorEastAsia" w:eastAsiaTheme="minorEastAsia"/>
                <w:color w:val="000000"/>
                <w:kern w:val="0"/>
                <w:sz w:val="24"/>
              </w:rPr>
              <w:t>1.</w:t>
            </w:r>
            <w:r>
              <w:rPr>
                <w:rFonts w:hint="eastAsia" w:cs="仿宋" w:asciiTheme="minorEastAsia" w:hAnsiTheme="minorEastAsia" w:eastAsiaTheme="minorEastAsia"/>
                <w:color w:val="000000"/>
                <w:kern w:val="0"/>
                <w:sz w:val="24"/>
              </w:rPr>
              <w:t>教学目标清晰明确，突出学生主体地位，充分体现“做中学、做中教”；教学策略高度贴合学生认知规律和教学实际；信息数字化手段选用合理且恰当，有效解决教学重、难点，实现考核评价科学有效。得30-35分</w:t>
            </w:r>
            <w:r>
              <w:rPr>
                <w:rFonts w:cs="仿宋" w:asciiTheme="minorEastAsia" w:hAnsiTheme="minorEastAsia" w:eastAsiaTheme="minorEastAsia"/>
                <w:color w:val="000000"/>
                <w:kern w:val="0"/>
                <w:sz w:val="24"/>
              </w:rPr>
              <w:br w:type="textWrapping"/>
            </w:r>
            <w:r>
              <w:rPr>
                <w:rFonts w:cs="仿宋" w:asciiTheme="minorEastAsia" w:hAnsiTheme="minorEastAsia" w:eastAsiaTheme="minorEastAsia"/>
                <w:color w:val="000000"/>
                <w:kern w:val="0"/>
                <w:sz w:val="24"/>
              </w:rPr>
              <w:t>2.</w:t>
            </w:r>
            <w:r>
              <w:rPr>
                <w:rFonts w:hint="eastAsia" w:cs="仿宋" w:asciiTheme="minorEastAsia" w:hAnsiTheme="minorEastAsia" w:eastAsiaTheme="minorEastAsia"/>
                <w:color w:val="000000"/>
                <w:kern w:val="0"/>
                <w:sz w:val="24"/>
              </w:rPr>
              <w:t xml:space="preserve"> 教学目标、教学策略基本符合教学实际，信息数字化手段有所选用，合理恰当性一般。得</w:t>
            </w:r>
            <w:r>
              <w:rPr>
                <w:rFonts w:cs="仿宋" w:asciiTheme="minorEastAsia" w:hAnsiTheme="minorEastAsia" w:eastAsiaTheme="minorEastAsia"/>
                <w:color w:val="000000"/>
                <w:kern w:val="0"/>
                <w:sz w:val="24"/>
              </w:rPr>
              <w:t>20-</w:t>
            </w:r>
            <w:r>
              <w:rPr>
                <w:rFonts w:hint="eastAsia" w:cs="仿宋" w:asciiTheme="minorEastAsia" w:hAnsiTheme="minorEastAsia" w:eastAsiaTheme="minorEastAsia"/>
                <w:color w:val="000000"/>
                <w:kern w:val="0"/>
                <w:sz w:val="24"/>
              </w:rPr>
              <w:t>25分</w:t>
            </w:r>
          </w:p>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3．教学目标、教学策略基本符合教学实际，信息数字化手段有所选用，合理恰当性较差。得1-14分</w:t>
            </w:r>
            <w:r>
              <w:rPr>
                <w:rFonts w:cs="仿宋" w:asciiTheme="minorEastAsia" w:hAnsiTheme="minorEastAsia" w:eastAsiaTheme="minorEastAsia"/>
                <w:color w:val="000000"/>
                <w:kern w:val="0"/>
                <w:sz w:val="24"/>
              </w:rPr>
              <w:br w:type="textWrapping"/>
            </w:r>
            <w:r>
              <w:rPr>
                <w:rFonts w:hint="eastAsia" w:cs="仿宋" w:asciiTheme="minorEastAsia" w:hAnsiTheme="minorEastAsia" w:eastAsiaTheme="minorEastAsia"/>
                <w:color w:val="000000"/>
                <w:kern w:val="0"/>
                <w:sz w:val="24"/>
              </w:rPr>
              <w:t>4</w:t>
            </w:r>
            <w:r>
              <w:rPr>
                <w:rFonts w:cs="仿宋" w:asciiTheme="minorEastAsia" w:hAnsiTheme="minorEastAsia" w:eastAsiaTheme="minorEastAsia"/>
                <w:color w:val="000000"/>
                <w:kern w:val="0"/>
                <w:sz w:val="24"/>
              </w:rPr>
              <w:t>.</w:t>
            </w:r>
            <w:r>
              <w:rPr>
                <w:rFonts w:hint="eastAsia" w:cs="仿宋" w:asciiTheme="minorEastAsia" w:hAnsiTheme="minorEastAsia" w:eastAsiaTheme="minorEastAsia"/>
                <w:color w:val="000000"/>
                <w:kern w:val="0"/>
                <w:sz w:val="24"/>
              </w:rPr>
              <w:t xml:space="preserve"> 教学目标、教学策略与实际教学不符或未提供课程信息数字化教学设计方案。得</w:t>
            </w:r>
            <w:r>
              <w:rPr>
                <w:rFonts w:cs="仿宋" w:asciiTheme="minorEastAsia" w:hAnsiTheme="minorEastAsia" w:eastAsiaTheme="minorEastAsia"/>
                <w:color w:val="000000"/>
                <w:kern w:val="0"/>
                <w:sz w:val="24"/>
              </w:rPr>
              <w:t>0</w:t>
            </w:r>
            <w:r>
              <w:rPr>
                <w:rFonts w:hint="eastAsia" w:cs="仿宋" w:asciiTheme="minorEastAsia" w:hAnsiTheme="minorEastAsia" w:eastAsiaTheme="minorEastAsia"/>
                <w:color w:val="000000"/>
                <w:kern w:val="0"/>
                <w:sz w:val="24"/>
              </w:rPr>
              <w:t>分</w:t>
            </w:r>
          </w:p>
        </w:tc>
        <w:tc>
          <w:tcPr>
            <w:tcW w:w="868" w:type="dxa"/>
            <w:vAlign w:val="center"/>
          </w:tcPr>
          <w:p>
            <w:pPr>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9" w:hRule="atLeast"/>
          <w:jc w:val="center"/>
        </w:trPr>
        <w:tc>
          <w:tcPr>
            <w:tcW w:w="728"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432"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087"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对应课程信息数字化教学设计方案配套策划脚本</w:t>
            </w:r>
          </w:p>
        </w:tc>
        <w:tc>
          <w:tcPr>
            <w:tcW w:w="5245"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策划脚本与课程信息数字化教学设计方案具体要求如下：</w:t>
            </w:r>
          </w:p>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1.策划脚本诠释设计方案中的所有信息化内容点且恰当、明确，招标参数中涉及的信息数字化资源类型实现手段合理可行，设计意图明确、逻辑清晰，充分体现有趣、有用、有效的教育教学理念。得30-35分</w:t>
            </w:r>
            <w:r>
              <w:rPr>
                <w:rFonts w:cs="宋体" w:asciiTheme="minorEastAsia" w:hAnsiTheme="minorEastAsia" w:eastAsiaTheme="minorEastAsia"/>
                <w:color w:val="000000"/>
                <w:kern w:val="0"/>
                <w:sz w:val="24"/>
              </w:rPr>
              <w:br w:type="textWrapping"/>
            </w: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策划脚本诠释了设计方案中的部分信息化内容点，招标参数中涉及的信息数字化资源类型实现合理性、恰当性一般。得20</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25分</w:t>
            </w:r>
            <w:r>
              <w:rPr>
                <w:rFonts w:cs="宋体" w:asciiTheme="minorEastAsia" w:hAnsiTheme="minorEastAsia" w:eastAsiaTheme="minorEastAsia"/>
                <w:color w:val="000000"/>
                <w:kern w:val="0"/>
                <w:sz w:val="24"/>
              </w:rPr>
              <w:br w:type="textWrapping"/>
            </w: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 xml:space="preserve"> 策划脚本诠释了设计方案中的部分信息化内容点，招标参数中设计的信息数字化资源类型实现合理性、恰当性较差。得1-14分</w:t>
            </w:r>
          </w:p>
          <w:p>
            <w:pPr>
              <w:spacing w:line="276" w:lineRule="auto"/>
              <w:rPr>
                <w:rFonts w:cs="仿宋"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4.策划脚本不能诠释设计方案中的信息化内容点或未提供开发脚本。得</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w:t>
            </w:r>
          </w:p>
        </w:tc>
        <w:tc>
          <w:tcPr>
            <w:tcW w:w="868"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jc w:val="center"/>
        </w:trPr>
        <w:tc>
          <w:tcPr>
            <w:tcW w:w="728" w:type="dxa"/>
            <w:vMerge w:val="restart"/>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4</w:t>
            </w:r>
          </w:p>
        </w:tc>
        <w:tc>
          <w:tcPr>
            <w:tcW w:w="1432"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服务部分</w:t>
            </w:r>
          </w:p>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（10分）</w:t>
            </w: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售后服务方案</w:t>
            </w:r>
          </w:p>
        </w:tc>
        <w:tc>
          <w:tcPr>
            <w:tcW w:w="5245" w:type="dxa"/>
            <w:vAlign w:val="center"/>
          </w:tcPr>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投标人提供的售后服务方案完整合理，超出招标文件要求</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，得4分（包括但不限于交货期、售后服务承诺、保修服务承诺、上门服务承诺等）</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投标人提供的售后服务方案满足招标文件要求为中，</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得3分</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投标人提供的售后服务方案合理性差，可操作性差，不满足招标文件要求为差</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，得</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728" w:type="dxa"/>
            <w:vMerge w:val="continue"/>
            <w:vAlign w:val="center"/>
          </w:tcPr>
          <w:p>
            <w:pPr>
              <w:spacing w:line="276" w:lineRule="auto"/>
              <w:rPr>
                <w:rFonts w:cs="宋体" w:asciiTheme="minorEastAsia" w:hAnsiTheme="minorEastAsia" w:eastAsiaTheme="minorEastAsia"/>
                <w:color w:val="000000"/>
                <w:kern w:val="0"/>
                <w:sz w:val="24"/>
              </w:rPr>
            </w:pPr>
          </w:p>
        </w:tc>
        <w:tc>
          <w:tcPr>
            <w:tcW w:w="1432" w:type="dxa"/>
            <w:vMerge w:val="continue"/>
            <w:vAlign w:val="center"/>
          </w:tcPr>
          <w:p>
            <w:pPr>
              <w:spacing w:line="276" w:lineRule="auto"/>
              <w:rPr>
                <w:rFonts w:cs="宋体" w:asciiTheme="minorEastAsia" w:hAnsiTheme="minorEastAsia" w:eastAsiaTheme="minorEastAsia"/>
                <w:color w:val="000000"/>
                <w:kern w:val="0"/>
                <w:sz w:val="24"/>
              </w:rPr>
            </w:pP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培训方案</w:t>
            </w:r>
          </w:p>
        </w:tc>
        <w:tc>
          <w:tcPr>
            <w:tcW w:w="5245" w:type="dxa"/>
            <w:vAlign w:val="center"/>
          </w:tcPr>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投标人提供的培训方案超出招标文件要求，得3分</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投标人提供的培训方案满足招标文件要求，得2分</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投标人未提供或提供的培训方案不满足招标文件要求，得</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728" w:type="dxa"/>
            <w:vMerge w:val="continue"/>
            <w:vAlign w:val="center"/>
          </w:tcPr>
          <w:p>
            <w:pPr>
              <w:spacing w:line="276" w:lineRule="auto"/>
              <w:rPr>
                <w:rFonts w:cs="宋体" w:asciiTheme="minorEastAsia" w:hAnsiTheme="minorEastAsia" w:eastAsiaTheme="minorEastAsia"/>
                <w:color w:val="000000"/>
                <w:kern w:val="0"/>
                <w:sz w:val="24"/>
              </w:rPr>
            </w:pPr>
          </w:p>
        </w:tc>
        <w:tc>
          <w:tcPr>
            <w:tcW w:w="1432" w:type="dxa"/>
            <w:vMerge w:val="continue"/>
            <w:vAlign w:val="center"/>
          </w:tcPr>
          <w:p>
            <w:pPr>
              <w:spacing w:line="276" w:lineRule="auto"/>
              <w:rPr>
                <w:rFonts w:cs="宋体" w:asciiTheme="minorEastAsia" w:hAnsiTheme="minorEastAsia" w:eastAsiaTheme="minorEastAsia"/>
                <w:color w:val="000000"/>
                <w:kern w:val="0"/>
                <w:sz w:val="24"/>
              </w:rPr>
            </w:pP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项目人员配备</w:t>
            </w:r>
          </w:p>
        </w:tc>
        <w:tc>
          <w:tcPr>
            <w:tcW w:w="5245" w:type="dxa"/>
            <w:vAlign w:val="center"/>
          </w:tcPr>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1.投标人提供的项目人员方案岗位设置、人员配置数量齐全，工作分布合理，得3分</w:t>
            </w:r>
          </w:p>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2.投标人提供的项目人员方案岗位设置、人员配置数量较少，工作分布合理性一般，得2分</w:t>
            </w:r>
          </w:p>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3.投标人未提供项目人员配置方案，得0分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8492" w:type="dxa"/>
            <w:gridSpan w:val="4"/>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总分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100</w:t>
            </w:r>
            <w:r>
              <w:rPr>
                <w:rFonts w:hint="eastAsia" w:cs="宋体" w:asciiTheme="minorEastAsia" w:hAnsiTheme="minorEastAsia" w:eastAsiaTheme="minorEastAsia"/>
                <w:color w:val="000000"/>
                <w:kern w:val="0"/>
                <w:sz w:val="24"/>
              </w:rPr>
              <w:t>分</w:t>
            </w:r>
          </w:p>
        </w:tc>
      </w:tr>
    </w:tbl>
    <w:p>
      <w:pPr>
        <w:spacing w:line="360" w:lineRule="auto"/>
        <w:rPr>
          <w:b/>
          <w:sz w:val="24"/>
        </w:rPr>
      </w:pPr>
    </w:p>
    <w:p>
      <w:pPr>
        <w:spacing w:line="360" w:lineRule="auto"/>
        <w:rPr>
          <w:b/>
          <w:sz w:val="24"/>
        </w:rPr>
      </w:pPr>
      <w:r>
        <w:rPr>
          <w:rFonts w:hint="eastAsia"/>
          <w:b/>
          <w:sz w:val="24"/>
        </w:rPr>
        <w:t>注：</w:t>
      </w:r>
    </w:p>
    <w:p>
      <w:pPr>
        <w:spacing w:line="360" w:lineRule="auto"/>
        <w:rPr>
          <w:b/>
          <w:sz w:val="24"/>
        </w:rPr>
      </w:pPr>
      <w:r>
        <w:rPr>
          <w:rFonts w:hint="eastAsia"/>
          <w:b/>
          <w:sz w:val="24"/>
        </w:rPr>
        <w:t>1.评分细则外政策加分（以下产品须提供最新一期在中华人民共和国财政部网站（http://www.mof.gov.cn）/中国政府采购网（http://www.ccgp.gov.cn）/国家发展改革委网站（http://www.ndrc.gov.cn）/中国质量认证中心网站（http://www.cqc.com.cn）清单截图及相关证明材料并加盖公章）：</w:t>
      </w:r>
    </w:p>
    <w:p>
      <w:pPr>
        <w:spacing w:line="360" w:lineRule="auto"/>
        <w:rPr>
          <w:b/>
          <w:sz w:val="24"/>
        </w:rPr>
      </w:pPr>
      <w:r>
        <w:rPr>
          <w:rFonts w:hint="eastAsia"/>
          <w:b/>
          <w:sz w:val="24"/>
        </w:rPr>
        <w:t>1.1节能产品</w:t>
      </w:r>
    </w:p>
    <w:p>
      <w:pPr>
        <w:spacing w:line="360" w:lineRule="auto"/>
        <w:rPr>
          <w:b/>
          <w:sz w:val="24"/>
        </w:rPr>
      </w:pPr>
      <w:r>
        <w:rPr>
          <w:rFonts w:hint="eastAsia"/>
          <w:b/>
          <w:sz w:val="24"/>
        </w:rPr>
        <w:t>投标人所投产品列入财政部、国家发展改革委发布的“节能产品政府采购清单”，属于强制采购范围的，投标人应提供清单中强制采购范围内的节能产品，否则作无效投标处理。</w:t>
      </w:r>
    </w:p>
    <w:p>
      <w:pPr>
        <w:spacing w:line="360" w:lineRule="auto"/>
        <w:rPr>
          <w:b/>
          <w:sz w:val="24"/>
        </w:rPr>
      </w:pPr>
      <w:r>
        <w:rPr>
          <w:rFonts w:hint="eastAsia"/>
          <w:b/>
          <w:sz w:val="24"/>
        </w:rPr>
        <w:t>投标人提供产品列入“节能产品政府采购清单”中规定优先采购产品的酌情给1-2分。</w:t>
      </w:r>
    </w:p>
    <w:p>
      <w:pPr>
        <w:spacing w:line="360" w:lineRule="auto"/>
        <w:rPr>
          <w:b/>
          <w:sz w:val="24"/>
        </w:rPr>
      </w:pPr>
      <w:r>
        <w:rPr>
          <w:rFonts w:hint="eastAsia"/>
          <w:b/>
          <w:sz w:val="24"/>
        </w:rPr>
        <w:t>1.2环保产品</w:t>
      </w:r>
    </w:p>
    <w:p>
      <w:pPr>
        <w:spacing w:line="360" w:lineRule="auto"/>
        <w:rPr>
          <w:b/>
          <w:sz w:val="24"/>
        </w:rPr>
      </w:pPr>
      <w:r>
        <w:rPr>
          <w:rFonts w:hint="eastAsia"/>
          <w:b/>
          <w:sz w:val="24"/>
        </w:rPr>
        <w:t>投标人提供产品列入财政部、环境保护部发布的“环境标志产品政府采购清单”中，属于优先采购的环保产品的，且环保认证证书在有效截止日期内（投标人提供相关证明材料）的酌情给1-2分。</w:t>
      </w:r>
    </w:p>
    <w:p>
      <w:pPr>
        <w:spacing w:line="360" w:lineRule="auto"/>
        <w:rPr>
          <w:b/>
          <w:sz w:val="24"/>
        </w:rPr>
      </w:pPr>
      <w:r>
        <w:rPr>
          <w:rFonts w:hint="eastAsia"/>
          <w:b/>
          <w:sz w:val="24"/>
        </w:rPr>
        <w:t>1.3投标人提供清单中的产品须在投标文件中显著位置注明产品的所属类型、名称、制造商、品牌、型号以及在清单中的位置。</w:t>
      </w:r>
    </w:p>
    <w:p>
      <w:pPr>
        <w:spacing w:line="360" w:lineRule="auto"/>
        <w:rPr>
          <w:b/>
          <w:sz w:val="24"/>
        </w:rPr>
      </w:pPr>
      <w:r>
        <w:rPr>
          <w:rFonts w:hint="eastAsia"/>
          <w:b/>
          <w:sz w:val="24"/>
        </w:rPr>
        <w:t>2.根据《政府采购促进中小企业发展暂行办法》（财库[2011]181号）的规定，对满足价格扣除条件且在投标文件中提交了《投标人企业类型声明函》，并提供相应证明材料，证明其满足相关规定的投标人，其投标报价扣除6%后参与评审（如适用） 。</w:t>
      </w:r>
    </w:p>
    <w:p>
      <w:pPr>
        <w:spacing w:line="360" w:lineRule="auto"/>
        <w:rPr>
          <w:b/>
          <w:sz w:val="24"/>
        </w:rPr>
      </w:pPr>
      <w:r>
        <w:rPr>
          <w:rFonts w:hint="eastAsia"/>
          <w:b/>
          <w:sz w:val="24"/>
        </w:rPr>
        <w:t>3.监狱企业视同小型、微型企业，监狱企业参加政府采购活动时，应当提供由省级以上监狱管理局、戒毒管理局(含新疆生产建设兵团)出具的属于监狱企业的证明文件复印件并加盖公章，其投标报价扣除7%后参与评审，否则将不予认定。</w:t>
      </w:r>
    </w:p>
    <w:p>
      <w:pPr>
        <w:spacing w:line="360" w:lineRule="auto"/>
        <w:rPr>
          <w:b/>
          <w:sz w:val="24"/>
        </w:rPr>
        <w:sectPr>
          <w:pgSz w:w="11907" w:h="16840"/>
          <w:pgMar w:top="1400" w:right="1811" w:bottom="1089" w:left="1276" w:header="851" w:footer="1117" w:gutter="0"/>
          <w:cols w:space="720" w:num="1"/>
          <w:titlePg/>
          <w:docGrid w:linePitch="312" w:charSpace="0"/>
        </w:sectPr>
      </w:pPr>
      <w:r>
        <w:rPr>
          <w:rFonts w:hint="eastAsia"/>
          <w:b/>
          <w:sz w:val="24"/>
        </w:rPr>
        <w:t>4.残疾人福利性单位视同小型、微型企业，在参加政府采购时，应当提供《残疾人福利性声明函》，并对声明函的真实性负责，其投标报价扣除7%后参与评审，否则将不予认定。</w:t>
      </w:r>
    </w:p>
    <w:p>
      <w:pPr>
        <w:widowControl/>
        <w:jc w:val="left"/>
        <w:rPr>
          <w:rFonts w:hAnsi="宋体"/>
          <w:b/>
          <w:bCs/>
          <w:kern w:val="44"/>
          <w:sz w:val="24"/>
          <w:lang w:val="zh-CN"/>
        </w:rPr>
      </w:pPr>
    </w:p>
    <w:p>
      <w:pPr>
        <w:pStyle w:val="2"/>
        <w:spacing w:line="360" w:lineRule="auto"/>
        <w:rPr>
          <w:rFonts w:hAnsi="宋体"/>
          <w:sz w:val="24"/>
          <w:szCs w:val="24"/>
        </w:rPr>
      </w:pPr>
      <w:bookmarkStart w:id="153" w:name="_Toc497905847"/>
      <w:r>
        <w:rPr>
          <w:rFonts w:hint="eastAsia" w:hAnsi="宋体"/>
          <w:sz w:val="24"/>
          <w:szCs w:val="24"/>
        </w:rPr>
        <w:t>第六章合同一般条款</w:t>
      </w:r>
      <w:bookmarkEnd w:id="153"/>
    </w:p>
    <w:p>
      <w:pPr>
        <w:pStyle w:val="5"/>
        <w:tabs>
          <w:tab w:val="left" w:pos="900"/>
        </w:tabs>
        <w:spacing w:line="360" w:lineRule="auto"/>
        <w:rPr>
          <w:rFonts w:hint="default"/>
          <w:b/>
          <w:sz w:val="24"/>
          <w:szCs w:val="24"/>
        </w:rPr>
      </w:pPr>
      <w:bookmarkStart w:id="154" w:name="_Toc487900349"/>
      <w:bookmarkStart w:id="155" w:name="_Ref467379205"/>
      <w:bookmarkStart w:id="156" w:name="_Ref467378499"/>
      <w:bookmarkStart w:id="157" w:name="_Ref467378404"/>
      <w:bookmarkStart w:id="158" w:name="_Ref467379214"/>
      <w:bookmarkStart w:id="159" w:name="_Toc310195732"/>
      <w:bookmarkStart w:id="160" w:name="_Ref467378463"/>
      <w:bookmarkStart w:id="161" w:name="_Toc497905848"/>
      <w:bookmarkStart w:id="162" w:name="_Ref467379225"/>
      <w:bookmarkStart w:id="163" w:name="_Ref467379195"/>
      <w:bookmarkStart w:id="164" w:name="_Ref467379094"/>
      <w:bookmarkStart w:id="165" w:name="_Ref467379109"/>
      <w:bookmarkStart w:id="166" w:name="_Toc366858471"/>
      <w:bookmarkStart w:id="167" w:name="_Ref467379101"/>
      <w:r>
        <w:rPr>
          <w:b/>
          <w:sz w:val="24"/>
          <w:szCs w:val="24"/>
        </w:rPr>
        <w:t>1. 定义</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tabs>
          <w:tab w:val="left" w:pos="900"/>
        </w:tabs>
        <w:spacing w:line="360" w:lineRule="auto"/>
        <w:rPr>
          <w:rFonts w:ascii="宋体" w:hAnsi="宋体"/>
          <w:sz w:val="24"/>
        </w:rPr>
      </w:pPr>
      <w:r>
        <w:rPr>
          <w:rFonts w:hint="eastAsia" w:ascii="宋体" w:hAnsi="宋体"/>
          <w:sz w:val="24"/>
        </w:rPr>
        <w:t>本合同中的下列术语应解释为：</w:t>
      </w:r>
    </w:p>
    <w:p>
      <w:pPr>
        <w:spacing w:line="360" w:lineRule="auto"/>
        <w:rPr>
          <w:rFonts w:ascii="宋体" w:hAnsi="宋体"/>
          <w:sz w:val="24"/>
        </w:rPr>
      </w:pPr>
      <w:r>
        <w:rPr>
          <w:rFonts w:hint="eastAsia" w:ascii="宋体" w:hAnsi="宋体"/>
          <w:sz w:val="24"/>
        </w:rPr>
        <w:t>1.1 “合同”系指买卖双方签署的、合同格式中载明的买卖双方所达成的协议，包括所有的附件、附录和构成合同的其它文件。</w:t>
      </w:r>
    </w:p>
    <w:p>
      <w:pPr>
        <w:spacing w:line="360" w:lineRule="auto"/>
        <w:rPr>
          <w:rFonts w:ascii="宋体" w:hAnsi="宋体"/>
          <w:sz w:val="24"/>
        </w:rPr>
      </w:pPr>
      <w:r>
        <w:rPr>
          <w:rFonts w:hint="eastAsia" w:ascii="宋体" w:hAnsi="宋体"/>
          <w:sz w:val="24"/>
        </w:rPr>
        <w:t>1.2 “合同价”系指根据合同约定，卖方在完全履行合同义务后买方应付给卖方的价格。</w:t>
      </w:r>
    </w:p>
    <w:p>
      <w:pPr>
        <w:spacing w:line="360" w:lineRule="auto"/>
        <w:rPr>
          <w:rFonts w:ascii="宋体" w:hAnsi="宋体"/>
          <w:sz w:val="24"/>
        </w:rPr>
      </w:pPr>
      <w:r>
        <w:rPr>
          <w:rFonts w:hint="eastAsia" w:ascii="宋体" w:hAnsi="宋体"/>
          <w:sz w:val="24"/>
        </w:rPr>
        <w:t>1.3 “货物”系指卖方根据合同约定须向买方提供的一切设备、机械、仪表、备件、工具、手册等其它相关资料。</w:t>
      </w:r>
    </w:p>
    <w:p>
      <w:pPr>
        <w:spacing w:line="360" w:lineRule="auto"/>
        <w:rPr>
          <w:rFonts w:ascii="宋体" w:hAnsi="宋体"/>
          <w:sz w:val="24"/>
        </w:rPr>
      </w:pPr>
      <w:r>
        <w:rPr>
          <w:rFonts w:hint="eastAsia" w:ascii="宋体" w:hAnsi="宋体"/>
          <w:sz w:val="24"/>
        </w:rPr>
        <w:t>1.4 “服务”系指根据合同约定卖方承担与供货有关的辅助服务，如运输、保险、及安装、调试、提供技术援助、培训和其他类似的服务。</w:t>
      </w:r>
    </w:p>
    <w:p>
      <w:pPr>
        <w:spacing w:line="360" w:lineRule="auto"/>
        <w:rPr>
          <w:rFonts w:ascii="宋体" w:hAnsi="宋体"/>
          <w:sz w:val="24"/>
        </w:rPr>
      </w:pPr>
      <w:bookmarkStart w:id="168" w:name="_Ref467378840"/>
      <w:r>
        <w:rPr>
          <w:rFonts w:hint="eastAsia" w:ascii="宋体" w:hAnsi="宋体"/>
          <w:sz w:val="24"/>
        </w:rPr>
        <w:t>1.5 “买方”系指采购人或购买货物的单位。</w:t>
      </w:r>
      <w:bookmarkEnd w:id="168"/>
    </w:p>
    <w:p>
      <w:pPr>
        <w:spacing w:line="360" w:lineRule="auto"/>
        <w:rPr>
          <w:rFonts w:ascii="宋体" w:hAnsi="宋体"/>
          <w:sz w:val="24"/>
        </w:rPr>
      </w:pPr>
      <w:bookmarkStart w:id="169" w:name="_Ref467379400"/>
      <w:r>
        <w:rPr>
          <w:rFonts w:hint="eastAsia" w:ascii="宋体" w:hAnsi="宋体"/>
          <w:sz w:val="24"/>
        </w:rPr>
        <w:t>1.6 “卖方”系指根据合同约定提供货物及相关服务的投标人，即中标人。</w:t>
      </w:r>
      <w:bookmarkEnd w:id="169"/>
    </w:p>
    <w:p>
      <w:pPr>
        <w:tabs>
          <w:tab w:val="left" w:pos="900"/>
        </w:tabs>
        <w:spacing w:line="360" w:lineRule="auto"/>
        <w:rPr>
          <w:rFonts w:ascii="宋体" w:hAnsi="宋体"/>
          <w:sz w:val="24"/>
        </w:rPr>
      </w:pPr>
      <w:bookmarkStart w:id="170" w:name="_Ref467379436"/>
      <w:r>
        <w:rPr>
          <w:rFonts w:hint="eastAsia" w:ascii="宋体" w:hAnsi="宋体"/>
          <w:sz w:val="24"/>
        </w:rPr>
        <w:t>1.7 “现场”系指合同约定货物将要运至和安装的地点。</w:t>
      </w:r>
      <w:bookmarkEnd w:id="170"/>
    </w:p>
    <w:p>
      <w:pPr>
        <w:spacing w:line="360" w:lineRule="auto"/>
        <w:rPr>
          <w:rFonts w:ascii="宋体" w:hAnsi="宋体"/>
          <w:sz w:val="24"/>
        </w:rPr>
      </w:pPr>
      <w:r>
        <w:rPr>
          <w:rFonts w:hint="eastAsia" w:ascii="宋体" w:hAnsi="宋体"/>
          <w:sz w:val="24"/>
        </w:rPr>
        <w:t>1.8 “验收”系指合同双方依据强制性的国家技术质量规范和合同约定，确认合同项下的货物符合合同规定的活动。</w:t>
      </w:r>
    </w:p>
    <w:p>
      <w:pPr>
        <w:pStyle w:val="5"/>
        <w:spacing w:before="240" w:after="0" w:line="360" w:lineRule="auto"/>
        <w:rPr>
          <w:rFonts w:hint="default"/>
          <w:b/>
          <w:sz w:val="24"/>
          <w:szCs w:val="24"/>
        </w:rPr>
      </w:pPr>
      <w:bookmarkStart w:id="171" w:name="_Toc310195733"/>
      <w:bookmarkStart w:id="172" w:name="_Toc497905849"/>
      <w:bookmarkStart w:id="173" w:name="_Toc366858472"/>
      <w:bookmarkStart w:id="174" w:name="_Toc487900350"/>
      <w:r>
        <w:rPr>
          <w:b/>
          <w:sz w:val="24"/>
          <w:szCs w:val="24"/>
        </w:rPr>
        <w:t>2．技术规范</w:t>
      </w:r>
      <w:bookmarkEnd w:id="171"/>
      <w:bookmarkEnd w:id="172"/>
      <w:bookmarkEnd w:id="173"/>
      <w:bookmarkEnd w:id="174"/>
    </w:p>
    <w:p>
      <w:pPr>
        <w:tabs>
          <w:tab w:val="left" w:pos="900"/>
        </w:tabs>
        <w:spacing w:line="360" w:lineRule="auto"/>
        <w:rPr>
          <w:rFonts w:ascii="宋体" w:hAnsi="宋体"/>
          <w:sz w:val="24"/>
        </w:rPr>
      </w:pPr>
      <w:r>
        <w:rPr>
          <w:rFonts w:hint="eastAsia" w:ascii="宋体" w:hAnsi="宋体"/>
          <w:sz w:val="24"/>
        </w:rPr>
        <w:t>2.1 提交货物的技术规范应与招标文件规定的技术规范和技术规范附件(如果有的话)及其投标文件的技术规范偏差表(如果被买方接受的话)相一致。若技术规范中无相应说明，则以国家有关部门最新颁布的相应标准及规范为准。</w:t>
      </w:r>
    </w:p>
    <w:p>
      <w:pPr>
        <w:pStyle w:val="5"/>
        <w:spacing w:before="240" w:after="0" w:line="360" w:lineRule="auto"/>
        <w:rPr>
          <w:rFonts w:hint="default"/>
          <w:b/>
          <w:sz w:val="24"/>
          <w:szCs w:val="24"/>
        </w:rPr>
      </w:pPr>
      <w:bookmarkStart w:id="175" w:name="_Toc366858473"/>
      <w:bookmarkStart w:id="176" w:name="_Toc487900351"/>
      <w:bookmarkStart w:id="177" w:name="_Toc497905850"/>
      <w:bookmarkStart w:id="178" w:name="_Toc310195734"/>
      <w:r>
        <w:rPr>
          <w:b/>
          <w:sz w:val="24"/>
          <w:szCs w:val="24"/>
        </w:rPr>
        <w:t>3. 知识产权</w:t>
      </w:r>
      <w:bookmarkEnd w:id="175"/>
      <w:bookmarkEnd w:id="176"/>
      <w:bookmarkEnd w:id="177"/>
      <w:bookmarkEnd w:id="178"/>
    </w:p>
    <w:p>
      <w:pPr>
        <w:spacing w:line="360" w:lineRule="auto"/>
        <w:rPr>
          <w:rFonts w:ascii="宋体" w:hAnsi="宋体"/>
          <w:sz w:val="24"/>
        </w:rPr>
      </w:pPr>
      <w:r>
        <w:rPr>
          <w:rFonts w:hint="eastAsia" w:ascii="宋体" w:hAnsi="宋体"/>
          <w:sz w:val="24"/>
        </w:rPr>
        <w:t>3.1 卖方应保证买方在使用该货物或其任何一部分时不受第三方提出的侵犯专利权、 著作权、商标权和工业设计权等的起诉。如果任何第三方提出侵权指控， 卖方须与第三方交涉并承担由此发生的一切责任、费用和经济赔偿。</w:t>
      </w:r>
    </w:p>
    <w:p>
      <w:pPr>
        <w:pStyle w:val="5"/>
        <w:spacing w:before="240" w:after="0" w:line="360" w:lineRule="auto"/>
        <w:rPr>
          <w:rFonts w:hint="default"/>
          <w:b/>
          <w:sz w:val="24"/>
          <w:szCs w:val="24"/>
        </w:rPr>
      </w:pPr>
      <w:bookmarkStart w:id="179" w:name="_Toc366858474"/>
      <w:bookmarkStart w:id="180" w:name="_Toc310195735"/>
      <w:bookmarkStart w:id="181" w:name="_Toc497905851"/>
      <w:bookmarkStart w:id="182" w:name="_Toc487900352"/>
      <w:r>
        <w:rPr>
          <w:b/>
          <w:sz w:val="24"/>
          <w:szCs w:val="24"/>
        </w:rPr>
        <w:t>4. 包装要求</w:t>
      </w:r>
      <w:bookmarkEnd w:id="179"/>
      <w:bookmarkEnd w:id="180"/>
      <w:bookmarkEnd w:id="181"/>
      <w:bookmarkEnd w:id="182"/>
    </w:p>
    <w:p>
      <w:pPr>
        <w:spacing w:line="360" w:lineRule="auto"/>
        <w:rPr>
          <w:rFonts w:ascii="宋体" w:hAnsi="宋体"/>
          <w:sz w:val="24"/>
        </w:rPr>
      </w:pPr>
      <w:r>
        <w:rPr>
          <w:rFonts w:hint="eastAsia" w:ascii="宋体" w:hAnsi="宋体"/>
          <w:sz w:val="24"/>
        </w:rPr>
        <w:t>4.1 除合同另有约定外,卖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pacing w:line="360" w:lineRule="auto"/>
        <w:rPr>
          <w:rFonts w:ascii="宋体" w:hAnsi="宋体"/>
          <w:sz w:val="24"/>
        </w:rPr>
      </w:pPr>
      <w:r>
        <w:rPr>
          <w:rFonts w:hint="eastAsia" w:ascii="宋体" w:hAnsi="宋体"/>
          <w:sz w:val="24"/>
        </w:rPr>
        <w:t>4.2 每件包装箱内应附一份详细装箱单和质量合格证。</w:t>
      </w:r>
    </w:p>
    <w:p>
      <w:pPr>
        <w:pStyle w:val="5"/>
        <w:spacing w:before="240" w:line="360" w:lineRule="auto"/>
        <w:rPr>
          <w:rFonts w:hint="default"/>
          <w:b/>
          <w:sz w:val="24"/>
          <w:szCs w:val="24"/>
        </w:rPr>
      </w:pPr>
      <w:bookmarkStart w:id="183" w:name="_Toc497905852"/>
      <w:bookmarkStart w:id="184" w:name="_Toc487900353"/>
      <w:bookmarkStart w:id="185" w:name="_Toc310195736"/>
      <w:bookmarkStart w:id="186" w:name="_Toc366858475"/>
      <w:r>
        <w:rPr>
          <w:b/>
          <w:sz w:val="24"/>
          <w:szCs w:val="24"/>
        </w:rPr>
        <w:t>5. 装运标志</w:t>
      </w:r>
      <w:bookmarkEnd w:id="183"/>
      <w:bookmarkEnd w:id="184"/>
      <w:bookmarkEnd w:id="185"/>
      <w:bookmarkEnd w:id="186"/>
    </w:p>
    <w:p>
      <w:pPr>
        <w:spacing w:line="360" w:lineRule="auto"/>
        <w:ind w:left="720" w:hanging="720"/>
        <w:rPr>
          <w:rFonts w:ascii="宋体" w:hAnsi="宋体"/>
          <w:sz w:val="24"/>
        </w:rPr>
      </w:pPr>
      <w:r>
        <w:rPr>
          <w:rFonts w:hint="eastAsia" w:ascii="宋体" w:hAnsi="宋体"/>
          <w:sz w:val="24"/>
        </w:rPr>
        <w:t>5.1 卖方应在每一包装箱的四侧用不褪色的油漆以醒目的中文字样做出下列标记：</w:t>
      </w:r>
    </w:p>
    <w:p>
      <w:pPr>
        <w:spacing w:line="360" w:lineRule="auto"/>
        <w:ind w:left="1276"/>
        <w:rPr>
          <w:rFonts w:ascii="宋体" w:hAnsi="宋体"/>
          <w:sz w:val="24"/>
        </w:rPr>
      </w:pPr>
      <w:r>
        <w:rPr>
          <w:rFonts w:hint="eastAsia" w:ascii="宋体" w:hAnsi="宋体"/>
          <w:sz w:val="24"/>
        </w:rPr>
        <w:t>收货人：</w:t>
      </w:r>
    </w:p>
    <w:p>
      <w:pPr>
        <w:spacing w:line="360" w:lineRule="auto"/>
        <w:ind w:left="1276"/>
        <w:rPr>
          <w:rFonts w:ascii="宋体" w:hAnsi="宋体"/>
          <w:sz w:val="24"/>
        </w:rPr>
      </w:pPr>
      <w:r>
        <w:rPr>
          <w:rFonts w:hint="eastAsia" w:ascii="宋体" w:hAnsi="宋体"/>
          <w:sz w:val="24"/>
        </w:rPr>
        <w:t>合同号：</w:t>
      </w:r>
    </w:p>
    <w:p>
      <w:pPr>
        <w:spacing w:line="360" w:lineRule="auto"/>
        <w:ind w:left="1276"/>
        <w:rPr>
          <w:rFonts w:ascii="宋体" w:hAnsi="宋体"/>
          <w:sz w:val="24"/>
        </w:rPr>
      </w:pPr>
      <w:r>
        <w:rPr>
          <w:rFonts w:hint="eastAsia" w:ascii="宋体" w:hAnsi="宋体"/>
          <w:sz w:val="24"/>
        </w:rPr>
        <w:t>装运标志：</w:t>
      </w:r>
    </w:p>
    <w:p>
      <w:pPr>
        <w:spacing w:line="360" w:lineRule="auto"/>
        <w:ind w:left="1276"/>
        <w:rPr>
          <w:rFonts w:ascii="宋体" w:hAnsi="宋体"/>
          <w:sz w:val="24"/>
        </w:rPr>
      </w:pPr>
      <w:r>
        <w:rPr>
          <w:rFonts w:hint="eastAsia" w:ascii="宋体" w:hAnsi="宋体"/>
          <w:sz w:val="24"/>
        </w:rPr>
        <w:t>收货人代号：</w:t>
      </w:r>
    </w:p>
    <w:p>
      <w:pPr>
        <w:spacing w:line="360" w:lineRule="auto"/>
        <w:ind w:left="1276"/>
        <w:rPr>
          <w:rFonts w:ascii="宋体" w:hAnsi="宋体"/>
          <w:sz w:val="24"/>
        </w:rPr>
      </w:pPr>
      <w:r>
        <w:rPr>
          <w:rFonts w:hint="eastAsia" w:ascii="宋体" w:hAnsi="宋体"/>
          <w:sz w:val="24"/>
        </w:rPr>
        <w:t>目的地：</w:t>
      </w:r>
    </w:p>
    <w:p>
      <w:pPr>
        <w:spacing w:line="360" w:lineRule="auto"/>
        <w:ind w:left="1276"/>
        <w:rPr>
          <w:rFonts w:ascii="宋体" w:hAnsi="宋体"/>
          <w:sz w:val="24"/>
        </w:rPr>
      </w:pPr>
      <w:r>
        <w:rPr>
          <w:rFonts w:hint="eastAsia" w:ascii="宋体" w:hAnsi="宋体"/>
          <w:sz w:val="24"/>
        </w:rPr>
        <w:t>货物名称、品目号和箱号：</w:t>
      </w:r>
    </w:p>
    <w:p>
      <w:pPr>
        <w:spacing w:line="360" w:lineRule="auto"/>
        <w:ind w:left="1276"/>
        <w:rPr>
          <w:rFonts w:ascii="宋体" w:hAnsi="宋体"/>
          <w:sz w:val="24"/>
        </w:rPr>
      </w:pPr>
      <w:r>
        <w:rPr>
          <w:rFonts w:hint="eastAsia" w:ascii="宋体" w:hAnsi="宋体"/>
          <w:sz w:val="24"/>
        </w:rPr>
        <w:t>毛重／净重：</w:t>
      </w:r>
    </w:p>
    <w:p>
      <w:pPr>
        <w:spacing w:line="360" w:lineRule="auto"/>
        <w:ind w:left="1276"/>
        <w:rPr>
          <w:rFonts w:ascii="宋体" w:hAnsi="宋体"/>
          <w:sz w:val="24"/>
        </w:rPr>
      </w:pPr>
      <w:r>
        <w:rPr>
          <w:rFonts w:hint="eastAsia" w:ascii="宋体" w:hAnsi="宋体"/>
          <w:sz w:val="24"/>
        </w:rPr>
        <w:t>尺寸(长×宽×高以厘米计)：</w:t>
      </w:r>
    </w:p>
    <w:p>
      <w:pPr>
        <w:spacing w:line="360" w:lineRule="auto"/>
        <w:rPr>
          <w:rFonts w:ascii="宋体" w:hAnsi="宋体"/>
          <w:sz w:val="24"/>
        </w:rPr>
      </w:pPr>
      <w:r>
        <w:rPr>
          <w:rFonts w:hint="eastAsia" w:ascii="宋体" w:hAnsi="宋体"/>
          <w:sz w:val="24"/>
        </w:rPr>
        <w:t>5.2 如果货物单件重量在2吨或2吨以上，卖方应在每件包装箱的两侧用中文和适当的运输标记，标明“重心”和“吊装点”，以便装卸和搬运。根据货物的特点和运输的不同要求， 卖方应在包装箱上清楚地标有“小心轻放”、“防潮”、 “勿倒置”等字样和其他适当的标志。</w:t>
      </w:r>
    </w:p>
    <w:p>
      <w:pPr>
        <w:pStyle w:val="5"/>
        <w:spacing w:before="240" w:after="0" w:line="360" w:lineRule="auto"/>
        <w:rPr>
          <w:rFonts w:hint="default"/>
          <w:b/>
          <w:sz w:val="24"/>
          <w:szCs w:val="24"/>
        </w:rPr>
      </w:pPr>
      <w:bookmarkStart w:id="187" w:name="_Ref467379542"/>
      <w:bookmarkStart w:id="188" w:name="_Ref467378591"/>
      <w:bookmarkStart w:id="189" w:name="_Ref467378541"/>
      <w:bookmarkStart w:id="190" w:name="_Toc497905853"/>
      <w:bookmarkStart w:id="191" w:name="_Toc366858476"/>
      <w:bookmarkStart w:id="192" w:name="_Ref467379536"/>
      <w:bookmarkStart w:id="193" w:name="_Ref467379527"/>
      <w:bookmarkStart w:id="194" w:name="_Toc310195737"/>
      <w:bookmarkStart w:id="195" w:name="_Toc487900354"/>
      <w:r>
        <w:rPr>
          <w:b/>
          <w:sz w:val="24"/>
          <w:szCs w:val="24"/>
        </w:rPr>
        <w:t>6. 交货方式</w:t>
      </w:r>
      <w:bookmarkEnd w:id="187"/>
      <w:bookmarkEnd w:id="188"/>
      <w:bookmarkEnd w:id="189"/>
      <w:bookmarkEnd w:id="190"/>
      <w:bookmarkEnd w:id="191"/>
      <w:bookmarkEnd w:id="192"/>
      <w:bookmarkEnd w:id="193"/>
      <w:bookmarkEnd w:id="194"/>
      <w:bookmarkEnd w:id="195"/>
    </w:p>
    <w:p>
      <w:pPr>
        <w:spacing w:line="360" w:lineRule="auto"/>
        <w:rPr>
          <w:rFonts w:ascii="宋体" w:hAnsi="宋体"/>
          <w:sz w:val="24"/>
        </w:rPr>
      </w:pPr>
      <w:bookmarkStart w:id="196" w:name="_Ref467379657"/>
      <w:r>
        <w:rPr>
          <w:rFonts w:hint="eastAsia" w:ascii="宋体" w:hAnsi="宋体"/>
          <w:sz w:val="24"/>
        </w:rPr>
        <w:t>6.1 交货方式一般为下列其中一种，具体在合同特殊条款中规定。</w:t>
      </w:r>
      <w:bookmarkEnd w:id="196"/>
    </w:p>
    <w:p>
      <w:pPr>
        <w:spacing w:line="360" w:lineRule="auto"/>
        <w:rPr>
          <w:rFonts w:ascii="宋体" w:hAnsi="宋体"/>
          <w:sz w:val="24"/>
        </w:rPr>
      </w:pPr>
      <w:r>
        <w:rPr>
          <w:rFonts w:hint="eastAsia" w:ascii="宋体" w:hAnsi="宋体"/>
          <w:sz w:val="24"/>
        </w:rPr>
        <w:t>6.1.1 现场交货：卖方负责办理运输和保险，将货物运抵现场。有关运输和保险的一切费用由卖方承担。所有货物运抵现场的日期为交货日期。</w:t>
      </w:r>
    </w:p>
    <w:p>
      <w:pPr>
        <w:spacing w:line="360" w:lineRule="auto"/>
        <w:rPr>
          <w:rFonts w:ascii="宋体" w:hAnsi="宋体"/>
          <w:sz w:val="24"/>
        </w:rPr>
      </w:pPr>
      <w:r>
        <w:rPr>
          <w:rFonts w:hint="eastAsia" w:ascii="宋体" w:hAnsi="宋体"/>
          <w:sz w:val="24"/>
        </w:rPr>
        <w:t>6.1.2 工厂交货：由卖方负责代办运输和保险事宜。运输费和保险费由买方承担。运输部门出具收据的日期为交货日期。</w:t>
      </w:r>
    </w:p>
    <w:p>
      <w:pPr>
        <w:spacing w:line="360" w:lineRule="auto"/>
        <w:ind w:left="960" w:hanging="960"/>
        <w:rPr>
          <w:rFonts w:ascii="宋体" w:hAnsi="宋体"/>
          <w:sz w:val="24"/>
        </w:rPr>
      </w:pPr>
      <w:r>
        <w:rPr>
          <w:rFonts w:hint="eastAsia" w:ascii="宋体" w:hAnsi="宋体"/>
          <w:sz w:val="24"/>
        </w:rPr>
        <w:t>6.1.3 买方自提货物：由买方在合同规定地点自行办理提货。提单日期为交货日期。</w:t>
      </w:r>
    </w:p>
    <w:p>
      <w:pPr>
        <w:spacing w:line="360" w:lineRule="auto"/>
        <w:ind w:left="2"/>
        <w:rPr>
          <w:rFonts w:ascii="宋体" w:hAnsi="宋体"/>
          <w:sz w:val="24"/>
        </w:rPr>
      </w:pPr>
      <w:r>
        <w:rPr>
          <w:rFonts w:hint="eastAsia" w:ascii="宋体" w:hAnsi="宋体"/>
          <w:sz w:val="24"/>
        </w:rPr>
        <w:t>6.2 卖方应在合同规定的交货期10天以前以电报或传真形式将合同号、货物名称、数量、包装箱件数、总毛重、总体积(立方米)和备妥交货日期通知买方。同时卖方应用挂号信将详细交货清单一式6份包括合同号、货物名称、规格、数量、总毛重、总体积(立方米)、包装箱件数和每个包装箱的尺寸(长×宽×高)、货物总价和备妥待交日期以及对货物在运输和仓储的特殊要求和注意事项通知买方。</w:t>
      </w:r>
    </w:p>
    <w:p>
      <w:pPr>
        <w:tabs>
          <w:tab w:val="left" w:pos="0"/>
        </w:tabs>
        <w:spacing w:line="360" w:lineRule="auto"/>
        <w:rPr>
          <w:rFonts w:ascii="宋体" w:hAnsi="宋体"/>
          <w:sz w:val="24"/>
        </w:rPr>
      </w:pPr>
      <w:r>
        <w:rPr>
          <w:rFonts w:hint="eastAsia" w:ascii="宋体" w:hAnsi="宋体"/>
          <w:sz w:val="24"/>
        </w:rPr>
        <w:t>6.3 在现场交货和工厂交货条件下，卖方装运的货物不应超过合同规定的数量或重量。否则，卖方应对超运部分引起的一切后果负责。</w:t>
      </w:r>
    </w:p>
    <w:p>
      <w:pPr>
        <w:pStyle w:val="5"/>
        <w:spacing w:before="240" w:after="0" w:line="360" w:lineRule="auto"/>
        <w:rPr>
          <w:rFonts w:hint="default"/>
          <w:b/>
          <w:sz w:val="24"/>
          <w:szCs w:val="24"/>
        </w:rPr>
      </w:pPr>
      <w:bookmarkStart w:id="197" w:name="_Toc366858477"/>
      <w:bookmarkStart w:id="198" w:name="_Toc310195738"/>
      <w:bookmarkStart w:id="199" w:name="_Toc487900355"/>
      <w:bookmarkStart w:id="200" w:name="_Toc497905854"/>
      <w:r>
        <w:rPr>
          <w:b/>
          <w:sz w:val="24"/>
          <w:szCs w:val="24"/>
        </w:rPr>
        <w:t>7. 装运通知</w:t>
      </w:r>
      <w:bookmarkEnd w:id="197"/>
      <w:bookmarkEnd w:id="198"/>
      <w:bookmarkEnd w:id="199"/>
      <w:bookmarkEnd w:id="200"/>
    </w:p>
    <w:p>
      <w:pPr>
        <w:spacing w:line="360" w:lineRule="auto"/>
        <w:rPr>
          <w:rFonts w:ascii="宋体" w:hAnsi="宋体"/>
          <w:sz w:val="24"/>
        </w:rPr>
      </w:pPr>
      <w:r>
        <w:rPr>
          <w:rFonts w:hint="eastAsia" w:ascii="宋体" w:hAnsi="宋体"/>
          <w:sz w:val="24"/>
        </w:rPr>
        <w:t>7.1 在现场交货和工厂交货条件下的货物，在卖方已通知买方货物已备妥待运输后24小时之内，卖方应将合同号、货名、数量、毛重、总体积(立方米)、运输工具名称及装运日期，以电报或传真通知买方。</w:t>
      </w:r>
    </w:p>
    <w:p>
      <w:pPr>
        <w:pStyle w:val="35"/>
        <w:spacing w:before="0" w:line="360" w:lineRule="auto"/>
        <w:ind w:left="0" w:firstLine="0"/>
        <w:rPr>
          <w:rFonts w:ascii="宋体" w:hAnsi="宋体"/>
          <w:sz w:val="24"/>
          <w:szCs w:val="24"/>
        </w:rPr>
      </w:pPr>
      <w:r>
        <w:rPr>
          <w:rFonts w:hint="eastAsia" w:ascii="宋体" w:hAnsi="宋体"/>
          <w:sz w:val="24"/>
          <w:szCs w:val="24"/>
        </w:rPr>
        <w:t>7.2 如因卖方延误将上述内容用电报或传真通知买方，由此引起的一切后果损失应由卖方负责。</w:t>
      </w:r>
    </w:p>
    <w:p>
      <w:pPr>
        <w:pStyle w:val="5"/>
        <w:spacing w:before="240" w:after="0" w:line="360" w:lineRule="auto"/>
        <w:rPr>
          <w:rFonts w:hint="default"/>
          <w:b/>
          <w:sz w:val="24"/>
          <w:szCs w:val="24"/>
        </w:rPr>
      </w:pPr>
      <w:bookmarkStart w:id="201" w:name="_Toc310195739"/>
      <w:bookmarkStart w:id="202" w:name="_Toc497905855"/>
      <w:bookmarkStart w:id="203" w:name="_Toc487900356"/>
      <w:bookmarkStart w:id="204" w:name="_Toc366858478"/>
      <w:r>
        <w:rPr>
          <w:b/>
          <w:sz w:val="24"/>
          <w:szCs w:val="24"/>
        </w:rPr>
        <w:t>8. 保险</w:t>
      </w:r>
      <w:bookmarkEnd w:id="201"/>
      <w:bookmarkEnd w:id="202"/>
      <w:bookmarkEnd w:id="203"/>
      <w:bookmarkEnd w:id="204"/>
    </w:p>
    <w:p>
      <w:pPr>
        <w:spacing w:line="360" w:lineRule="auto"/>
        <w:rPr>
          <w:rFonts w:ascii="宋体" w:hAnsi="宋体"/>
          <w:sz w:val="24"/>
        </w:rPr>
      </w:pPr>
      <w:r>
        <w:rPr>
          <w:rFonts w:hint="eastAsia" w:ascii="宋体" w:hAnsi="宋体"/>
          <w:sz w:val="24"/>
        </w:rPr>
        <w:t>8.1 如果货物是按现场交货方式或工厂交货方式报价的，由卖方办理保险，按照发票金额的110％办理“一切险”，保险范围包括卖方承诺装运的货物；如果货物是按买方自提货物方式报价的，其保险由买方办理。</w:t>
      </w:r>
    </w:p>
    <w:p>
      <w:pPr>
        <w:pStyle w:val="5"/>
        <w:spacing w:before="240" w:after="0" w:line="360" w:lineRule="auto"/>
        <w:rPr>
          <w:rFonts w:hint="default"/>
          <w:b/>
          <w:sz w:val="24"/>
          <w:szCs w:val="24"/>
        </w:rPr>
      </w:pPr>
      <w:bookmarkStart w:id="205" w:name="_Ref467379807"/>
      <w:bookmarkStart w:id="206" w:name="_Toc487900357"/>
      <w:bookmarkStart w:id="207" w:name="_Toc366858479"/>
      <w:bookmarkStart w:id="208" w:name="_Toc310195740"/>
      <w:bookmarkStart w:id="209" w:name="_Ref467379793"/>
      <w:bookmarkStart w:id="210" w:name="_Toc497905856"/>
      <w:r>
        <w:rPr>
          <w:b/>
          <w:sz w:val="24"/>
          <w:szCs w:val="24"/>
        </w:rPr>
        <w:t>9 付款条件</w:t>
      </w:r>
      <w:bookmarkEnd w:id="205"/>
      <w:bookmarkEnd w:id="206"/>
      <w:bookmarkEnd w:id="207"/>
      <w:bookmarkEnd w:id="208"/>
      <w:bookmarkEnd w:id="209"/>
      <w:bookmarkEnd w:id="210"/>
    </w:p>
    <w:p>
      <w:pPr>
        <w:spacing w:before="120" w:line="360" w:lineRule="auto"/>
        <w:rPr>
          <w:rFonts w:ascii="宋体" w:hAnsi="宋体"/>
          <w:sz w:val="24"/>
        </w:rPr>
      </w:pPr>
      <w:r>
        <w:rPr>
          <w:rFonts w:hint="eastAsia" w:ascii="宋体" w:hAnsi="宋体"/>
          <w:sz w:val="24"/>
        </w:rPr>
        <w:t>9.1 付款条件见“合同专用条款”。</w:t>
      </w:r>
    </w:p>
    <w:p>
      <w:pPr>
        <w:pStyle w:val="5"/>
        <w:spacing w:before="240" w:after="0" w:line="360" w:lineRule="auto"/>
        <w:rPr>
          <w:rFonts w:hint="default"/>
          <w:b/>
          <w:sz w:val="24"/>
          <w:szCs w:val="24"/>
        </w:rPr>
      </w:pPr>
      <w:bookmarkStart w:id="211" w:name="_Toc487900358"/>
      <w:bookmarkStart w:id="212" w:name="_Toc310195741"/>
      <w:bookmarkStart w:id="213" w:name="_Ref467379852"/>
      <w:bookmarkStart w:id="214" w:name="_Toc366858480"/>
      <w:bookmarkStart w:id="215" w:name="_Toc497905857"/>
      <w:bookmarkStart w:id="216" w:name="_Ref467379863"/>
      <w:bookmarkStart w:id="217" w:name="_Ref467379923"/>
      <w:r>
        <w:rPr>
          <w:b/>
          <w:sz w:val="24"/>
          <w:szCs w:val="24"/>
        </w:rPr>
        <w:t>10 .技术资料</w:t>
      </w:r>
      <w:bookmarkEnd w:id="211"/>
      <w:bookmarkEnd w:id="212"/>
      <w:bookmarkEnd w:id="213"/>
      <w:bookmarkEnd w:id="214"/>
      <w:bookmarkEnd w:id="215"/>
      <w:bookmarkEnd w:id="216"/>
      <w:bookmarkEnd w:id="217"/>
    </w:p>
    <w:p>
      <w:pPr>
        <w:spacing w:line="360" w:lineRule="auto"/>
        <w:rPr>
          <w:rFonts w:ascii="宋体" w:hAnsi="宋体"/>
          <w:sz w:val="24"/>
        </w:rPr>
      </w:pPr>
      <w:r>
        <w:rPr>
          <w:rFonts w:hint="eastAsia" w:ascii="宋体" w:hAnsi="宋体"/>
          <w:sz w:val="24"/>
        </w:rPr>
        <w:t>10.1 合同项下技术资料(除合同特殊条款规定外)将以下列方式交付：</w:t>
      </w:r>
    </w:p>
    <w:p>
      <w:pPr>
        <w:spacing w:line="360" w:lineRule="auto"/>
        <w:rPr>
          <w:rFonts w:ascii="宋体" w:hAnsi="宋体"/>
          <w:sz w:val="24"/>
        </w:rPr>
      </w:pPr>
      <w:r>
        <w:rPr>
          <w:rFonts w:hint="eastAsia" w:ascii="宋体" w:hAnsi="宋体"/>
          <w:sz w:val="24"/>
        </w:rPr>
        <w:t>合同生效后</w:t>
      </w:r>
      <w:r>
        <w:rPr>
          <w:rFonts w:hint="eastAsia" w:ascii="宋体" w:hAnsi="宋体"/>
          <w:sz w:val="24"/>
          <w:u w:val="single"/>
        </w:rPr>
        <w:t xml:space="preserve">  10  </w:t>
      </w:r>
      <w:r>
        <w:rPr>
          <w:rFonts w:hint="eastAsia" w:ascii="宋体" w:hAnsi="宋体"/>
          <w:sz w:val="24"/>
        </w:rPr>
        <w:t>天之内，卖方应将每台设备和仪器的中文技术资料一套，如目录索引、图纸、操作手册、使用指南、维修指南和／或服务手册和示意图寄给买方。</w:t>
      </w:r>
    </w:p>
    <w:p>
      <w:pPr>
        <w:spacing w:line="360" w:lineRule="auto"/>
        <w:rPr>
          <w:rFonts w:ascii="宋体" w:hAnsi="宋体"/>
          <w:sz w:val="24"/>
        </w:rPr>
      </w:pPr>
      <w:r>
        <w:rPr>
          <w:rFonts w:hint="eastAsia" w:ascii="宋体" w:hAnsi="宋体"/>
          <w:sz w:val="24"/>
        </w:rPr>
        <w:t>10.2 另外一套完整的上述资料应包装好随同每批货物一起发运。</w:t>
      </w:r>
    </w:p>
    <w:p>
      <w:pPr>
        <w:spacing w:line="360" w:lineRule="auto"/>
        <w:rPr>
          <w:rFonts w:ascii="宋体" w:hAnsi="宋体"/>
          <w:sz w:val="24"/>
        </w:rPr>
      </w:pPr>
      <w:r>
        <w:rPr>
          <w:rFonts w:hint="eastAsia" w:ascii="宋体" w:hAnsi="宋体"/>
          <w:sz w:val="24"/>
        </w:rPr>
        <w:t>10.3 如果买方确认卖方提供的技术资料不完整或在运输过程中丢失，卖方将在收到买方通知后</w:t>
      </w:r>
      <w:r>
        <w:rPr>
          <w:rFonts w:hint="eastAsia" w:ascii="宋体" w:hAnsi="宋体"/>
          <w:sz w:val="24"/>
          <w:u w:val="single"/>
        </w:rPr>
        <w:t xml:space="preserve">  3 </w:t>
      </w:r>
      <w:r>
        <w:rPr>
          <w:rFonts w:hint="eastAsia" w:ascii="宋体" w:hAnsi="宋体"/>
          <w:sz w:val="24"/>
        </w:rPr>
        <w:t>天内将这些资料免费寄给买方。</w:t>
      </w:r>
    </w:p>
    <w:p>
      <w:pPr>
        <w:pStyle w:val="5"/>
        <w:spacing w:before="240" w:after="0" w:line="360" w:lineRule="auto"/>
        <w:rPr>
          <w:rFonts w:hint="default"/>
          <w:b/>
          <w:sz w:val="24"/>
          <w:szCs w:val="24"/>
        </w:rPr>
      </w:pPr>
      <w:bookmarkStart w:id="218" w:name="_Toc487900359"/>
      <w:bookmarkStart w:id="219" w:name="_Toc497905858"/>
      <w:bookmarkStart w:id="220" w:name="_Toc310195742"/>
      <w:bookmarkStart w:id="221" w:name="_Toc366858481"/>
      <w:bookmarkStart w:id="222" w:name="_Ref467377962"/>
      <w:bookmarkStart w:id="223" w:name="_Ref467377798"/>
      <w:bookmarkStart w:id="224" w:name="_Ref467379937"/>
      <w:bookmarkStart w:id="225" w:name="_Ref467379946"/>
      <w:r>
        <w:rPr>
          <w:b/>
          <w:sz w:val="24"/>
          <w:szCs w:val="24"/>
        </w:rPr>
        <w:t>11. 质量保证</w:t>
      </w:r>
      <w:bookmarkEnd w:id="218"/>
      <w:bookmarkEnd w:id="219"/>
      <w:bookmarkEnd w:id="220"/>
      <w:bookmarkEnd w:id="221"/>
      <w:bookmarkEnd w:id="222"/>
      <w:bookmarkEnd w:id="223"/>
      <w:bookmarkEnd w:id="224"/>
      <w:bookmarkEnd w:id="225"/>
    </w:p>
    <w:p>
      <w:pPr>
        <w:spacing w:line="360" w:lineRule="auto"/>
        <w:rPr>
          <w:rFonts w:ascii="宋体" w:hAnsi="宋体"/>
          <w:sz w:val="24"/>
        </w:rPr>
      </w:pPr>
      <w:r>
        <w:rPr>
          <w:rFonts w:hint="eastAsia" w:ascii="宋体" w:hAnsi="宋体"/>
          <w:sz w:val="24"/>
        </w:rPr>
        <w:t>11.1 卖方应保证货物是全新、未使用过的，并完全符合强制性的国家技术质量规范和合同规定的质量、规格、性能和技术规范等的要求。</w:t>
      </w:r>
    </w:p>
    <w:p>
      <w:pPr>
        <w:spacing w:line="360" w:lineRule="auto"/>
        <w:rPr>
          <w:rFonts w:ascii="宋体" w:hAnsi="宋体"/>
          <w:sz w:val="24"/>
        </w:rPr>
      </w:pPr>
      <w:r>
        <w:rPr>
          <w:rFonts w:hint="eastAsia" w:ascii="宋体" w:hAnsi="宋体"/>
          <w:sz w:val="24"/>
        </w:rPr>
        <w:t>11.2 卖方应保证所提供的货物经正确安装、正常运转和保养，在其使用寿命期内应具有符合质量要求和产品说明书的性能。在货物质量保证期之内，卖方应对由于设计、工艺或材料的缺陷而发生的任何不足或故障负责。</w:t>
      </w:r>
    </w:p>
    <w:p>
      <w:pPr>
        <w:spacing w:line="360" w:lineRule="auto"/>
        <w:rPr>
          <w:rFonts w:ascii="宋体" w:hAnsi="宋体"/>
          <w:sz w:val="24"/>
        </w:rPr>
      </w:pPr>
      <w:r>
        <w:rPr>
          <w:rFonts w:hint="eastAsia" w:ascii="宋体" w:hAnsi="宋体"/>
          <w:sz w:val="24"/>
        </w:rPr>
        <w:t>11.3 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Fonts w:hint="eastAsia" w:ascii="宋体" w:hAnsi="宋体"/>
          <w:sz w:val="24"/>
          <w:u w:val="single"/>
        </w:rPr>
        <w:t xml:space="preserve"> 7  </w:t>
      </w:r>
      <w:r>
        <w:rPr>
          <w:rFonts w:hint="eastAsia" w:ascii="宋体" w:hAnsi="宋体"/>
          <w:sz w:val="24"/>
        </w:rPr>
        <w:t>天内应免费维修或更换有缺陷的货物或部件。</w:t>
      </w:r>
    </w:p>
    <w:p>
      <w:pPr>
        <w:spacing w:line="360" w:lineRule="auto"/>
        <w:rPr>
          <w:rFonts w:ascii="宋体" w:hAnsi="宋体"/>
          <w:sz w:val="24"/>
        </w:rPr>
      </w:pPr>
      <w:r>
        <w:rPr>
          <w:rFonts w:hint="eastAsia" w:ascii="宋体" w:hAnsi="宋体"/>
          <w:sz w:val="24"/>
        </w:rPr>
        <w:t>11.4 如果卖方在收到通知后</w:t>
      </w:r>
      <w:r>
        <w:rPr>
          <w:rFonts w:hint="eastAsia" w:ascii="宋体" w:hAnsi="宋体"/>
          <w:sz w:val="24"/>
          <w:u w:val="single"/>
        </w:rPr>
        <w:t xml:space="preserve">  7  </w:t>
      </w:r>
      <w:r>
        <w:rPr>
          <w:rFonts w:hint="eastAsia" w:ascii="宋体" w:hAnsi="宋体"/>
          <w:sz w:val="24"/>
        </w:rPr>
        <w:t>天内没有弥补缺陷，买方可采取必要的补救措施，但由此引发的风险和费用将由卖方承担。</w:t>
      </w:r>
    </w:p>
    <w:p>
      <w:pPr>
        <w:spacing w:line="360" w:lineRule="auto"/>
        <w:rPr>
          <w:rFonts w:ascii="宋体" w:hAnsi="宋体"/>
          <w:b/>
          <w:sz w:val="24"/>
        </w:rPr>
      </w:pPr>
      <w:r>
        <w:rPr>
          <w:rFonts w:hint="eastAsia" w:ascii="宋体" w:hAnsi="宋体"/>
          <w:sz w:val="24"/>
        </w:rPr>
        <w:t>11.5 合同项下货物的质量保证期为自货物通过最终验收起个月。</w:t>
      </w:r>
      <w:r>
        <w:rPr>
          <w:rFonts w:hint="eastAsia" w:ascii="宋体" w:hAnsi="宋体"/>
          <w:b/>
          <w:sz w:val="24"/>
        </w:rPr>
        <w:t>详见合同特殊条款.</w:t>
      </w:r>
    </w:p>
    <w:p>
      <w:pPr>
        <w:pStyle w:val="5"/>
        <w:spacing w:before="240" w:after="0" w:line="360" w:lineRule="auto"/>
        <w:rPr>
          <w:rFonts w:hint="default"/>
          <w:b/>
          <w:sz w:val="24"/>
          <w:szCs w:val="24"/>
        </w:rPr>
      </w:pPr>
      <w:bookmarkStart w:id="226" w:name="_Toc487900360"/>
      <w:bookmarkStart w:id="227" w:name="_Ref467378018"/>
      <w:bookmarkStart w:id="228" w:name="_Toc497905859"/>
      <w:bookmarkStart w:id="229" w:name="_Toc366858482"/>
      <w:bookmarkStart w:id="230" w:name="_Toc310195743"/>
      <w:r>
        <w:rPr>
          <w:b/>
          <w:sz w:val="24"/>
          <w:szCs w:val="24"/>
        </w:rPr>
        <w:t>12. 检验</w:t>
      </w:r>
      <w:bookmarkEnd w:id="226"/>
      <w:bookmarkEnd w:id="227"/>
      <w:r>
        <w:rPr>
          <w:b/>
          <w:sz w:val="24"/>
          <w:szCs w:val="24"/>
        </w:rPr>
        <w:t>和验收</w:t>
      </w:r>
      <w:bookmarkEnd w:id="228"/>
      <w:bookmarkEnd w:id="229"/>
      <w:bookmarkEnd w:id="230"/>
    </w:p>
    <w:p>
      <w:pPr>
        <w:spacing w:line="360" w:lineRule="auto"/>
        <w:rPr>
          <w:rFonts w:ascii="宋体" w:hAnsi="宋体"/>
          <w:sz w:val="24"/>
        </w:rPr>
      </w:pPr>
      <w:r>
        <w:rPr>
          <w:rFonts w:hint="eastAsia" w:ascii="宋体" w:hAnsi="宋体"/>
          <w:sz w:val="24"/>
        </w:rPr>
        <w:t>12.1 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pacing w:line="360" w:lineRule="auto"/>
        <w:rPr>
          <w:rFonts w:ascii="宋体" w:hAnsi="宋体"/>
          <w:sz w:val="24"/>
        </w:rPr>
      </w:pPr>
      <w:r>
        <w:rPr>
          <w:rFonts w:hint="eastAsia" w:ascii="宋体" w:hAnsi="宋体"/>
          <w:sz w:val="24"/>
        </w:rPr>
        <w:t>12.2 货物运抵现场后，买方应在</w:t>
      </w:r>
      <w:r>
        <w:rPr>
          <w:rFonts w:hint="eastAsia" w:ascii="宋体" w:hAnsi="宋体"/>
          <w:sz w:val="24"/>
          <w:u w:val="single"/>
        </w:rPr>
        <w:t xml:space="preserve"> 7 </w:t>
      </w:r>
      <w:r>
        <w:rPr>
          <w:rFonts w:hint="eastAsia" w:ascii="宋体" w:hAnsi="宋体"/>
          <w:sz w:val="24"/>
        </w:rPr>
        <w:t>日内组织验收，并制作验收备忘录，签署验收意见并报政府采购监督管理部门备案。</w:t>
      </w:r>
    </w:p>
    <w:p>
      <w:pPr>
        <w:spacing w:line="360" w:lineRule="auto"/>
        <w:ind w:left="1"/>
        <w:rPr>
          <w:rFonts w:ascii="宋体" w:hAnsi="宋体"/>
          <w:sz w:val="24"/>
        </w:rPr>
      </w:pPr>
      <w:r>
        <w:rPr>
          <w:rFonts w:hint="eastAsia" w:ascii="宋体" w:hAnsi="宋体"/>
          <w:sz w:val="24"/>
        </w:rPr>
        <w:t>12.3 如果任何被检验或测试的货物不能满足规格的要求，买方可以拒绝接受该货物，卖方应更换被拒绝的货物，或者免费进行必要的修改以满足规格的要求。</w:t>
      </w:r>
    </w:p>
    <w:p>
      <w:pPr>
        <w:spacing w:line="360" w:lineRule="auto"/>
        <w:rPr>
          <w:rFonts w:ascii="宋体" w:hAnsi="宋体"/>
          <w:sz w:val="24"/>
        </w:rPr>
      </w:pPr>
      <w:r>
        <w:rPr>
          <w:rFonts w:hint="eastAsia" w:ascii="宋体" w:hAnsi="宋体"/>
          <w:sz w:val="24"/>
        </w:rPr>
        <w:t>12.4 买方有在货物制造过程中派人员监造的权利, 卖方有义务为买方监造人员行使该权利提供方便。</w:t>
      </w:r>
    </w:p>
    <w:p>
      <w:pPr>
        <w:spacing w:line="360" w:lineRule="auto"/>
        <w:ind w:left="960" w:hanging="960"/>
        <w:rPr>
          <w:rFonts w:ascii="宋体" w:hAnsi="宋体"/>
          <w:sz w:val="24"/>
        </w:rPr>
      </w:pPr>
      <w:r>
        <w:rPr>
          <w:rFonts w:hint="eastAsia" w:ascii="宋体" w:hAnsi="宋体"/>
          <w:sz w:val="24"/>
        </w:rPr>
        <w:t>12.5 制造厂对所供货物进行机械运转试验和性能试验时，必须提前通知买方。</w:t>
      </w:r>
    </w:p>
    <w:p>
      <w:pPr>
        <w:pStyle w:val="5"/>
        <w:spacing w:before="240" w:after="0" w:line="360" w:lineRule="auto"/>
        <w:rPr>
          <w:rFonts w:hint="default"/>
          <w:b/>
          <w:sz w:val="24"/>
          <w:szCs w:val="24"/>
        </w:rPr>
      </w:pPr>
      <w:bookmarkStart w:id="231" w:name="_Toc497905860"/>
      <w:bookmarkStart w:id="232" w:name="_Toc366858483"/>
      <w:bookmarkStart w:id="233" w:name="_Toc487900361"/>
      <w:bookmarkStart w:id="234" w:name="_Toc310195744"/>
      <w:r>
        <w:rPr>
          <w:b/>
          <w:sz w:val="24"/>
          <w:szCs w:val="24"/>
        </w:rPr>
        <w:t>13. 索赔</w:t>
      </w:r>
      <w:bookmarkEnd w:id="231"/>
      <w:bookmarkEnd w:id="232"/>
      <w:bookmarkEnd w:id="233"/>
      <w:bookmarkEnd w:id="234"/>
    </w:p>
    <w:p>
      <w:pPr>
        <w:spacing w:line="360" w:lineRule="auto"/>
        <w:rPr>
          <w:rFonts w:ascii="宋体" w:hAnsi="宋体"/>
          <w:sz w:val="24"/>
        </w:rPr>
      </w:pPr>
      <w:r>
        <w:rPr>
          <w:rFonts w:hint="eastAsia" w:ascii="宋体" w:hAnsi="宋体"/>
          <w:sz w:val="24"/>
        </w:rPr>
        <w:t>13.1 如果货物的质量、规格、数量、重量等与合同不符，或在第11.5规定的质量保证期内证实货物是有缺陷的，包括潜在的缺陷或使用不符合要求的材料，买方有权根据有资质的质检机构的检验结果向卖方提出索赔。但责任应由保险公司或运输部门承担的除外。</w:t>
      </w:r>
    </w:p>
    <w:p>
      <w:pPr>
        <w:spacing w:line="360" w:lineRule="auto"/>
        <w:rPr>
          <w:rFonts w:ascii="宋体" w:hAnsi="宋体"/>
          <w:sz w:val="24"/>
        </w:rPr>
      </w:pPr>
      <w:bookmarkStart w:id="235" w:name="_Ref467378076"/>
      <w:r>
        <w:rPr>
          <w:rFonts w:hint="eastAsia" w:ascii="宋体" w:hAnsi="宋体"/>
          <w:sz w:val="24"/>
        </w:rPr>
        <w:t>13.2 在根据合同第11条和第12条规定的检验期和质量保证期内，如果卖方对买方提出的索赔负有责任，卖方应按照买方同意的下列一种或多种方式解决索赔事宜：</w:t>
      </w:r>
      <w:bookmarkEnd w:id="235"/>
    </w:p>
    <w:p>
      <w:pPr>
        <w:spacing w:line="360" w:lineRule="auto"/>
        <w:rPr>
          <w:rFonts w:ascii="宋体" w:hAnsi="宋体"/>
          <w:sz w:val="24"/>
        </w:rPr>
      </w:pPr>
      <w:r>
        <w:rPr>
          <w:rFonts w:hint="eastAsia" w:ascii="宋体" w:hAnsi="宋体"/>
          <w:sz w:val="24"/>
        </w:rPr>
        <w:t>13.2.1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rPr>
          <w:rFonts w:ascii="宋体" w:hAnsi="宋体"/>
          <w:sz w:val="24"/>
        </w:rPr>
      </w:pPr>
      <w:r>
        <w:rPr>
          <w:rFonts w:hint="eastAsia" w:ascii="宋体" w:hAnsi="宋体"/>
          <w:sz w:val="24"/>
        </w:rPr>
        <w:t>13.2.2 根据货物低劣程度、损坏程度以及买方所遭受损失的数额，经买卖双方商定降低货物的价格，或由有权的部门评估，以降低后的价格或评估价格为准。</w:t>
      </w:r>
    </w:p>
    <w:p>
      <w:pPr>
        <w:spacing w:line="360" w:lineRule="auto"/>
        <w:rPr>
          <w:rFonts w:ascii="宋体" w:hAnsi="宋体"/>
          <w:sz w:val="24"/>
        </w:rPr>
      </w:pPr>
      <w:r>
        <w:rPr>
          <w:rFonts w:hint="eastAsia" w:ascii="宋体" w:hAnsi="宋体"/>
          <w:sz w:val="24"/>
        </w:rPr>
        <w:t>13.2.3 用符合规格、质量和性能要求的新零件、部件或货物来更换有缺陷的部分或／和修补缺陷部分，卖方应承担一切费用和风险并负担买方所发生的一切直接费用。同时，卖方应按合同第11条规定，相应延长修补或更换件的质量保证期。</w:t>
      </w:r>
    </w:p>
    <w:p>
      <w:pPr>
        <w:spacing w:line="360" w:lineRule="auto"/>
        <w:rPr>
          <w:rFonts w:ascii="宋体" w:hAnsi="宋体"/>
          <w:sz w:val="24"/>
        </w:rPr>
      </w:pPr>
      <w:r>
        <w:rPr>
          <w:rFonts w:hint="eastAsia" w:ascii="宋体" w:hAnsi="宋体"/>
          <w:sz w:val="24"/>
        </w:rPr>
        <w:t>13.3 如果在买方发出索赔通知后</w:t>
      </w:r>
      <w:r>
        <w:rPr>
          <w:rFonts w:hint="eastAsia" w:ascii="宋体" w:hAnsi="宋体"/>
          <w:sz w:val="24"/>
          <w:u w:val="single"/>
        </w:rPr>
        <w:t xml:space="preserve"> 7 </w:t>
      </w:r>
      <w:r>
        <w:rPr>
          <w:rFonts w:hint="eastAsia" w:ascii="宋体" w:hAnsi="宋体"/>
          <w:sz w:val="24"/>
        </w:rPr>
        <w:t>天内，卖方未作答复，上述索赔应视为已被卖方接受。如卖方未能在买方提出索赔通知后</w:t>
      </w:r>
      <w:r>
        <w:rPr>
          <w:rFonts w:hint="eastAsia" w:ascii="宋体" w:hAnsi="宋体"/>
          <w:sz w:val="24"/>
          <w:u w:val="single"/>
        </w:rPr>
        <w:t xml:space="preserve"> 7 </w:t>
      </w:r>
      <w:r>
        <w:rPr>
          <w:rFonts w:hint="eastAsia" w:ascii="宋体" w:hAnsi="宋体"/>
          <w:sz w:val="24"/>
        </w:rPr>
        <w:t>天内或买方同意的更长时间内，按照本合同第13.2条规定的任何一种方法解决索赔事宜，买方将从合同款或从卖方开具的履约保证金保函中扣回索赔金额。如果这些金额不足以补偿索赔金额，买方有权向卖方提出不足部分的补偿。</w:t>
      </w:r>
    </w:p>
    <w:p>
      <w:pPr>
        <w:pStyle w:val="5"/>
        <w:spacing w:before="240" w:after="0" w:line="360" w:lineRule="auto"/>
        <w:rPr>
          <w:rFonts w:hint="default"/>
          <w:b/>
          <w:sz w:val="24"/>
          <w:szCs w:val="24"/>
        </w:rPr>
      </w:pPr>
      <w:bookmarkStart w:id="236" w:name="_Toc487900362"/>
      <w:bookmarkStart w:id="237" w:name="_Toc310195745"/>
      <w:bookmarkStart w:id="238" w:name="_Toc366858484"/>
      <w:bookmarkStart w:id="239" w:name="_Toc497905861"/>
      <w:r>
        <w:rPr>
          <w:b/>
          <w:sz w:val="24"/>
          <w:szCs w:val="24"/>
        </w:rPr>
        <w:t>14. 迟延交货</w:t>
      </w:r>
      <w:bookmarkEnd w:id="236"/>
      <w:bookmarkEnd w:id="237"/>
      <w:bookmarkEnd w:id="238"/>
      <w:bookmarkEnd w:id="239"/>
    </w:p>
    <w:p>
      <w:pPr>
        <w:spacing w:before="120" w:line="360" w:lineRule="auto"/>
        <w:ind w:left="901" w:hanging="960"/>
        <w:rPr>
          <w:rFonts w:ascii="宋体" w:hAnsi="宋体"/>
          <w:sz w:val="24"/>
        </w:rPr>
      </w:pPr>
      <w:r>
        <w:rPr>
          <w:rFonts w:hint="eastAsia" w:ascii="宋体" w:hAnsi="宋体"/>
          <w:sz w:val="24"/>
        </w:rPr>
        <w:t>14.1 卖方应按照“货物需求一览表及技术规格”中买方规定的时间表交货和提供服务。</w:t>
      </w:r>
    </w:p>
    <w:p>
      <w:pPr>
        <w:spacing w:before="120" w:line="360" w:lineRule="auto"/>
        <w:ind w:left="960" w:hanging="960"/>
        <w:rPr>
          <w:rFonts w:ascii="宋体" w:hAnsi="宋体"/>
          <w:sz w:val="24"/>
        </w:rPr>
      </w:pPr>
      <w:r>
        <w:rPr>
          <w:rFonts w:hint="eastAsia" w:ascii="宋体" w:hAnsi="宋体"/>
          <w:sz w:val="24"/>
        </w:rPr>
        <w:t>14.2 如果卖方无正当理由迟延交货，买方有权提出违约损失赔偿或解除合同。</w:t>
      </w:r>
    </w:p>
    <w:p>
      <w:pPr>
        <w:spacing w:before="120" w:line="360" w:lineRule="auto"/>
        <w:rPr>
          <w:rFonts w:ascii="宋体" w:hAnsi="宋体"/>
          <w:sz w:val="24"/>
        </w:rPr>
      </w:pPr>
      <w:r>
        <w:rPr>
          <w:rFonts w:hint="eastAsia" w:ascii="宋体" w:hAnsi="宋体"/>
          <w:sz w:val="24"/>
        </w:rPr>
        <w:t>14.3 在履行合同过程中，如果卖方遇到不能按时交货和提供服务的情况，应及时以书面形式将不能按时交货的理由、预期延误时间通知买方。买方收到卖方通知后，认为其理由正当的，可酌情延长交货时间。</w:t>
      </w:r>
    </w:p>
    <w:p>
      <w:pPr>
        <w:pStyle w:val="5"/>
        <w:spacing w:before="240" w:after="0" w:line="360" w:lineRule="auto"/>
        <w:rPr>
          <w:rFonts w:hint="default"/>
          <w:b/>
          <w:sz w:val="24"/>
          <w:szCs w:val="24"/>
        </w:rPr>
      </w:pPr>
      <w:bookmarkStart w:id="240" w:name="_Toc487900363"/>
      <w:bookmarkStart w:id="241" w:name="_Toc366858485"/>
      <w:bookmarkStart w:id="242" w:name="_Toc497905862"/>
      <w:bookmarkStart w:id="243" w:name="_Toc310195746"/>
      <w:r>
        <w:rPr>
          <w:b/>
          <w:sz w:val="24"/>
          <w:szCs w:val="24"/>
        </w:rPr>
        <w:t>15. 违约赔偿</w:t>
      </w:r>
      <w:bookmarkEnd w:id="240"/>
      <w:bookmarkEnd w:id="241"/>
      <w:bookmarkEnd w:id="242"/>
      <w:bookmarkEnd w:id="243"/>
    </w:p>
    <w:p>
      <w:pPr>
        <w:spacing w:before="120" w:line="360" w:lineRule="auto"/>
        <w:rPr>
          <w:rFonts w:ascii="宋体" w:hAnsi="宋体"/>
          <w:sz w:val="24"/>
        </w:rPr>
      </w:pPr>
      <w:r>
        <w:rPr>
          <w:rFonts w:hint="eastAsia" w:ascii="宋体" w:hAnsi="宋体"/>
          <w:sz w:val="24"/>
        </w:rPr>
        <w:t>15.1 除合同第16条规定外，如果卖方没有按照合同规定的时间交货和提供服务，买方可要求卖方支付违约金。违约金按每周迟交货物或未提供服务交货价的0.5%计收。但违约金的最高限额为迟交货物或没有提供服务的合同价的10%。一周按7天计算，不足7天按一周计算。如果达到最高限额，买方有权解除合同。</w:t>
      </w:r>
    </w:p>
    <w:p>
      <w:pPr>
        <w:pStyle w:val="5"/>
        <w:spacing w:before="240" w:after="0" w:line="360" w:lineRule="auto"/>
        <w:rPr>
          <w:rFonts w:hint="default"/>
          <w:b/>
          <w:sz w:val="24"/>
          <w:szCs w:val="24"/>
        </w:rPr>
      </w:pPr>
      <w:bookmarkStart w:id="244" w:name="_Toc487900364"/>
      <w:bookmarkStart w:id="245" w:name="_Ref467378121"/>
      <w:bookmarkStart w:id="246" w:name="_Toc366858486"/>
      <w:bookmarkStart w:id="247" w:name="_Toc310195747"/>
      <w:bookmarkStart w:id="248" w:name="_Toc497905863"/>
      <w:r>
        <w:rPr>
          <w:b/>
          <w:sz w:val="24"/>
          <w:szCs w:val="24"/>
        </w:rPr>
        <w:t>16. 不可抗力</w:t>
      </w:r>
      <w:bookmarkEnd w:id="244"/>
      <w:bookmarkEnd w:id="245"/>
      <w:bookmarkEnd w:id="246"/>
      <w:bookmarkEnd w:id="247"/>
      <w:bookmarkEnd w:id="248"/>
    </w:p>
    <w:p>
      <w:pPr>
        <w:spacing w:line="360" w:lineRule="auto"/>
        <w:rPr>
          <w:rFonts w:ascii="宋体" w:hAnsi="宋体"/>
          <w:sz w:val="24"/>
        </w:rPr>
      </w:pPr>
      <w:r>
        <w:rPr>
          <w:rFonts w:hint="eastAsia" w:ascii="宋体" w:hAnsi="宋体"/>
          <w:sz w:val="24"/>
        </w:rPr>
        <w:t>16.1 如果双方中任何一方遭遇法律规定的不可抗力，致使合同履行受阻时，履行合同的期限应予延长，延长的期限应相当于不可抗力所影响的时间。</w:t>
      </w:r>
    </w:p>
    <w:p>
      <w:pPr>
        <w:spacing w:line="360" w:lineRule="auto"/>
        <w:rPr>
          <w:rFonts w:ascii="宋体" w:hAnsi="宋体"/>
          <w:sz w:val="24"/>
        </w:rPr>
      </w:pPr>
      <w:r>
        <w:rPr>
          <w:rFonts w:hint="eastAsia" w:ascii="宋体" w:hAnsi="宋体"/>
          <w:sz w:val="24"/>
        </w:rPr>
        <w:t>16.2 受事故影响的一方应在不可抗力的事故发生后尽快书面形式通知另一方，并在事故发生后</w:t>
      </w:r>
      <w:r>
        <w:rPr>
          <w:rFonts w:hint="eastAsia" w:ascii="宋体" w:hAnsi="宋体"/>
          <w:sz w:val="24"/>
          <w:u w:val="single"/>
        </w:rPr>
        <w:t xml:space="preserve">  14  </w:t>
      </w:r>
      <w:r>
        <w:rPr>
          <w:rFonts w:hint="eastAsia" w:ascii="宋体" w:hAnsi="宋体"/>
          <w:sz w:val="24"/>
        </w:rPr>
        <w:t>天内，将有关部门出具的证明文件送达另一方。</w:t>
      </w:r>
    </w:p>
    <w:p>
      <w:pPr>
        <w:spacing w:line="360" w:lineRule="auto"/>
        <w:rPr>
          <w:rFonts w:ascii="宋体" w:hAnsi="宋体"/>
          <w:sz w:val="24"/>
        </w:rPr>
      </w:pPr>
      <w:r>
        <w:rPr>
          <w:rFonts w:hint="eastAsia" w:ascii="宋体" w:hAnsi="宋体"/>
          <w:sz w:val="24"/>
        </w:rPr>
        <w:t>16.3不可抗力使合同的某些内容有变更必要的， 双方应通过协商在</w:t>
      </w:r>
      <w:r>
        <w:rPr>
          <w:rFonts w:hint="eastAsia" w:ascii="宋体" w:hAnsi="宋体"/>
          <w:sz w:val="24"/>
          <w:u w:val="single"/>
        </w:rPr>
        <w:t xml:space="preserve"> 28 </w:t>
      </w:r>
      <w:r>
        <w:rPr>
          <w:rFonts w:hint="eastAsia" w:ascii="宋体" w:hAnsi="宋体"/>
          <w:sz w:val="24"/>
        </w:rPr>
        <w:t>日内达成进一步履行合同的协议，因不可抗力致使合同不能履行的，合同终止。</w:t>
      </w:r>
    </w:p>
    <w:p>
      <w:pPr>
        <w:pStyle w:val="5"/>
        <w:spacing w:before="240" w:after="0" w:line="360" w:lineRule="auto"/>
        <w:rPr>
          <w:rFonts w:hint="default"/>
          <w:b/>
          <w:sz w:val="24"/>
          <w:szCs w:val="24"/>
        </w:rPr>
      </w:pPr>
      <w:bookmarkStart w:id="249" w:name="_Toc497905864"/>
      <w:bookmarkStart w:id="250" w:name="_Toc310195748"/>
      <w:bookmarkStart w:id="251" w:name="_Toc366858487"/>
      <w:bookmarkStart w:id="252" w:name="_Toc487900365"/>
      <w:r>
        <w:rPr>
          <w:b/>
          <w:sz w:val="24"/>
          <w:szCs w:val="24"/>
        </w:rPr>
        <w:t>17. 税费</w:t>
      </w:r>
      <w:bookmarkEnd w:id="249"/>
      <w:bookmarkEnd w:id="250"/>
      <w:bookmarkEnd w:id="251"/>
      <w:bookmarkEnd w:id="252"/>
    </w:p>
    <w:p>
      <w:pPr>
        <w:spacing w:before="120" w:line="360" w:lineRule="auto"/>
        <w:ind w:left="960" w:hanging="960"/>
        <w:rPr>
          <w:rFonts w:ascii="宋体" w:hAnsi="宋体"/>
          <w:sz w:val="24"/>
        </w:rPr>
      </w:pPr>
      <w:r>
        <w:rPr>
          <w:rFonts w:hint="eastAsia" w:ascii="宋体" w:hAnsi="宋体"/>
          <w:sz w:val="24"/>
        </w:rPr>
        <w:t>17.1 与本合同有关的一切税费均适用中华人民共和国法律的相关规定。</w:t>
      </w:r>
    </w:p>
    <w:p>
      <w:pPr>
        <w:pStyle w:val="5"/>
        <w:spacing w:line="360" w:lineRule="auto"/>
        <w:rPr>
          <w:rFonts w:hint="default"/>
          <w:b/>
          <w:sz w:val="24"/>
          <w:szCs w:val="24"/>
        </w:rPr>
      </w:pPr>
      <w:bookmarkStart w:id="253" w:name="_Hlt487900425"/>
      <w:bookmarkEnd w:id="253"/>
      <w:bookmarkStart w:id="254" w:name="_Toc487900366"/>
      <w:bookmarkStart w:id="255" w:name="_Toc310195749"/>
      <w:bookmarkStart w:id="256" w:name="_Toc366858488"/>
      <w:bookmarkStart w:id="257" w:name="_Toc497905865"/>
      <w:r>
        <w:rPr>
          <w:b/>
          <w:sz w:val="24"/>
          <w:szCs w:val="24"/>
        </w:rPr>
        <w:t>18. 仲裁</w:t>
      </w:r>
      <w:bookmarkEnd w:id="254"/>
      <w:bookmarkEnd w:id="255"/>
      <w:bookmarkEnd w:id="256"/>
      <w:bookmarkEnd w:id="257"/>
    </w:p>
    <w:p>
      <w:pPr>
        <w:spacing w:line="360" w:lineRule="auto"/>
        <w:rPr>
          <w:rFonts w:ascii="宋体" w:hAnsi="宋体"/>
          <w:sz w:val="24"/>
        </w:rPr>
      </w:pPr>
      <w:r>
        <w:rPr>
          <w:rFonts w:hint="eastAsia" w:ascii="宋体" w:hAnsi="宋体"/>
          <w:sz w:val="24"/>
        </w:rPr>
        <w:t>18.1 买卖双方应通过友好协商，解决在执行本合同中所发生的或与本合同有关的一切争端。如果协商不成的，任何一方均可申请北京仲裁委员会进行仲裁。</w:t>
      </w:r>
    </w:p>
    <w:p>
      <w:pPr>
        <w:spacing w:line="360" w:lineRule="auto"/>
        <w:rPr>
          <w:rFonts w:ascii="宋体" w:hAnsi="宋体"/>
          <w:sz w:val="24"/>
        </w:rPr>
      </w:pPr>
      <w:r>
        <w:rPr>
          <w:rFonts w:hint="eastAsia" w:ascii="宋体" w:hAnsi="宋体"/>
          <w:sz w:val="24"/>
        </w:rPr>
        <w:t>18.2 仲裁裁决应为最终裁决，对双方均具有约束力，当事人应当履行。当事人一方在规定时间内不履行仲裁机构的仲裁裁决的，另一方可以申请人民法院强制执行。</w:t>
      </w:r>
    </w:p>
    <w:p>
      <w:pPr>
        <w:tabs>
          <w:tab w:val="left" w:pos="900"/>
        </w:tabs>
        <w:spacing w:line="360" w:lineRule="auto"/>
        <w:rPr>
          <w:rFonts w:ascii="宋体" w:hAnsi="宋体"/>
          <w:sz w:val="24"/>
        </w:rPr>
      </w:pPr>
      <w:r>
        <w:rPr>
          <w:rFonts w:hint="eastAsia" w:ascii="宋体" w:hAnsi="宋体"/>
          <w:sz w:val="24"/>
        </w:rPr>
        <w:t>18.3 仲裁费除仲裁机构另有裁决外，应由败诉方负担。</w:t>
      </w:r>
    </w:p>
    <w:p>
      <w:pPr>
        <w:spacing w:line="360" w:lineRule="auto"/>
        <w:rPr>
          <w:rFonts w:ascii="宋体" w:hAnsi="宋体"/>
          <w:sz w:val="24"/>
        </w:rPr>
      </w:pPr>
      <w:r>
        <w:rPr>
          <w:rFonts w:hint="eastAsia" w:ascii="宋体" w:hAnsi="宋体"/>
          <w:sz w:val="24"/>
        </w:rPr>
        <w:t>18.4 在仲裁期间，除正在进行仲裁的合同条款外，合同的其它部分应继续执行。</w:t>
      </w:r>
    </w:p>
    <w:p>
      <w:pPr>
        <w:pStyle w:val="5"/>
        <w:spacing w:before="240" w:after="0" w:line="360" w:lineRule="auto"/>
        <w:rPr>
          <w:rFonts w:hint="default"/>
          <w:b/>
          <w:sz w:val="24"/>
          <w:szCs w:val="24"/>
        </w:rPr>
      </w:pPr>
      <w:bookmarkStart w:id="258" w:name="_Toc487900367"/>
      <w:bookmarkStart w:id="259" w:name="_Toc310195750"/>
      <w:bookmarkStart w:id="260" w:name="_Toc366858489"/>
      <w:bookmarkStart w:id="261" w:name="_Toc497905866"/>
      <w:r>
        <w:rPr>
          <w:b/>
          <w:sz w:val="24"/>
          <w:szCs w:val="24"/>
        </w:rPr>
        <w:t>19. 违约解除合同</w:t>
      </w:r>
      <w:bookmarkEnd w:id="258"/>
      <w:bookmarkEnd w:id="259"/>
      <w:bookmarkEnd w:id="260"/>
      <w:bookmarkEnd w:id="261"/>
    </w:p>
    <w:p>
      <w:pPr>
        <w:spacing w:line="360" w:lineRule="auto"/>
        <w:rPr>
          <w:rFonts w:ascii="宋体" w:hAnsi="宋体"/>
          <w:sz w:val="24"/>
        </w:rPr>
      </w:pPr>
      <w:bookmarkStart w:id="262" w:name="_Ref467378234"/>
      <w:r>
        <w:rPr>
          <w:rFonts w:hint="eastAsia" w:ascii="宋体" w:hAnsi="宋体"/>
          <w:sz w:val="24"/>
        </w:rPr>
        <w:t>19.1 在卖方违约的情况下，买方经政府采购监督管理部门同意后，可向卖方发出书面通知，部分或全部终止合同。同时保留向卖方追诉的权利。</w:t>
      </w:r>
      <w:bookmarkEnd w:id="262"/>
    </w:p>
    <w:p>
      <w:pPr>
        <w:spacing w:line="360" w:lineRule="auto"/>
        <w:rPr>
          <w:rFonts w:ascii="宋体" w:hAnsi="宋体"/>
          <w:sz w:val="24"/>
        </w:rPr>
      </w:pPr>
      <w:r>
        <w:rPr>
          <w:rFonts w:hint="eastAsia" w:ascii="宋体" w:hAnsi="宋体"/>
          <w:sz w:val="24"/>
        </w:rPr>
        <w:t xml:space="preserve">19.1.1 卖方未能在合同规定的限期或买方同意延长的限期内，提供全部或部分货物的； </w:t>
      </w:r>
    </w:p>
    <w:p>
      <w:pPr>
        <w:spacing w:line="360" w:lineRule="auto"/>
        <w:rPr>
          <w:rFonts w:ascii="宋体" w:hAnsi="宋体"/>
          <w:sz w:val="24"/>
        </w:rPr>
      </w:pPr>
      <w:r>
        <w:rPr>
          <w:rFonts w:hint="eastAsia" w:ascii="宋体" w:hAnsi="宋体"/>
          <w:sz w:val="24"/>
        </w:rPr>
        <w:t>19.1.2 卖方未能履行合同规定的其它主要义务的；</w:t>
      </w:r>
    </w:p>
    <w:p>
      <w:pPr>
        <w:spacing w:line="360" w:lineRule="auto"/>
        <w:rPr>
          <w:rFonts w:ascii="宋体" w:hAnsi="宋体"/>
          <w:sz w:val="24"/>
        </w:rPr>
      </w:pPr>
      <w:r>
        <w:rPr>
          <w:rFonts w:hint="eastAsia" w:ascii="宋体" w:hAnsi="宋体"/>
          <w:sz w:val="24"/>
        </w:rPr>
        <w:t>19.1.3 买方认为卖方在本合同履行过程中有腐败和欺诈行为的。</w:t>
      </w:r>
    </w:p>
    <w:p>
      <w:pPr>
        <w:spacing w:line="360" w:lineRule="auto"/>
        <w:rPr>
          <w:rFonts w:ascii="宋体" w:hAnsi="宋体"/>
          <w:sz w:val="24"/>
        </w:rPr>
      </w:pPr>
      <w:r>
        <w:rPr>
          <w:rFonts w:hint="eastAsia" w:ascii="宋体" w:hAnsi="宋体"/>
          <w:sz w:val="24"/>
        </w:rPr>
        <w:t>19.1.3.1“腐败行为”和“欺诈行为”定义如下:</w:t>
      </w:r>
    </w:p>
    <w:p>
      <w:pPr>
        <w:spacing w:line="360" w:lineRule="auto"/>
        <w:rPr>
          <w:rFonts w:ascii="宋体" w:hAnsi="宋体"/>
          <w:sz w:val="24"/>
        </w:rPr>
      </w:pPr>
      <w:r>
        <w:rPr>
          <w:rFonts w:hint="eastAsia" w:ascii="宋体" w:hAnsi="宋体"/>
          <w:sz w:val="24"/>
        </w:rPr>
        <w:t>19.1.3.1.1“腐败行为”是指提供/给予/接受或索取任何有价值的东西来影响买方在合同签定、履行过程中的行为。</w:t>
      </w:r>
    </w:p>
    <w:p>
      <w:pPr>
        <w:spacing w:line="360" w:lineRule="auto"/>
        <w:rPr>
          <w:rFonts w:ascii="宋体" w:hAnsi="宋体"/>
          <w:sz w:val="24"/>
        </w:rPr>
      </w:pPr>
      <w:r>
        <w:rPr>
          <w:rFonts w:hint="eastAsia" w:ascii="宋体" w:hAnsi="宋体"/>
          <w:sz w:val="24"/>
        </w:rPr>
        <w:t>19.1.3.1.2“欺诈行为”是指为了影响合同签定、履行过程中，以谎报事实的方法，损害买方的利益的行为。</w:t>
      </w:r>
    </w:p>
    <w:p>
      <w:pPr>
        <w:spacing w:line="360" w:lineRule="auto"/>
        <w:rPr>
          <w:rFonts w:ascii="宋体" w:hAnsi="宋体"/>
          <w:sz w:val="24"/>
        </w:rPr>
      </w:pPr>
      <w:r>
        <w:rPr>
          <w:rFonts w:hint="eastAsia" w:ascii="宋体" w:hAnsi="宋体"/>
          <w:sz w:val="24"/>
        </w:rPr>
        <w:t>19.2 在买方根据上述第19.1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pPr>
        <w:pStyle w:val="5"/>
        <w:spacing w:before="240" w:after="0" w:line="360" w:lineRule="auto"/>
        <w:rPr>
          <w:rFonts w:hint="default"/>
          <w:b/>
          <w:sz w:val="24"/>
          <w:szCs w:val="24"/>
        </w:rPr>
      </w:pPr>
      <w:bookmarkStart w:id="263" w:name="_Toc487900368"/>
      <w:bookmarkStart w:id="264" w:name="_Toc497905867"/>
      <w:bookmarkStart w:id="265" w:name="_Toc310195751"/>
      <w:bookmarkStart w:id="266" w:name="_Toc366858490"/>
      <w:r>
        <w:rPr>
          <w:b/>
          <w:sz w:val="24"/>
          <w:szCs w:val="24"/>
        </w:rPr>
        <w:t>20. 破产终止合同</w:t>
      </w:r>
      <w:bookmarkEnd w:id="263"/>
      <w:bookmarkEnd w:id="264"/>
      <w:bookmarkEnd w:id="265"/>
      <w:bookmarkEnd w:id="266"/>
    </w:p>
    <w:p>
      <w:pPr>
        <w:spacing w:line="360" w:lineRule="auto"/>
        <w:rPr>
          <w:rFonts w:ascii="宋体" w:hAnsi="宋体"/>
          <w:sz w:val="24"/>
        </w:rPr>
      </w:pPr>
      <w:r>
        <w:rPr>
          <w:rFonts w:hint="eastAsia" w:ascii="宋体" w:hAnsi="宋体"/>
          <w:sz w:val="24"/>
        </w:rPr>
        <w:t>20.1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pPr>
        <w:pStyle w:val="5"/>
        <w:spacing w:before="240" w:after="0" w:line="360" w:lineRule="auto"/>
        <w:rPr>
          <w:rFonts w:hint="default"/>
          <w:b/>
          <w:sz w:val="24"/>
          <w:szCs w:val="24"/>
        </w:rPr>
      </w:pPr>
      <w:bookmarkStart w:id="267" w:name="_Toc366858491"/>
      <w:bookmarkStart w:id="268" w:name="_Toc497905868"/>
      <w:bookmarkStart w:id="269" w:name="_Toc310195752"/>
      <w:bookmarkStart w:id="270" w:name="_Toc487900369"/>
      <w:r>
        <w:rPr>
          <w:b/>
          <w:sz w:val="24"/>
          <w:szCs w:val="24"/>
        </w:rPr>
        <w:t>21. 转让和分包</w:t>
      </w:r>
      <w:bookmarkEnd w:id="267"/>
      <w:bookmarkEnd w:id="268"/>
      <w:bookmarkEnd w:id="269"/>
      <w:bookmarkEnd w:id="270"/>
    </w:p>
    <w:p>
      <w:pPr>
        <w:spacing w:before="120" w:line="360" w:lineRule="auto"/>
        <w:rPr>
          <w:rFonts w:ascii="宋体" w:hAnsi="宋体"/>
          <w:sz w:val="24"/>
        </w:rPr>
      </w:pPr>
      <w:r>
        <w:rPr>
          <w:rFonts w:hint="eastAsia" w:ascii="宋体" w:hAnsi="宋体"/>
          <w:sz w:val="24"/>
        </w:rPr>
        <w:t xml:space="preserve">21.1 </w:t>
      </w:r>
      <w:r>
        <w:rPr>
          <w:rFonts w:hint="eastAsia" w:ascii="宋体" w:hAnsi="宋体"/>
          <w:b/>
          <w:sz w:val="24"/>
        </w:rPr>
        <w:t>政府采购合同不能转让。</w:t>
      </w:r>
    </w:p>
    <w:p>
      <w:pPr>
        <w:spacing w:line="360" w:lineRule="auto"/>
        <w:rPr>
          <w:rFonts w:ascii="宋体" w:hAnsi="宋体"/>
          <w:sz w:val="24"/>
        </w:rPr>
      </w:pPr>
      <w:r>
        <w:rPr>
          <w:rFonts w:hint="eastAsia" w:ascii="宋体" w:hAnsi="宋体"/>
          <w:sz w:val="24"/>
        </w:rPr>
        <w:t>21.2 经买方和政府采购监督管理部门事先书面同意 卖方可以将合同项下非主体、非关键性工作分包给他人完成。接受分包的人应当具备相应的资格条件，并不得再次分包。分包不能解除卖方履行本合同的责任和义务。</w:t>
      </w:r>
    </w:p>
    <w:p>
      <w:pPr>
        <w:pStyle w:val="5"/>
        <w:spacing w:before="240" w:after="0" w:line="360" w:lineRule="auto"/>
        <w:rPr>
          <w:rFonts w:hint="default"/>
          <w:b/>
          <w:sz w:val="24"/>
          <w:szCs w:val="24"/>
        </w:rPr>
      </w:pPr>
      <w:bookmarkStart w:id="271" w:name="_Toc497905869"/>
      <w:bookmarkStart w:id="272" w:name="_Toc487900370"/>
      <w:bookmarkStart w:id="273" w:name="_Toc366858492"/>
      <w:bookmarkStart w:id="274" w:name="_Toc310195753"/>
      <w:r>
        <w:rPr>
          <w:b/>
          <w:sz w:val="24"/>
          <w:szCs w:val="24"/>
        </w:rPr>
        <w:t>22. 合同修改</w:t>
      </w:r>
      <w:bookmarkEnd w:id="271"/>
      <w:bookmarkEnd w:id="272"/>
      <w:bookmarkEnd w:id="273"/>
      <w:bookmarkEnd w:id="274"/>
    </w:p>
    <w:p>
      <w:pPr>
        <w:spacing w:line="360" w:lineRule="auto"/>
        <w:rPr>
          <w:rFonts w:ascii="宋体" w:hAnsi="宋体"/>
          <w:sz w:val="24"/>
        </w:rPr>
      </w:pPr>
      <w:r>
        <w:rPr>
          <w:rFonts w:hint="eastAsia" w:ascii="宋体" w:hAnsi="宋体"/>
          <w:sz w:val="24"/>
        </w:rPr>
        <w:t>22.1 买方和卖方都不得擅自变更本合同，但合同继续履行将损害国家和社会公共利益的除外。如必须对合同条款进行改动时，由双方当事人提出书面的合同修改意见，并经政府采购监督管理部门同意后签署。</w:t>
      </w:r>
    </w:p>
    <w:p>
      <w:pPr>
        <w:pStyle w:val="5"/>
        <w:spacing w:before="240" w:after="0" w:line="360" w:lineRule="auto"/>
        <w:rPr>
          <w:rFonts w:hint="default"/>
          <w:b/>
          <w:sz w:val="24"/>
          <w:szCs w:val="24"/>
        </w:rPr>
      </w:pPr>
      <w:bookmarkStart w:id="275" w:name="_Toc310195754"/>
      <w:bookmarkStart w:id="276" w:name="_Toc366858493"/>
      <w:bookmarkStart w:id="277" w:name="_Toc487900371"/>
      <w:bookmarkStart w:id="278" w:name="_Toc497905870"/>
      <w:r>
        <w:rPr>
          <w:b/>
          <w:sz w:val="24"/>
          <w:szCs w:val="24"/>
        </w:rPr>
        <w:t>23. 通知</w:t>
      </w:r>
      <w:bookmarkEnd w:id="275"/>
      <w:bookmarkEnd w:id="276"/>
      <w:bookmarkEnd w:id="277"/>
      <w:bookmarkEnd w:id="278"/>
    </w:p>
    <w:p>
      <w:pPr>
        <w:pStyle w:val="110"/>
        <w:spacing w:line="360" w:lineRule="auto"/>
        <w:rPr>
          <w:rFonts w:ascii="宋体" w:hAnsi="宋体"/>
          <w:sz w:val="24"/>
        </w:rPr>
      </w:pPr>
      <w:r>
        <w:rPr>
          <w:rFonts w:hint="eastAsia" w:ascii="宋体" w:hAnsi="宋体"/>
          <w:sz w:val="24"/>
        </w:rPr>
        <w:t>23.1 本合同任何一方给另一方的通知，都应以书面形式发送，而另一方也应以书面形式确认并发送到对方明确的地址。</w:t>
      </w:r>
    </w:p>
    <w:p>
      <w:pPr>
        <w:pStyle w:val="5"/>
        <w:spacing w:before="240" w:after="0" w:line="360" w:lineRule="auto"/>
        <w:rPr>
          <w:rFonts w:hint="default"/>
          <w:b/>
          <w:sz w:val="24"/>
          <w:szCs w:val="24"/>
        </w:rPr>
      </w:pPr>
      <w:bookmarkStart w:id="279" w:name="_Toc310195755"/>
      <w:bookmarkStart w:id="280" w:name="_Toc366858494"/>
      <w:bookmarkStart w:id="281" w:name="_Toc497905871"/>
      <w:bookmarkStart w:id="282" w:name="_Toc487900372"/>
      <w:r>
        <w:rPr>
          <w:b/>
          <w:sz w:val="24"/>
          <w:szCs w:val="24"/>
        </w:rPr>
        <w:t>24. 计量单位</w:t>
      </w:r>
      <w:bookmarkEnd w:id="279"/>
      <w:bookmarkEnd w:id="280"/>
      <w:bookmarkEnd w:id="281"/>
      <w:bookmarkEnd w:id="282"/>
    </w:p>
    <w:p>
      <w:pPr>
        <w:spacing w:before="120" w:line="360" w:lineRule="auto"/>
        <w:rPr>
          <w:rFonts w:ascii="宋体" w:hAnsi="宋体"/>
          <w:sz w:val="24"/>
        </w:rPr>
      </w:pPr>
      <w:r>
        <w:rPr>
          <w:rFonts w:hint="eastAsia" w:ascii="宋体" w:hAnsi="宋体"/>
          <w:sz w:val="24"/>
        </w:rPr>
        <w:t>24.1 除技术规范中另有规定外,计量单位均使用国家法定计量单位。</w:t>
      </w:r>
    </w:p>
    <w:p>
      <w:pPr>
        <w:pStyle w:val="5"/>
        <w:spacing w:before="240" w:after="0" w:line="360" w:lineRule="auto"/>
        <w:rPr>
          <w:rFonts w:hint="default"/>
          <w:b/>
          <w:sz w:val="24"/>
          <w:szCs w:val="24"/>
        </w:rPr>
      </w:pPr>
      <w:bookmarkStart w:id="283" w:name="_Toc310195756"/>
      <w:bookmarkStart w:id="284" w:name="_Toc366858495"/>
      <w:bookmarkStart w:id="285" w:name="_Toc497905872"/>
      <w:bookmarkStart w:id="286" w:name="_Toc487900373"/>
      <w:r>
        <w:rPr>
          <w:b/>
          <w:sz w:val="24"/>
          <w:szCs w:val="24"/>
        </w:rPr>
        <w:t>25. 适用法律</w:t>
      </w:r>
      <w:bookmarkEnd w:id="283"/>
      <w:bookmarkEnd w:id="284"/>
      <w:bookmarkEnd w:id="285"/>
      <w:bookmarkEnd w:id="286"/>
    </w:p>
    <w:p>
      <w:pPr>
        <w:spacing w:before="120" w:line="360" w:lineRule="auto"/>
        <w:rPr>
          <w:rFonts w:ascii="宋体" w:hAnsi="宋体"/>
          <w:sz w:val="24"/>
        </w:rPr>
      </w:pPr>
      <w:r>
        <w:rPr>
          <w:rFonts w:hint="eastAsia" w:ascii="宋体" w:hAnsi="宋体"/>
          <w:sz w:val="24"/>
        </w:rPr>
        <w:t>25.1 本合同应按照中华人民共和国的法律进行解释。</w:t>
      </w:r>
    </w:p>
    <w:p>
      <w:pPr>
        <w:pStyle w:val="5"/>
        <w:spacing w:before="240" w:after="0" w:line="360" w:lineRule="auto"/>
        <w:rPr>
          <w:rFonts w:hint="default"/>
          <w:b/>
          <w:sz w:val="24"/>
          <w:szCs w:val="24"/>
        </w:rPr>
      </w:pPr>
      <w:bookmarkStart w:id="287" w:name="_Toc487900374"/>
      <w:bookmarkStart w:id="288" w:name="_Toc497905873"/>
      <w:bookmarkStart w:id="289" w:name="_Toc310195757"/>
      <w:bookmarkStart w:id="290" w:name="_Toc366858496"/>
      <w:r>
        <w:rPr>
          <w:b/>
          <w:sz w:val="24"/>
          <w:szCs w:val="24"/>
        </w:rPr>
        <w:t>26. 合同生效</w:t>
      </w:r>
      <w:bookmarkEnd w:id="287"/>
      <w:r>
        <w:rPr>
          <w:b/>
          <w:sz w:val="24"/>
          <w:szCs w:val="24"/>
        </w:rPr>
        <w:t>和其它</w:t>
      </w:r>
      <w:bookmarkEnd w:id="288"/>
      <w:bookmarkEnd w:id="289"/>
      <w:bookmarkEnd w:id="290"/>
    </w:p>
    <w:p>
      <w:pPr>
        <w:pStyle w:val="4"/>
        <w:spacing w:line="360" w:lineRule="auto"/>
        <w:ind w:left="2" w:firstLine="0"/>
        <w:rPr>
          <w:rFonts w:hAnsi="宋体"/>
          <w:szCs w:val="24"/>
        </w:rPr>
      </w:pPr>
      <w:r>
        <w:rPr>
          <w:rFonts w:hint="eastAsia" w:hAnsi="宋体"/>
          <w:szCs w:val="24"/>
        </w:rPr>
        <w:t xml:space="preserve">26.1 </w:t>
      </w:r>
      <w:r>
        <w:rPr>
          <w:rFonts w:hint="eastAsia" w:hAnsi="宋体"/>
          <w:kern w:val="2"/>
          <w:szCs w:val="24"/>
        </w:rPr>
        <w:t>政府采购项目的采购合同内容的确定应以招标文件和投标文件为基础，不得违背其实质性内容。政府采购项目的采购合同自签订之日起七个工作日内，买方应当将合同副本报同级政府采购监督管理部门备案。合同将在双方签字盖章后开始生效。</w:t>
      </w:r>
    </w:p>
    <w:p>
      <w:pPr>
        <w:spacing w:line="360" w:lineRule="auto"/>
        <w:rPr>
          <w:rFonts w:ascii="宋体" w:hAnsi="宋体"/>
          <w:sz w:val="24"/>
        </w:rPr>
      </w:pPr>
      <w:r>
        <w:rPr>
          <w:rFonts w:hint="eastAsia" w:ascii="宋体" w:hAnsi="宋体"/>
          <w:sz w:val="24"/>
        </w:rPr>
        <w:t>26.2 本合同一式</w:t>
      </w:r>
      <w:r>
        <w:rPr>
          <w:rFonts w:hint="eastAsia" w:ascii="宋体" w:hAnsi="宋体"/>
          <w:sz w:val="24"/>
          <w:u w:val="single"/>
        </w:rPr>
        <w:t xml:space="preserve">  8 </w:t>
      </w:r>
      <w:r>
        <w:rPr>
          <w:rFonts w:hint="eastAsia" w:ascii="宋体" w:hAnsi="宋体"/>
          <w:sz w:val="24"/>
        </w:rPr>
        <w:t>份，具有同等法律效力。买方执</w:t>
      </w:r>
      <w:r>
        <w:rPr>
          <w:rFonts w:hint="eastAsia" w:ascii="宋体" w:hAnsi="宋体"/>
          <w:sz w:val="24"/>
          <w:u w:val="single"/>
        </w:rPr>
        <w:t xml:space="preserve"> 4 </w:t>
      </w:r>
      <w:r>
        <w:rPr>
          <w:rFonts w:hint="eastAsia" w:ascii="宋体" w:hAnsi="宋体"/>
          <w:sz w:val="24"/>
        </w:rPr>
        <w:t>份，卖方,执</w:t>
      </w:r>
      <w:r>
        <w:rPr>
          <w:rFonts w:hint="eastAsia" w:ascii="宋体" w:hAnsi="宋体"/>
          <w:sz w:val="24"/>
          <w:u w:val="single"/>
        </w:rPr>
        <w:t xml:space="preserve">  2 </w:t>
      </w:r>
      <w:r>
        <w:rPr>
          <w:rFonts w:hint="eastAsia" w:ascii="宋体" w:hAnsi="宋体"/>
          <w:sz w:val="24"/>
        </w:rPr>
        <w:t xml:space="preserve">份，采购代理机构执 </w:t>
      </w:r>
      <w:r>
        <w:rPr>
          <w:rFonts w:hint="eastAsia" w:ascii="宋体" w:hAnsi="宋体"/>
          <w:sz w:val="24"/>
          <w:u w:val="single"/>
        </w:rPr>
        <w:t xml:space="preserve"> 2 </w:t>
      </w:r>
      <w:r>
        <w:rPr>
          <w:rFonts w:hint="eastAsia" w:ascii="宋体" w:hAnsi="宋体"/>
          <w:sz w:val="24"/>
        </w:rPr>
        <w:t xml:space="preserve"> 份。</w:t>
      </w:r>
    </w:p>
    <w:p>
      <w:pPr>
        <w:pStyle w:val="2"/>
        <w:spacing w:line="360" w:lineRule="auto"/>
      </w:pPr>
      <w:bookmarkStart w:id="291" w:name="_Toc366858497"/>
      <w:r>
        <w:rPr>
          <w:rFonts w:hAnsi="宋体"/>
          <w:sz w:val="24"/>
          <w:szCs w:val="24"/>
        </w:rPr>
        <w:br w:type="page"/>
      </w:r>
    </w:p>
    <w:p>
      <w:pPr>
        <w:pStyle w:val="2"/>
        <w:spacing w:line="360" w:lineRule="auto"/>
        <w:rPr>
          <w:rFonts w:hAnsi="宋体"/>
          <w:sz w:val="24"/>
          <w:szCs w:val="24"/>
        </w:rPr>
      </w:pPr>
      <w:bookmarkStart w:id="292" w:name="_Toc497905874"/>
      <w:r>
        <w:rPr>
          <w:rFonts w:hint="eastAsia" w:hAnsi="宋体"/>
          <w:sz w:val="24"/>
          <w:szCs w:val="24"/>
        </w:rPr>
        <w:t>第七章</w:t>
      </w:r>
      <w:bookmarkStart w:id="293" w:name="_Toc310195759"/>
      <w:r>
        <w:rPr>
          <w:rFonts w:hint="eastAsia" w:hAnsi="宋体"/>
          <w:sz w:val="24"/>
          <w:szCs w:val="24"/>
        </w:rPr>
        <w:t>合同专用条款</w:t>
      </w:r>
      <w:bookmarkEnd w:id="291"/>
      <w:bookmarkEnd w:id="292"/>
      <w:bookmarkEnd w:id="293"/>
    </w:p>
    <w:p>
      <w:pPr>
        <w:spacing w:line="360" w:lineRule="auto"/>
        <w:rPr>
          <w:rFonts w:ascii="宋体" w:hAnsi="宋体"/>
          <w:b/>
          <w:sz w:val="24"/>
        </w:rPr>
      </w:pPr>
    </w:p>
    <w:p>
      <w:pPr>
        <w:spacing w:line="360" w:lineRule="auto"/>
        <w:ind w:firstLine="454"/>
        <w:rPr>
          <w:rFonts w:ascii="宋体" w:hAnsi="宋体"/>
          <w:sz w:val="24"/>
        </w:rPr>
      </w:pPr>
      <w:r>
        <w:rPr>
          <w:rFonts w:hint="eastAsia" w:ascii="宋体" w:hAnsi="宋体"/>
          <w:sz w:val="24"/>
        </w:rPr>
        <w:t>合同专用条款是合同一般条款的补充和修改。如果两者之间有抵触，应以专用条款为准。合同专用条款的序号将与合同一般条款序号相对应。</w:t>
      </w:r>
    </w:p>
    <w:p>
      <w:pPr>
        <w:spacing w:line="360" w:lineRule="auto"/>
        <w:rPr>
          <w:rFonts w:ascii="宋体" w:hAnsi="宋体"/>
          <w:sz w:val="24"/>
        </w:rPr>
      </w:pPr>
      <w:r>
        <w:rPr>
          <w:rFonts w:hint="eastAsia" w:ascii="宋体" w:hAnsi="宋体"/>
          <w:sz w:val="24"/>
        </w:rPr>
        <w:t>1、定义</w:t>
      </w:r>
    </w:p>
    <w:p>
      <w:pPr>
        <w:spacing w:line="360" w:lineRule="auto"/>
        <w:rPr>
          <w:rFonts w:ascii="宋体" w:hAnsi="宋体"/>
          <w:sz w:val="24"/>
        </w:rPr>
      </w:pPr>
      <w:r>
        <w:rPr>
          <w:rFonts w:hint="eastAsia" w:ascii="宋体" w:hAnsi="宋体"/>
          <w:sz w:val="24"/>
        </w:rPr>
        <w:t>1.5买方：本合同买方系指：北京农业职业学院</w:t>
      </w:r>
    </w:p>
    <w:p>
      <w:pPr>
        <w:spacing w:line="360" w:lineRule="auto"/>
        <w:rPr>
          <w:rFonts w:ascii="宋体" w:hAnsi="宋体"/>
          <w:sz w:val="24"/>
        </w:rPr>
      </w:pPr>
      <w:r>
        <w:rPr>
          <w:rFonts w:hint="eastAsia" w:ascii="宋体" w:hAnsi="宋体"/>
          <w:sz w:val="24"/>
        </w:rPr>
        <w:t>1.6卖方：本合同卖方系指：</w:t>
      </w:r>
      <w:r>
        <w:rPr>
          <w:rFonts w:hint="eastAsia" w:ascii="宋体" w:hAnsi="宋体"/>
          <w:sz w:val="24"/>
          <w:u w:val="single"/>
        </w:rPr>
        <w:t>中标人</w:t>
      </w:r>
    </w:p>
    <w:p>
      <w:pPr>
        <w:spacing w:line="360" w:lineRule="auto"/>
        <w:rPr>
          <w:rFonts w:ascii="宋体" w:hAnsi="宋体"/>
          <w:sz w:val="24"/>
          <w:u w:val="single"/>
        </w:rPr>
      </w:pPr>
      <w:r>
        <w:rPr>
          <w:rFonts w:hint="eastAsia" w:ascii="宋体" w:hAnsi="宋体"/>
          <w:sz w:val="24"/>
        </w:rPr>
        <w:t>1.7现场：本合同项下的服务和运行地点位于：</w:t>
      </w:r>
      <w:r>
        <w:rPr>
          <w:rFonts w:hint="eastAsia" w:hAnsi="宋体"/>
          <w:sz w:val="24"/>
          <w:u w:val="single"/>
        </w:rPr>
        <w:t>采购人指定地点。</w:t>
      </w:r>
    </w:p>
    <w:p>
      <w:pPr>
        <w:spacing w:line="360" w:lineRule="auto"/>
        <w:rPr>
          <w:rFonts w:ascii="宋体" w:hAnsi="宋体"/>
          <w:sz w:val="24"/>
        </w:rPr>
      </w:pPr>
      <w:r>
        <w:rPr>
          <w:rFonts w:hint="eastAsia" w:ascii="宋体" w:hAnsi="宋体"/>
          <w:sz w:val="24"/>
        </w:rPr>
        <w:t>6、服务方式</w:t>
      </w:r>
    </w:p>
    <w:p>
      <w:pPr>
        <w:spacing w:line="360" w:lineRule="auto"/>
        <w:rPr>
          <w:rFonts w:ascii="宋体" w:hAnsi="宋体"/>
          <w:sz w:val="24"/>
        </w:rPr>
      </w:pPr>
      <w:r>
        <w:rPr>
          <w:rFonts w:hint="eastAsia" w:ascii="宋体" w:hAnsi="宋体"/>
          <w:sz w:val="24"/>
        </w:rPr>
        <w:t>6.1.1　本合同项下的服务方式为：</w:t>
      </w:r>
      <w:r>
        <w:rPr>
          <w:rFonts w:hint="eastAsia"/>
          <w:sz w:val="24"/>
        </w:rPr>
        <w:t>现场</w:t>
      </w:r>
      <w:r>
        <w:rPr>
          <w:sz w:val="24"/>
        </w:rPr>
        <w:t>服务</w:t>
      </w:r>
      <w:r>
        <w:rPr>
          <w:rFonts w:hint="eastAsia" w:ascii="宋体" w:hAnsi="宋体"/>
          <w:sz w:val="24"/>
        </w:rPr>
        <w:t>。</w:t>
      </w:r>
    </w:p>
    <w:p>
      <w:pPr>
        <w:spacing w:line="360" w:lineRule="auto"/>
        <w:rPr>
          <w:rFonts w:ascii="宋体" w:hAnsi="宋体"/>
          <w:sz w:val="24"/>
        </w:rPr>
      </w:pPr>
      <w:r>
        <w:rPr>
          <w:rFonts w:hint="eastAsia" w:ascii="宋体" w:hAnsi="宋体"/>
          <w:sz w:val="24"/>
        </w:rPr>
        <w:t>6.1.1交货时间：合同签订后60个工作日内完成交货</w:t>
      </w:r>
    </w:p>
    <w:p>
      <w:pPr>
        <w:snapToGrid w:val="0"/>
        <w:spacing w:line="360" w:lineRule="auto"/>
        <w:rPr>
          <w:rFonts w:ascii="宋体" w:hAnsi="宋体"/>
          <w:sz w:val="24"/>
        </w:rPr>
      </w:pPr>
      <w:r>
        <w:rPr>
          <w:rFonts w:hint="eastAsia" w:ascii="宋体" w:hAnsi="宋体"/>
          <w:sz w:val="24"/>
        </w:rPr>
        <w:t>9.1、付款条件：合同签订后7个工作日内，卖方需向买方交付合同总额5%的履约保证金。之后，买方向卖方支付合同总金额的30％，即人民币        元（大写：人民币          元）。当项目完成到工作量的约80%时，买方向卖方支付合同总金额的50％。项目达到买方满意后，买方向卖方支付合同总金额的20％，在此之前乙方交付总金额5%的履约保证金同时自动转为质量保证金。</w:t>
      </w:r>
    </w:p>
    <w:p>
      <w:pPr>
        <w:snapToGrid w:val="0"/>
        <w:spacing w:line="360" w:lineRule="auto"/>
        <w:rPr>
          <w:rFonts w:hAnsi="宋体"/>
          <w:sz w:val="24"/>
          <w:szCs w:val="22"/>
        </w:rPr>
      </w:pPr>
      <w:r>
        <w:rPr>
          <w:rFonts w:hint="eastAsia" w:ascii="宋体" w:hAnsi="宋体"/>
          <w:sz w:val="24"/>
        </w:rPr>
        <w:t>质量保证金于最终验收合格之日起一年后，如卖方未出现任何违约行为，买方无息退还质保金</w:t>
      </w:r>
      <w:r>
        <w:rPr>
          <w:rFonts w:hint="eastAsia" w:ascii="宋体" w:hAnsi="宋体"/>
          <w:bCs/>
          <w:color w:val="000000"/>
          <w:sz w:val="24"/>
        </w:rPr>
        <w:t>。</w:t>
      </w:r>
    </w:p>
    <w:p>
      <w:pPr>
        <w:snapToGrid w:val="0"/>
        <w:spacing w:line="360" w:lineRule="auto"/>
        <w:rPr>
          <w:rFonts w:hAnsi="宋体"/>
          <w:sz w:val="24"/>
          <w:szCs w:val="22"/>
        </w:rPr>
      </w:pPr>
    </w:p>
    <w:p>
      <w:pPr>
        <w:snapToGrid w:val="0"/>
        <w:spacing w:line="360" w:lineRule="auto"/>
        <w:rPr>
          <w:rFonts w:ascii="宋体" w:hAnsi="宋体"/>
          <w:sz w:val="24"/>
        </w:rPr>
      </w:pPr>
      <w:r>
        <w:rPr>
          <w:rFonts w:hint="eastAsia" w:ascii="宋体" w:hAnsi="宋体"/>
          <w:sz w:val="24"/>
        </w:rPr>
        <w:t>11、质量保证：</w:t>
      </w:r>
    </w:p>
    <w:p>
      <w:pPr>
        <w:spacing w:line="360" w:lineRule="auto"/>
        <w:rPr>
          <w:rFonts w:ascii="宋体" w:hAnsi="宋体"/>
          <w:sz w:val="24"/>
        </w:rPr>
      </w:pPr>
      <w:r>
        <w:rPr>
          <w:rFonts w:hint="eastAsia" w:ascii="宋体" w:hAnsi="宋体"/>
          <w:sz w:val="24"/>
        </w:rPr>
        <w:t>11.3 如果卖方在收到通知后</w:t>
      </w:r>
      <w:r>
        <w:rPr>
          <w:rFonts w:hint="eastAsia" w:ascii="宋体" w:hAnsi="宋体"/>
          <w:sz w:val="24"/>
          <w:u w:val="single"/>
        </w:rPr>
        <w:t xml:space="preserve"> 7</w:t>
      </w:r>
      <w:r>
        <w:rPr>
          <w:rFonts w:hint="eastAsia" w:ascii="宋体" w:hAnsi="宋体"/>
          <w:sz w:val="24"/>
        </w:rPr>
        <w:t>天内没有弥补缺陷，买方可采取必要的补救措施，但风险和费用将由卖方承担。</w:t>
      </w:r>
    </w:p>
    <w:p>
      <w:pPr>
        <w:spacing w:line="360" w:lineRule="auto"/>
        <w:rPr>
          <w:rFonts w:ascii="宋体" w:hAnsi="宋体"/>
          <w:sz w:val="24"/>
        </w:rPr>
      </w:pPr>
      <w:r>
        <w:rPr>
          <w:rFonts w:hint="eastAsia" w:ascii="宋体" w:hAnsi="宋体"/>
          <w:sz w:val="24"/>
        </w:rPr>
        <w:t>11.5合同项下服务的质量保证期为自服务通过最终验收起至少不低于18个月。（</w:t>
      </w:r>
      <w:r>
        <w:rPr>
          <w:rFonts w:hint="eastAsia" w:ascii="宋体" w:hAnsi="宋体"/>
          <w:b/>
          <w:bCs/>
          <w:sz w:val="24"/>
        </w:rPr>
        <w:t>如有特殊要求，则以“技术规格”中的要求为准</w:t>
      </w:r>
      <w:r>
        <w:rPr>
          <w:rFonts w:hint="eastAsia" w:ascii="宋体" w:hAnsi="宋体"/>
          <w:sz w:val="24"/>
        </w:rPr>
        <w:t>）。</w:t>
      </w:r>
    </w:p>
    <w:p>
      <w:pPr>
        <w:spacing w:line="360" w:lineRule="auto"/>
        <w:rPr>
          <w:rFonts w:ascii="宋体" w:hAnsi="宋体"/>
          <w:sz w:val="24"/>
        </w:rPr>
      </w:pPr>
      <w:r>
        <w:rPr>
          <w:rFonts w:hint="eastAsia" w:ascii="宋体" w:hAnsi="宋体"/>
          <w:sz w:val="24"/>
        </w:rPr>
        <w:t>注：甲方拥有本合同项下委托制作项目的全部知识产权</w:t>
      </w:r>
    </w:p>
    <w:p>
      <w:pPr>
        <w:spacing w:line="360" w:lineRule="auto"/>
        <w:rPr>
          <w:rFonts w:ascii="宋体" w:hAnsi="宋体"/>
          <w:sz w:val="24"/>
        </w:rPr>
        <w:sectPr>
          <w:pgSz w:w="11907" w:h="16840"/>
          <w:pgMar w:top="1400" w:right="1811" w:bottom="1089" w:left="1276" w:header="851" w:footer="1117" w:gutter="0"/>
          <w:cols w:space="720" w:num="1"/>
          <w:titlePg/>
          <w:docGrid w:linePitch="312" w:charSpace="0"/>
        </w:sectPr>
      </w:pPr>
    </w:p>
    <w:p>
      <w:pPr>
        <w:spacing w:line="360" w:lineRule="auto"/>
        <w:rPr>
          <w:rFonts w:ascii="宋体" w:hAnsi="宋体"/>
          <w:sz w:val="24"/>
        </w:rPr>
      </w:pPr>
    </w:p>
    <w:bookmarkEnd w:id="150"/>
    <w:p>
      <w:pPr>
        <w:pStyle w:val="2"/>
        <w:spacing w:line="360" w:lineRule="auto"/>
        <w:rPr>
          <w:rFonts w:hAnsi="宋体"/>
          <w:sz w:val="24"/>
          <w:szCs w:val="24"/>
        </w:rPr>
      </w:pPr>
      <w:bookmarkStart w:id="294" w:name="_Toc366858498"/>
      <w:bookmarkStart w:id="295" w:name="_Toc310195760"/>
      <w:bookmarkStart w:id="296" w:name="_Toc497905875"/>
      <w:r>
        <w:rPr>
          <w:rFonts w:hint="eastAsia" w:hAnsi="宋体"/>
          <w:sz w:val="24"/>
          <w:szCs w:val="24"/>
        </w:rPr>
        <w:t>第八章合同格式</w:t>
      </w:r>
      <w:bookmarkEnd w:id="294"/>
      <w:bookmarkEnd w:id="295"/>
      <w:r>
        <w:rPr>
          <w:rFonts w:hint="eastAsia" w:hAnsi="宋体"/>
          <w:sz w:val="24"/>
          <w:szCs w:val="24"/>
        </w:rPr>
        <w:t>（参考）</w:t>
      </w:r>
      <w:bookmarkEnd w:id="296"/>
    </w:p>
    <w:p>
      <w:pPr>
        <w:rPr>
          <w:rFonts w:ascii="仿宋" w:hAnsi="仿宋" w:eastAsia="仿宋"/>
          <w:b/>
          <w:bCs/>
          <w:sz w:val="30"/>
          <w:szCs w:val="30"/>
        </w:rPr>
      </w:pPr>
      <w:r>
        <w:rPr>
          <w:rFonts w:ascii="仿宋" w:hAnsi="仿宋" w:eastAsia="仿宋"/>
          <w:b/>
          <w:bCs/>
          <w:sz w:val="30"/>
          <w:szCs w:val="30"/>
        </w:rPr>
        <w:t>合同登记编号：</w:t>
      </w:r>
    </w:p>
    <w:tbl>
      <w:tblPr>
        <w:tblStyle w:val="50"/>
        <w:tblpPr w:leftFromText="180" w:rightFromText="180" w:vertAnchor="text" w:horzAnchor="margin" w:tblpY="314"/>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414"/>
        <w:gridCol w:w="414"/>
        <w:gridCol w:w="414"/>
        <w:gridCol w:w="314"/>
        <w:gridCol w:w="414"/>
        <w:gridCol w:w="414"/>
        <w:gridCol w:w="414"/>
        <w:gridCol w:w="397"/>
        <w:gridCol w:w="320"/>
        <w:gridCol w:w="415"/>
        <w:gridCol w:w="415"/>
        <w:gridCol w:w="415"/>
        <w:gridCol w:w="415"/>
        <w:gridCol w:w="415"/>
        <w:gridCol w:w="415"/>
        <w:gridCol w:w="415"/>
        <w:gridCol w:w="43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430"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314" w:type="dxa"/>
            <w:tcBorders>
              <w:top w:val="nil"/>
              <w:bottom w:val="nil"/>
            </w:tcBorders>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397" w:type="dxa"/>
            <w:tcBorders>
              <w:top w:val="single" w:color="auto" w:sz="4" w:space="0"/>
              <w:bottom w:val="single" w:color="auto" w:sz="4" w:space="0"/>
            </w:tcBorders>
          </w:tcPr>
          <w:p>
            <w:pPr>
              <w:jc w:val="center"/>
              <w:rPr>
                <w:rFonts w:ascii="仿宋" w:hAnsi="仿宋" w:eastAsia="仿宋"/>
                <w:b/>
                <w:bCs/>
                <w:sz w:val="32"/>
              </w:rPr>
            </w:pPr>
          </w:p>
        </w:tc>
        <w:tc>
          <w:tcPr>
            <w:tcW w:w="320" w:type="dxa"/>
            <w:tcBorders>
              <w:top w:val="nil"/>
              <w:bottom w:val="nil"/>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Borders>
              <w:top w:val="nil"/>
              <w:bottom w:val="nil"/>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Pr>
          <w:p>
            <w:pPr>
              <w:rPr>
                <w:rFonts w:ascii="仿宋" w:hAnsi="仿宋" w:eastAsia="仿宋"/>
                <w:b/>
                <w:bCs/>
                <w:sz w:val="32"/>
              </w:rPr>
            </w:pPr>
          </w:p>
        </w:tc>
        <w:tc>
          <w:tcPr>
            <w:tcW w:w="415" w:type="dxa"/>
          </w:tcPr>
          <w:p>
            <w:pPr>
              <w:rPr>
                <w:rFonts w:ascii="仿宋" w:hAnsi="仿宋" w:eastAsia="仿宋"/>
                <w:b/>
                <w:bCs/>
                <w:sz w:val="32"/>
              </w:rPr>
            </w:pPr>
          </w:p>
        </w:tc>
        <w:tc>
          <w:tcPr>
            <w:tcW w:w="430" w:type="dxa"/>
          </w:tcPr>
          <w:p>
            <w:pPr>
              <w:rPr>
                <w:rFonts w:ascii="仿宋" w:hAnsi="仿宋" w:eastAsia="仿宋"/>
                <w:b/>
                <w:bCs/>
                <w:sz w:val="32"/>
              </w:rPr>
            </w:pPr>
          </w:p>
        </w:tc>
        <w:tc>
          <w:tcPr>
            <w:tcW w:w="400" w:type="dxa"/>
          </w:tcPr>
          <w:p>
            <w:pPr>
              <w:rPr>
                <w:rFonts w:ascii="仿宋" w:hAnsi="仿宋" w:eastAsia="仿宋"/>
                <w:b/>
                <w:bCs/>
                <w:sz w:val="32"/>
              </w:rPr>
            </w:pPr>
          </w:p>
        </w:tc>
      </w:tr>
    </w:tbl>
    <w:p>
      <w:pPr>
        <w:jc w:val="center"/>
        <w:rPr>
          <w:rFonts w:ascii="仿宋" w:hAnsi="仿宋" w:eastAsia="仿宋"/>
          <w:sz w:val="32"/>
        </w:rPr>
      </w:pPr>
      <w:r>
        <w:rPr>
          <w:rFonts w:ascii="仿宋" w:hAnsi="仿宋" w:eastAsia="仿宋"/>
          <w:sz w:val="32"/>
        </w:rPr>
        <w:t xml:space="preserve">        </w:t>
      </w:r>
    </w:p>
    <w:p>
      <w:pPr>
        <w:rPr>
          <w:rFonts w:ascii="仿宋" w:hAnsi="仿宋" w:eastAsia="仿宋"/>
          <w:sz w:val="32"/>
        </w:rPr>
      </w:pPr>
      <w:r>
        <w:rPr>
          <w:rFonts w:ascii="仿宋" w:hAnsi="仿宋" w:eastAsia="仿宋"/>
          <w:sz w:val="32"/>
        </w:rPr>
        <w:t xml:space="preserve">                   </w:t>
      </w:r>
    </w:p>
    <w:p>
      <w:pPr>
        <w:rPr>
          <w:rFonts w:ascii="仿宋" w:hAnsi="仿宋" w:eastAsia="仿宋"/>
          <w:sz w:val="32"/>
        </w:rPr>
      </w:pPr>
      <w:r>
        <w:rPr>
          <w:rFonts w:ascii="仿宋" w:hAnsi="仿宋" w:eastAsia="仿宋"/>
          <w:sz w:val="32"/>
        </w:rPr>
        <w:t xml:space="preserve">                  </w:t>
      </w:r>
    </w:p>
    <w:p>
      <w:pPr>
        <w:jc w:val="center"/>
        <w:rPr>
          <w:rFonts w:asciiTheme="minorEastAsia" w:hAnsiTheme="minorEastAsia" w:eastAsiaTheme="minorEastAsia"/>
          <w:b/>
          <w:bCs/>
          <w:spacing w:val="208"/>
          <w:sz w:val="36"/>
          <w:szCs w:val="36"/>
        </w:rPr>
      </w:pPr>
      <w:r>
        <w:rPr>
          <w:rFonts w:asciiTheme="minorEastAsia" w:hAnsiTheme="minorEastAsia" w:eastAsiaTheme="minorEastAsia"/>
          <w:b/>
          <w:bCs/>
          <w:spacing w:val="208"/>
          <w:sz w:val="36"/>
          <w:szCs w:val="36"/>
        </w:rPr>
        <w:t>技术服务合同</w:t>
      </w:r>
    </w:p>
    <w:p>
      <w:pPr>
        <w:jc w:val="center"/>
        <w:rPr>
          <w:rFonts w:ascii="仿宋" w:hAnsi="仿宋" w:eastAsia="仿宋"/>
          <w:b/>
          <w:bCs/>
          <w:spacing w:val="208"/>
          <w:sz w:val="44"/>
        </w:rPr>
      </w:pPr>
    </w:p>
    <w:p>
      <w:pPr>
        <w:jc w:val="center"/>
        <w:outlineLvl w:val="0"/>
        <w:rPr>
          <w:rFonts w:asciiTheme="minorEastAsia" w:hAnsiTheme="minorEastAsia" w:eastAsiaTheme="minorEastAsia"/>
          <w:sz w:val="30"/>
        </w:rPr>
      </w:pPr>
      <w:bookmarkStart w:id="297" w:name="_Toc497905876"/>
      <w:r>
        <w:rPr>
          <w:rFonts w:asciiTheme="minorEastAsia" w:hAnsiTheme="minorEastAsia" w:eastAsiaTheme="minorEastAsia"/>
          <w:sz w:val="30"/>
        </w:rPr>
        <w:t>（含技术培训、技术中介）</w:t>
      </w:r>
      <w:bookmarkEnd w:id="297"/>
    </w:p>
    <w:p>
      <w:pPr>
        <w:rPr>
          <w:rFonts w:ascii="仿宋" w:hAnsi="仿宋" w:eastAsia="仿宋"/>
          <w:sz w:val="32"/>
        </w:rPr>
      </w:pPr>
    </w:p>
    <w:p>
      <w:pPr>
        <w:rPr>
          <w:rFonts w:ascii="仿宋" w:hAnsi="仿宋" w:eastAsia="仿宋"/>
          <w:sz w:val="32"/>
        </w:rPr>
      </w:pPr>
    </w:p>
    <w:p>
      <w:pPr>
        <w:rPr>
          <w:rFonts w:ascii="仿宋" w:hAnsi="仿宋" w:eastAsia="仿宋"/>
          <w:sz w:val="32"/>
        </w:rPr>
      </w:pPr>
    </w:p>
    <w:p>
      <w:pPr>
        <w:ind w:firstLine="1200" w:firstLineChars="40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项目名称：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u w:val="single"/>
        </w:rPr>
      </w:pP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u w:val="single"/>
        </w:rPr>
        <w:t xml:space="preserve"> </w:t>
      </w:r>
    </w:p>
    <w:p>
      <w:pPr>
        <w:ind w:firstLine="1200" w:firstLineChars="400"/>
        <w:rPr>
          <w:rFonts w:asciiTheme="minorEastAsia" w:hAnsiTheme="minorEastAsia" w:eastAsiaTheme="minorEastAsia"/>
          <w:sz w:val="30"/>
          <w:szCs w:val="30"/>
        </w:rPr>
      </w:pPr>
      <w:r>
        <w:rPr>
          <w:rFonts w:hint="eastAsia" w:asciiTheme="minorEastAsia" w:hAnsiTheme="minorEastAsia" w:eastAsiaTheme="minorEastAsia"/>
          <w:sz w:val="30"/>
          <w:szCs w:val="30"/>
        </w:rPr>
        <w:t>委托方(买方)</w:t>
      </w: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ind w:firstLine="1200" w:firstLineChars="400"/>
        <w:rPr>
          <w:rFonts w:asciiTheme="minorEastAsia" w:hAnsiTheme="minorEastAsia" w:eastAsiaTheme="minorEastAsia"/>
          <w:sz w:val="30"/>
          <w:szCs w:val="30"/>
        </w:rPr>
      </w:pPr>
      <w:r>
        <w:rPr>
          <w:rFonts w:hint="eastAsia" w:asciiTheme="minorEastAsia" w:hAnsiTheme="minorEastAsia" w:eastAsiaTheme="minorEastAsia"/>
          <w:sz w:val="30"/>
          <w:szCs w:val="30"/>
        </w:rPr>
        <w:t>受托方(卖方)</w:t>
      </w: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ind w:firstLine="1200" w:firstLineChars="400"/>
        <w:rPr>
          <w:rFonts w:asciiTheme="minorEastAsia" w:hAnsiTheme="minorEastAsia" w:eastAsiaTheme="minorEastAsia"/>
          <w:sz w:val="30"/>
          <w:szCs w:val="30"/>
        </w:rPr>
      </w:pPr>
      <w:r>
        <w:rPr>
          <w:rFonts w:asciiTheme="minorEastAsia" w:hAnsiTheme="minorEastAsia" w:eastAsiaTheme="minorEastAsia"/>
          <w:sz w:val="30"/>
          <w:szCs w:val="30"/>
        </w:rPr>
        <w:t>签订地点：        省（市）         市、县（区）</w:t>
      </w:r>
    </w:p>
    <w:p>
      <w:pPr>
        <w:rPr>
          <w:rFonts w:asciiTheme="minorEastAsia" w:hAnsiTheme="minorEastAsia" w:eastAsiaTheme="minorEastAsia"/>
          <w:sz w:val="30"/>
          <w:szCs w:val="30"/>
        </w:rPr>
      </w:pPr>
    </w:p>
    <w:p>
      <w:pPr>
        <w:ind w:firstLine="1200" w:firstLineChars="400"/>
        <w:rPr>
          <w:rFonts w:asciiTheme="minorEastAsia" w:hAnsiTheme="minorEastAsia" w:eastAsiaTheme="minorEastAsia"/>
          <w:sz w:val="30"/>
          <w:szCs w:val="30"/>
        </w:rPr>
      </w:pPr>
      <w:r>
        <w:rPr>
          <w:rFonts w:asciiTheme="minorEastAsia" w:hAnsiTheme="minorEastAsia" w:eastAsiaTheme="minorEastAsia"/>
          <w:sz w:val="30"/>
          <w:szCs w:val="30"/>
        </w:rPr>
        <w:t>有效期限：        年     月     日至年    月     日</w:t>
      </w:r>
    </w:p>
    <w:p>
      <w:pPr>
        <w:tabs>
          <w:tab w:val="left" w:pos="2280"/>
        </w:tabs>
        <w:rPr>
          <w:rFonts w:asciiTheme="minorEastAsia" w:hAnsiTheme="minorEastAsia" w:eastAsiaTheme="minorEastAsia"/>
          <w:spacing w:val="62"/>
          <w:sz w:val="30"/>
          <w:szCs w:val="30"/>
        </w:rPr>
      </w:pPr>
      <w:r>
        <w:rPr>
          <w:rFonts w:asciiTheme="minorEastAsia" w:hAnsiTheme="minorEastAsia" w:eastAsiaTheme="minorEastAsia"/>
          <w:sz w:val="30"/>
          <w:szCs w:val="30"/>
        </w:rPr>
        <w:tab/>
      </w:r>
    </w:p>
    <w:p>
      <w:pPr>
        <w:ind w:firstLine="1200" w:firstLineChars="400"/>
        <w:rPr>
          <w:rFonts w:asciiTheme="minorEastAsia" w:hAnsiTheme="minorEastAsia" w:eastAsiaTheme="minorEastAsia"/>
          <w:sz w:val="32"/>
        </w:rPr>
      </w:pPr>
      <w:r>
        <w:rPr>
          <w:rFonts w:asciiTheme="minorEastAsia" w:hAnsiTheme="minorEastAsia" w:eastAsiaTheme="minorEastAsia"/>
          <w:sz w:val="30"/>
          <w:szCs w:val="30"/>
        </w:rPr>
        <w:t>签订日期：        年     月     日</w:t>
      </w:r>
    </w:p>
    <w:p>
      <w:pPr>
        <w:jc w:val="center"/>
        <w:rPr>
          <w:rFonts w:asciiTheme="minorEastAsia" w:hAnsiTheme="minorEastAsia" w:eastAsiaTheme="minorEastAsia"/>
          <w:spacing w:val="68"/>
          <w:sz w:val="36"/>
        </w:rPr>
      </w:pPr>
    </w:p>
    <w:p>
      <w:pPr>
        <w:jc w:val="center"/>
        <w:rPr>
          <w:rFonts w:asciiTheme="minorEastAsia" w:hAnsiTheme="minorEastAsia" w:eastAsiaTheme="minorEastAsia"/>
          <w:spacing w:val="62"/>
          <w:sz w:val="28"/>
        </w:rPr>
      </w:pPr>
      <w:r>
        <w:rPr>
          <w:rFonts w:asciiTheme="minorEastAsia" w:hAnsiTheme="minorEastAsia" w:eastAsiaTheme="minorEastAsia"/>
          <w:spacing w:val="62"/>
          <w:sz w:val="28"/>
        </w:rPr>
        <w:t>北京技术市场管理办公室</w:t>
      </w:r>
    </w:p>
    <w:p>
      <w:pPr>
        <w:jc w:val="center"/>
        <w:rPr>
          <w:spacing w:val="68"/>
          <w:sz w:val="36"/>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依据《中华人民共和国合同法》的规定，合同双方就＿＿＿＿＿＿＿＿＿＿＿＿＿＿＿＿＿＿＿＿＿项目的技术服务（该项目属＿＿＿＿＿＿＿＿＿＿＿＿＿计划</w:t>
      </w:r>
      <w:r>
        <w:rPr>
          <w:rFonts w:hint="eastAsia" w:cs="宋体" w:asciiTheme="minorEastAsia" w:hAnsiTheme="minorEastAsia" w:eastAsiaTheme="minorEastAsia"/>
          <w:sz w:val="24"/>
        </w:rPr>
        <w:t>※</w:t>
      </w:r>
      <w:r>
        <w:rPr>
          <w:rFonts w:asciiTheme="minorEastAsia" w:hAnsiTheme="minorEastAsia" w:eastAsiaTheme="minorEastAsia"/>
          <w:sz w:val="24"/>
        </w:rPr>
        <w:t>）经协商一致，签订本合同。</w:t>
      </w:r>
    </w:p>
    <w:p>
      <w:pPr>
        <w:pStyle w:val="118"/>
        <w:numPr>
          <w:ilvl w:val="0"/>
          <w:numId w:val="16"/>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合同文件</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下列文件构成本合同的组成部分，应该认为是一个整体，彼此相互解释，相互补充。为便于解释，组成合同的多个文件的优先支配地位的次序如下：</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（一）</w:t>
      </w:r>
      <w:r>
        <w:rPr>
          <w:rFonts w:hint="eastAsia" w:asciiTheme="minorEastAsia" w:hAnsiTheme="minorEastAsia" w:eastAsiaTheme="minorEastAsia"/>
          <w:sz w:val="24"/>
        </w:rPr>
        <w:tab/>
      </w:r>
      <w:r>
        <w:rPr>
          <w:rFonts w:hint="eastAsia" w:asciiTheme="minorEastAsia" w:hAnsiTheme="minorEastAsia" w:eastAsiaTheme="minorEastAsia"/>
          <w:sz w:val="24"/>
        </w:rPr>
        <w:t>本技术服务合同</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（二）</w:t>
      </w:r>
      <w:r>
        <w:rPr>
          <w:rFonts w:hint="eastAsia" w:asciiTheme="minorEastAsia" w:hAnsiTheme="minorEastAsia" w:eastAsiaTheme="minorEastAsia"/>
          <w:sz w:val="24"/>
        </w:rPr>
        <w:tab/>
      </w:r>
      <w:r>
        <w:rPr>
          <w:rFonts w:hint="eastAsia" w:asciiTheme="minorEastAsia" w:hAnsiTheme="minorEastAsia" w:eastAsiaTheme="minorEastAsia"/>
          <w:sz w:val="24"/>
        </w:rPr>
        <w:t>中标通知书</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（三）</w:t>
      </w:r>
      <w:r>
        <w:rPr>
          <w:rFonts w:hint="eastAsia" w:asciiTheme="minorEastAsia" w:hAnsiTheme="minorEastAsia" w:eastAsiaTheme="minorEastAsia"/>
          <w:sz w:val="24"/>
        </w:rPr>
        <w:tab/>
      </w:r>
      <w:r>
        <w:rPr>
          <w:rFonts w:hint="eastAsia" w:asciiTheme="minorEastAsia" w:hAnsiTheme="minorEastAsia" w:eastAsiaTheme="minorEastAsia"/>
          <w:sz w:val="24"/>
        </w:rPr>
        <w:t>补充协议</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（四）</w:t>
      </w:r>
      <w:r>
        <w:rPr>
          <w:rFonts w:hint="eastAsia" w:asciiTheme="minorEastAsia" w:hAnsiTheme="minorEastAsia" w:eastAsiaTheme="minorEastAsia"/>
          <w:sz w:val="24"/>
        </w:rPr>
        <w:tab/>
      </w:r>
      <w:r>
        <w:rPr>
          <w:rFonts w:hint="eastAsia" w:asciiTheme="minorEastAsia" w:hAnsiTheme="minorEastAsia" w:eastAsiaTheme="minorEastAsia"/>
          <w:sz w:val="24"/>
        </w:rPr>
        <w:t>投标文件</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(含澄清文件)</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（五）</w:t>
      </w:r>
      <w:r>
        <w:rPr>
          <w:rFonts w:hint="eastAsia" w:asciiTheme="minorEastAsia" w:hAnsiTheme="minorEastAsia" w:eastAsiaTheme="minorEastAsia"/>
          <w:sz w:val="24"/>
        </w:rPr>
        <w:tab/>
      </w:r>
      <w:r>
        <w:rPr>
          <w:rFonts w:hint="eastAsia" w:asciiTheme="minorEastAsia" w:hAnsiTheme="minorEastAsia" w:eastAsiaTheme="minorEastAsia"/>
          <w:sz w:val="24"/>
        </w:rPr>
        <w:t>招标文件</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(含招标文件补充通知)</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服务内容、形式和要求</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工作条件和协作事项</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履行期限、地点和方式</w:t>
      </w:r>
    </w:p>
    <w:p>
      <w:pPr>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本合同</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asciiTheme="minorEastAsia" w:hAnsiTheme="minorEastAsia" w:eastAsiaTheme="minorEastAsia"/>
          <w:sz w:val="24"/>
        </w:rPr>
        <w:t>月</w:t>
      </w:r>
      <w:r>
        <w:rPr>
          <w:rFonts w:asciiTheme="minorEastAsia" w:hAnsiTheme="minorEastAsia" w:eastAsiaTheme="minorEastAsia"/>
          <w:sz w:val="24"/>
          <w:u w:val="single"/>
        </w:rPr>
        <w:t xml:space="preserve">   </w:t>
      </w:r>
      <w:r>
        <w:rPr>
          <w:rFonts w:asciiTheme="minorEastAsia" w:hAnsiTheme="minorEastAsia" w:eastAsiaTheme="minorEastAsia"/>
          <w:sz w:val="24"/>
        </w:rPr>
        <w:t>日至</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asciiTheme="minorEastAsia" w:hAnsiTheme="minorEastAsia" w:eastAsiaTheme="minorEastAsia"/>
          <w:sz w:val="24"/>
        </w:rPr>
        <w:t>月</w:t>
      </w:r>
      <w:r>
        <w:rPr>
          <w:rFonts w:asciiTheme="minorEastAsia" w:hAnsiTheme="minorEastAsia" w:eastAsiaTheme="minorEastAsia"/>
          <w:sz w:val="24"/>
          <w:u w:val="single"/>
        </w:rPr>
        <w:t xml:space="preserve">   </w:t>
      </w:r>
      <w:r>
        <w:rPr>
          <w:rFonts w:asciiTheme="minorEastAsia" w:hAnsiTheme="minorEastAsia" w:eastAsiaTheme="minorEastAsia"/>
          <w:sz w:val="24"/>
        </w:rPr>
        <w:t>日在</w:t>
      </w:r>
      <w:r>
        <w:rPr>
          <w:rFonts w:asciiTheme="minorEastAsia" w:hAnsiTheme="minorEastAsia" w:eastAsiaTheme="minorEastAsia"/>
          <w:sz w:val="24"/>
          <w:u w:val="single"/>
        </w:rPr>
        <w:t xml:space="preserve">             </w:t>
      </w:r>
      <w:r>
        <w:rPr>
          <w:rFonts w:asciiTheme="minorEastAsia" w:hAnsiTheme="minorEastAsia" w:eastAsiaTheme="minorEastAsia"/>
          <w:sz w:val="24"/>
        </w:rPr>
        <w:t>履行。</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验收标准和方式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技术服务或者技术培训按</w:t>
      </w:r>
      <w:r>
        <w:rPr>
          <w:rFonts w:asciiTheme="minorEastAsia" w:hAnsiTheme="minorEastAsia" w:eastAsiaTheme="minorEastAsia"/>
          <w:sz w:val="24"/>
          <w:u w:val="single"/>
        </w:rPr>
        <w:t xml:space="preserve">            </w:t>
      </w:r>
      <w:r>
        <w:rPr>
          <w:rFonts w:asciiTheme="minorEastAsia" w:hAnsiTheme="minorEastAsia" w:eastAsiaTheme="minorEastAsia"/>
          <w:sz w:val="24"/>
        </w:rPr>
        <w:t>标准，采用</w:t>
      </w:r>
      <w:r>
        <w:rPr>
          <w:rFonts w:asciiTheme="minorEastAsia" w:hAnsiTheme="minorEastAsia" w:eastAsiaTheme="minorEastAsia"/>
          <w:sz w:val="24"/>
          <w:u w:val="single"/>
        </w:rPr>
        <w:t xml:space="preserve">               </w:t>
      </w:r>
      <w:r>
        <w:rPr>
          <w:rFonts w:asciiTheme="minorEastAsia" w:hAnsiTheme="minorEastAsia" w:eastAsiaTheme="minorEastAsia"/>
          <w:sz w:val="24"/>
        </w:rPr>
        <w:t>方式验收，由</w:t>
      </w:r>
      <w:r>
        <w:rPr>
          <w:rFonts w:asciiTheme="minorEastAsia" w:hAnsiTheme="minorEastAsia" w:eastAsiaTheme="minorEastAsia"/>
          <w:sz w:val="24"/>
          <w:u w:val="single"/>
        </w:rPr>
        <w:t xml:space="preserve">                   </w:t>
      </w:r>
      <w:r>
        <w:rPr>
          <w:rFonts w:asciiTheme="minorEastAsia" w:hAnsiTheme="minorEastAsia" w:eastAsiaTheme="minorEastAsia"/>
          <w:sz w:val="24"/>
        </w:rPr>
        <w:t>出具服务或者培训项目验收证明。</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本合同服务项目的保证期为</w:t>
      </w:r>
      <w:r>
        <w:rPr>
          <w:rFonts w:hint="eastAsia" w:asciiTheme="minorEastAsia" w:hAnsiTheme="minorEastAsia" w:eastAsiaTheme="minorEastAsia"/>
          <w:sz w:val="24"/>
          <w:u w:val="single"/>
        </w:rPr>
        <w:t>18个月</w:t>
      </w:r>
      <w:r>
        <w:rPr>
          <w:rFonts w:asciiTheme="minorEastAsia" w:hAnsiTheme="minorEastAsia" w:eastAsiaTheme="minorEastAsia"/>
          <w:sz w:val="24"/>
        </w:rPr>
        <w:t>。在保证期内发现服务缺陷的，乙方应当负责返工或者采取补救措施。但因甲方使用、保管不当引起的问题除外。</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报酬及其支付方式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（一）本项目报酬（技术服务报酬、培训或者中介报酬，大写）：</w:t>
      </w:r>
      <w:r>
        <w:rPr>
          <w:rFonts w:asciiTheme="minorEastAsia" w:hAnsiTheme="minorEastAsia" w:eastAsiaTheme="minorEastAsia"/>
          <w:sz w:val="24"/>
          <w:u w:val="single"/>
        </w:rPr>
        <w:t xml:space="preserve">  </w:t>
      </w:r>
      <w:r>
        <w:rPr>
          <w:rFonts w:asciiTheme="minorEastAsia" w:hAnsiTheme="minorEastAsia" w:eastAsiaTheme="minorEastAsia"/>
          <w:sz w:val="24"/>
        </w:rPr>
        <w:t>元。</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（二）支付方式</w:t>
      </w:r>
    </w:p>
    <w:p>
      <w:pPr>
        <w:snapToGrid w:val="0"/>
        <w:spacing w:line="360" w:lineRule="auto"/>
        <w:rPr>
          <w:rFonts w:ascii="宋体" w:hAnsi="宋体"/>
          <w:sz w:val="24"/>
          <w:highlight w:val="none"/>
        </w:rPr>
      </w:pPr>
      <w:r>
        <w:rPr>
          <w:rFonts w:hint="eastAsia" w:ascii="宋体" w:hAnsi="宋体"/>
          <w:sz w:val="24"/>
          <w:highlight w:val="none"/>
        </w:rPr>
        <w:t>合同签订后7个工作日内，卖方需向买方交付合同总额5%的履约保证金。之后，买方向卖方支付合同总金额的30％，即人民币        元（大写：人民币          元）。当项目完成到工作量的约80%时，买方向卖方支付合同总金额的50％。项目达到买方满意后，买方向卖方支付合同总金额的20％，在</w:t>
      </w:r>
      <w:bookmarkStart w:id="347" w:name="_GoBack"/>
      <w:bookmarkEnd w:id="347"/>
      <w:r>
        <w:rPr>
          <w:rFonts w:hint="eastAsia" w:ascii="宋体" w:hAnsi="宋体"/>
          <w:sz w:val="24"/>
          <w:highlight w:val="none"/>
        </w:rPr>
        <w:t>此之前乙方交付总金额5%的履约保证金同时自动转为质量保证金。</w:t>
      </w:r>
    </w:p>
    <w:p>
      <w:pPr>
        <w:snapToGrid w:val="0"/>
        <w:spacing w:line="360" w:lineRule="auto"/>
        <w:rPr>
          <w:rFonts w:hAnsi="宋体"/>
          <w:sz w:val="24"/>
          <w:szCs w:val="22"/>
          <w:highlight w:val="yellow"/>
        </w:rPr>
      </w:pPr>
      <w:r>
        <w:rPr>
          <w:rFonts w:hint="eastAsia" w:ascii="宋体" w:hAnsi="宋体"/>
          <w:sz w:val="24"/>
          <w:highlight w:val="none"/>
        </w:rPr>
        <w:t>质量保证金于最终验收合格之日起一年后，如卖方未出现任何违约行为，买方无息退还质保金</w:t>
      </w:r>
      <w:r>
        <w:rPr>
          <w:rFonts w:hint="eastAsia" w:ascii="宋体" w:hAnsi="宋体"/>
          <w:bCs/>
          <w:color w:val="000000"/>
          <w:sz w:val="24"/>
          <w:highlight w:val="none"/>
        </w:rPr>
        <w:t>。</w:t>
      </w:r>
    </w:p>
    <w:p>
      <w:pPr>
        <w:numPr>
          <w:ilvl w:val="0"/>
          <w:numId w:val="16"/>
        </w:numPr>
        <w:spacing w:line="360" w:lineRule="auto"/>
        <w:rPr>
          <w:rFonts w:asciiTheme="minorEastAsia" w:hAnsiTheme="minorEastAsia" w:eastAsiaTheme="minorEastAsia"/>
          <w:sz w:val="24"/>
        </w:rPr>
      </w:pPr>
      <w:r>
        <w:rPr>
          <w:rFonts w:hint="eastAsia" w:asciiTheme="minorEastAsia" w:hAnsiTheme="minorEastAsia" w:eastAsiaTheme="minorEastAsia"/>
          <w:sz w:val="24"/>
        </w:rPr>
        <w:t>本合同技术服务时间及服务地点</w:t>
      </w:r>
    </w:p>
    <w:p>
      <w:pPr>
        <w:spacing w:before="120" w:line="360" w:lineRule="auto"/>
        <w:ind w:firstLine="480"/>
        <w:rPr>
          <w:rFonts w:ascii="宋体" w:hAnsi="宋体"/>
          <w:sz w:val="24"/>
        </w:rPr>
      </w:pPr>
      <w:r>
        <w:rPr>
          <w:rFonts w:hint="eastAsia" w:ascii="宋体" w:hAnsi="宋体"/>
          <w:sz w:val="24"/>
        </w:rPr>
        <w:t xml:space="preserve">时间：                               </w:t>
      </w:r>
      <w:r>
        <w:rPr>
          <w:rFonts w:ascii="宋体" w:hAnsi="宋体"/>
          <w:sz w:val="24"/>
        </w:rPr>
        <w:t xml:space="preserve"> </w:t>
      </w:r>
    </w:p>
    <w:p>
      <w:pPr>
        <w:spacing w:line="360" w:lineRule="auto"/>
        <w:ind w:firstLine="480" w:firstLineChars="200"/>
        <w:rPr>
          <w:rFonts w:asciiTheme="minorEastAsia" w:hAnsiTheme="minorEastAsia" w:eastAsiaTheme="minorEastAsia"/>
          <w:sz w:val="24"/>
        </w:rPr>
      </w:pPr>
      <w:r>
        <w:rPr>
          <w:rFonts w:hint="eastAsia" w:ascii="宋体" w:hAnsi="宋体"/>
          <w:sz w:val="24"/>
        </w:rPr>
        <w:t>地点：</w:t>
      </w:r>
      <w:r>
        <w:rPr>
          <w:rFonts w:hint="eastAsia" w:ascii="宋体" w:hAnsi="宋体"/>
          <w:sz w:val="24"/>
          <w:u w:val="single"/>
        </w:rPr>
        <w:t xml:space="preserve">                                 </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违约金或者损失赔偿额的计算</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违反本合同约定，违约方应当按照《中华人民共和国合同法》有关条款的规定承担违约责任。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（一）违反本合同第</w:t>
      </w:r>
      <w:r>
        <w:rPr>
          <w:rFonts w:asciiTheme="minorEastAsia" w:hAnsiTheme="minorEastAsia" w:eastAsiaTheme="minorEastAsia"/>
          <w:sz w:val="24"/>
          <w:u w:val="single"/>
        </w:rPr>
        <w:t xml:space="preserve">               </w:t>
      </w:r>
      <w:r>
        <w:rPr>
          <w:rFonts w:asciiTheme="minorEastAsia" w:hAnsiTheme="minorEastAsia" w:eastAsiaTheme="minorEastAsia"/>
          <w:sz w:val="24"/>
        </w:rPr>
        <w:t>条约定，</w:t>
      </w:r>
      <w:r>
        <w:rPr>
          <w:rFonts w:asciiTheme="minorEastAsia" w:hAnsiTheme="minorEastAsia" w:eastAsiaTheme="minorEastAsia"/>
          <w:sz w:val="24"/>
          <w:u w:val="single"/>
        </w:rPr>
        <w:t xml:space="preserve">         </w:t>
      </w:r>
      <w:r>
        <w:rPr>
          <w:rFonts w:asciiTheme="minorEastAsia" w:hAnsiTheme="minorEastAsia" w:eastAsiaTheme="minorEastAsia"/>
          <w:sz w:val="24"/>
        </w:rPr>
        <w:t>方应承担以下违约责任：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（二）违反本合同第</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条约定， </w:t>
      </w:r>
      <w:r>
        <w:rPr>
          <w:rFonts w:asciiTheme="minorEastAsia" w:hAnsiTheme="minorEastAsia" w:eastAsiaTheme="minorEastAsia"/>
          <w:sz w:val="24"/>
          <w:u w:val="single"/>
        </w:rPr>
        <w:t xml:space="preserve">        </w:t>
      </w:r>
      <w:r>
        <w:rPr>
          <w:rFonts w:asciiTheme="minorEastAsia" w:hAnsiTheme="minorEastAsia" w:eastAsiaTheme="minorEastAsia"/>
          <w:sz w:val="24"/>
        </w:rPr>
        <w:t>方应承担以下违约责任：</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解决合同纠纷的方式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在履行本合同的过程中发生争议，双方当事人和解或调解不成，可采取仲裁或按司法程序解决。</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（一）双方同意由</w:t>
      </w:r>
      <w:r>
        <w:rPr>
          <w:rFonts w:asciiTheme="minorEastAsia" w:hAnsiTheme="minorEastAsia" w:eastAsiaTheme="minorEastAsia"/>
          <w:sz w:val="24"/>
          <w:u w:val="single"/>
        </w:rPr>
        <w:t xml:space="preserve">                    </w:t>
      </w:r>
      <w:r>
        <w:rPr>
          <w:rFonts w:asciiTheme="minorEastAsia" w:hAnsiTheme="minorEastAsia" w:eastAsiaTheme="minorEastAsia"/>
          <w:sz w:val="24"/>
        </w:rPr>
        <w:t>仲裁委员会仲裁。</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（二）双方约定向（被告住所地、合同履行地、合同签订地、原告住所地、标的物所在地）的人民法院起诉。</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其它</w:t>
      </w:r>
      <w:r>
        <w:rPr>
          <w:rFonts w:hint="eastAsia" w:asciiTheme="minorEastAsia" w:hAnsiTheme="minorEastAsia" w:eastAsiaTheme="minorEastAsia"/>
          <w:sz w:val="24"/>
        </w:rPr>
        <w:t>条款</w:t>
      </w:r>
    </w:p>
    <w:p>
      <w:pPr>
        <w:spacing w:line="520" w:lineRule="exact"/>
        <w:rPr>
          <w:rFonts w:ascii="仿宋" w:hAnsi="仿宋" w:eastAsia="仿宋"/>
          <w:sz w:val="24"/>
        </w:rPr>
      </w:pPr>
    </w:p>
    <w:p>
      <w:pPr>
        <w:spacing w:line="520" w:lineRule="exact"/>
        <w:rPr>
          <w:rFonts w:asciiTheme="minorEastAsia" w:hAnsiTheme="minorEastAsia" w:eastAsiaTheme="minorEastAsia"/>
          <w:b/>
          <w:bCs/>
          <w:spacing w:val="72"/>
          <w:sz w:val="24"/>
          <w:u w:val="wavyDouble"/>
        </w:rPr>
      </w:pPr>
    </w:p>
    <w:p>
      <w:pPr>
        <w:spacing w:line="520" w:lineRule="exact"/>
        <w:jc w:val="center"/>
        <w:rPr>
          <w:rFonts w:ascii="仿宋" w:hAnsi="仿宋" w:eastAsia="仿宋"/>
          <w:sz w:val="24"/>
        </w:rPr>
      </w:pPr>
      <w:r>
        <w:rPr>
          <w:rFonts w:hint="eastAsia" w:asciiTheme="minorEastAsia" w:hAnsiTheme="minorEastAsia" w:eastAsiaTheme="minorEastAsia"/>
          <w:sz w:val="24"/>
        </w:rPr>
        <w:t>——以下无正文——</w:t>
      </w: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sectPr>
          <w:pgSz w:w="11907" w:h="16840"/>
          <w:pgMar w:top="1400" w:right="1811" w:bottom="1089" w:left="1276" w:header="851" w:footer="1117" w:gutter="0"/>
          <w:cols w:space="720" w:num="1"/>
          <w:titlePg/>
          <w:docGrid w:linePitch="312" w:charSpace="0"/>
        </w:sectPr>
      </w:pPr>
    </w:p>
    <w:tbl>
      <w:tblPr>
        <w:tblStyle w:val="50"/>
        <w:tblpPr w:leftFromText="180" w:rightFromText="180" w:horzAnchor="margin" w:tblpXSpec="center" w:tblpY="479"/>
        <w:tblW w:w="903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5"/>
        <w:gridCol w:w="2962"/>
        <w:gridCol w:w="898"/>
        <w:gridCol w:w="1419"/>
        <w:gridCol w:w="990"/>
        <w:gridCol w:w="19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785" w:type="dxa"/>
            <w:vMerge w:val="restart"/>
            <w:tcBorders>
              <w:top w:val="single" w:color="auto" w:sz="4" w:space="0"/>
              <w:left w:val="single" w:color="auto" w:sz="4" w:space="0"/>
              <w:bottom w:val="single" w:color="auto" w:sz="6" w:space="0"/>
              <w:right w:val="single" w:color="auto" w:sz="6" w:space="0"/>
            </w:tcBorders>
            <w:textDirection w:val="tbRlV"/>
            <w:vAlign w:val="center"/>
          </w:tcPr>
          <w:p>
            <w:pPr>
              <w:spacing w:line="520" w:lineRule="exact"/>
              <w:ind w:left="113" w:right="113"/>
              <w:jc w:val="center"/>
              <w:rPr>
                <w:rFonts w:asciiTheme="minorEastAsia" w:hAnsiTheme="minorEastAsia" w:eastAsiaTheme="minorEastAsia"/>
                <w:spacing w:val="90"/>
                <w:sz w:val="24"/>
              </w:rPr>
            </w:pPr>
            <w:r>
              <w:rPr>
                <w:rFonts w:hint="eastAsia" w:asciiTheme="minorEastAsia" w:hAnsiTheme="minorEastAsia" w:eastAsiaTheme="minorEastAsia"/>
                <w:spacing w:val="90"/>
                <w:sz w:val="24"/>
              </w:rPr>
              <w:t>委托人（甲方）</w:t>
            </w:r>
          </w:p>
        </w:tc>
        <w:tc>
          <w:tcPr>
            <w:tcW w:w="2962" w:type="dxa"/>
            <w:tcBorders>
              <w:top w:val="single" w:color="auto" w:sz="4"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名称（或姓名）</w:t>
            </w:r>
          </w:p>
        </w:tc>
        <w:tc>
          <w:tcPr>
            <w:tcW w:w="3307" w:type="dxa"/>
            <w:gridSpan w:val="3"/>
            <w:tcBorders>
              <w:top w:val="single" w:color="auto" w:sz="4" w:space="0"/>
              <w:left w:val="single" w:color="auto" w:sz="6" w:space="0"/>
              <w:bottom w:val="single" w:color="auto" w:sz="6" w:space="0"/>
              <w:right w:val="single" w:color="auto" w:sz="6" w:space="0"/>
            </w:tcBorders>
            <w:vAlign w:val="center"/>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restart"/>
            <w:tcBorders>
              <w:top w:val="single" w:color="auto" w:sz="4" w:space="0"/>
              <w:left w:val="single" w:color="auto" w:sz="6" w:space="0"/>
              <w:bottom w:val="single" w:color="auto" w:sz="6" w:space="0"/>
              <w:right w:val="single" w:color="auto" w:sz="4"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10"/>
                <w:sz w:val="24"/>
              </w:rPr>
              <w:t>单位公章</w:t>
            </w:r>
          </w:p>
          <w:p>
            <w:pPr>
              <w:spacing w:line="520" w:lineRule="exact"/>
              <w:jc w:val="center"/>
              <w:rPr>
                <w:rFonts w:asciiTheme="minorEastAsia" w:hAnsiTheme="minorEastAsia" w:eastAsiaTheme="minorEastAsia"/>
                <w:spacing w:val="10"/>
                <w:sz w:val="24"/>
              </w:rPr>
            </w:pPr>
          </w:p>
          <w:p>
            <w:pPr>
              <w:spacing w:line="520" w:lineRule="exact"/>
              <w:jc w:val="center"/>
              <w:rPr>
                <w:rFonts w:asciiTheme="minorEastAsia" w:hAnsiTheme="minorEastAsia" w:eastAsiaTheme="minorEastAsia"/>
                <w:spacing w:val="10"/>
                <w:sz w:val="24"/>
              </w:rPr>
            </w:pPr>
          </w:p>
          <w:p>
            <w:pPr>
              <w:spacing w:line="520" w:lineRule="exact"/>
              <w:jc w:val="center"/>
              <w:rPr>
                <w:rFonts w:asciiTheme="minorEastAsia" w:hAnsiTheme="minorEastAsia" w:eastAsiaTheme="minorEastAsia"/>
                <w:spacing w:val="10"/>
                <w:sz w:val="24"/>
              </w:rPr>
            </w:pPr>
          </w:p>
          <w:p>
            <w:pPr>
              <w:spacing w:line="520" w:lineRule="exact"/>
              <w:jc w:val="center"/>
              <w:rPr>
                <w:rFonts w:asciiTheme="minorEastAsia" w:hAnsiTheme="minorEastAsia" w:eastAsiaTheme="minorEastAsia"/>
                <w:spacing w:val="10"/>
                <w:sz w:val="24"/>
              </w:rPr>
            </w:pPr>
          </w:p>
          <w:p>
            <w:pPr>
              <w:spacing w:line="520" w:lineRule="exact"/>
              <w:rPr>
                <w:rFonts w:asciiTheme="minorEastAsia" w:hAnsiTheme="minorEastAsia" w:eastAsiaTheme="minorEastAsia"/>
                <w:spacing w:val="10"/>
                <w:sz w:val="24"/>
              </w:rPr>
            </w:pPr>
          </w:p>
          <w:p>
            <w:pPr>
              <w:spacing w:line="520" w:lineRule="exact"/>
              <w:ind w:firstLine="321" w:firstLineChars="141"/>
              <w:rPr>
                <w:rFonts w:asciiTheme="minorEastAsia" w:hAnsiTheme="minorEastAsia" w:eastAsiaTheme="minorEastAsia"/>
                <w:spacing w:val="-6"/>
                <w:sz w:val="24"/>
              </w:rPr>
            </w:pPr>
            <w:r>
              <w:rPr>
                <w:rFonts w:hint="eastAsia" w:asciiTheme="minorEastAsia" w:hAnsiTheme="minorEastAsia" w:eastAsiaTheme="minorEastAsia"/>
                <w:spacing w:val="-6"/>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法定代表人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委托代理人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ind w:left="-676" w:leftChars="-322"/>
              <w:jc w:val="center"/>
              <w:rPr>
                <w:rFonts w:asciiTheme="minorEastAsia" w:hAnsiTheme="minorEastAsia" w:eastAsiaTheme="minorEastAsia"/>
                <w:sz w:val="24"/>
              </w:rPr>
            </w:pPr>
            <w:r>
              <w:rPr>
                <w:rFonts w:hint="eastAsia" w:asciiTheme="minorEastAsia" w:hAnsiTheme="minorEastAsia" w:eastAsiaTheme="minorEastAsia"/>
                <w:sz w:val="24"/>
              </w:rPr>
              <w:t xml:space="preserve">  联系（经办人）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34"/>
                <w:sz w:val="24"/>
              </w:rPr>
            </w:pPr>
            <w:r>
              <w:rPr>
                <w:rFonts w:hint="eastAsia" w:asciiTheme="minorEastAsia" w:hAnsiTheme="minorEastAsia" w:eastAsiaTheme="minorEastAsia"/>
                <w:spacing w:val="34"/>
                <w:sz w:val="24"/>
              </w:rPr>
              <w:t>住所</w:t>
            </w:r>
          </w:p>
          <w:p>
            <w:pPr>
              <w:spacing w:line="520" w:lineRule="exact"/>
              <w:jc w:val="center"/>
              <w:rPr>
                <w:rFonts w:asciiTheme="minorEastAsia" w:hAnsiTheme="minorEastAsia" w:eastAsiaTheme="minorEastAsia"/>
                <w:spacing w:val="16"/>
                <w:sz w:val="24"/>
              </w:rPr>
            </w:pPr>
            <w:r>
              <w:rPr>
                <w:rFonts w:hint="eastAsia" w:asciiTheme="minorEastAsia" w:hAnsiTheme="minorEastAsia" w:eastAsiaTheme="minorEastAsia"/>
                <w:spacing w:val="16"/>
                <w:sz w:val="24"/>
              </w:rPr>
              <w:t>（通讯地址）</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pacing w:val="8"/>
                <w:sz w:val="24"/>
              </w:rPr>
            </w:pPr>
            <w:r>
              <w:rPr>
                <w:rFonts w:hint="eastAsia" w:asciiTheme="minorEastAsia" w:hAnsiTheme="minorEastAsia" w:eastAsiaTheme="minorEastAsia"/>
                <w:spacing w:val="8"/>
                <w:sz w:val="24"/>
              </w:rPr>
              <w:t>邮政编码</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28"/>
                <w:sz w:val="24"/>
              </w:rPr>
            </w:pPr>
            <w:r>
              <w:rPr>
                <w:rFonts w:hint="eastAsia" w:asciiTheme="minorEastAsia" w:hAnsiTheme="minorEastAsia" w:eastAsiaTheme="minorEastAsia"/>
                <w:spacing w:val="28"/>
                <w:sz w:val="24"/>
              </w:rPr>
              <w:t>电话</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传真</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38"/>
                <w:sz w:val="24"/>
              </w:rPr>
            </w:pPr>
            <w:r>
              <w:rPr>
                <w:rFonts w:hint="eastAsia" w:asciiTheme="minorEastAsia" w:hAnsiTheme="minorEastAsia" w:eastAsiaTheme="minorEastAsia"/>
                <w:spacing w:val="38"/>
                <w:sz w:val="24"/>
              </w:rPr>
              <w:t>帐号</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785" w:type="dxa"/>
            <w:vMerge w:val="restart"/>
            <w:tcBorders>
              <w:top w:val="single" w:color="auto" w:sz="6" w:space="0"/>
              <w:left w:val="single" w:color="auto" w:sz="4" w:space="0"/>
              <w:bottom w:val="single" w:color="auto" w:sz="4" w:space="0"/>
              <w:right w:val="single" w:color="auto" w:sz="6" w:space="0"/>
            </w:tcBorders>
            <w:textDirection w:val="tbRlV"/>
            <w:vAlign w:val="center"/>
          </w:tcPr>
          <w:p>
            <w:pPr>
              <w:spacing w:line="520" w:lineRule="exact"/>
              <w:ind w:left="113" w:right="113"/>
              <w:jc w:val="center"/>
              <w:rPr>
                <w:rFonts w:asciiTheme="minorEastAsia" w:hAnsiTheme="minorEastAsia" w:eastAsiaTheme="minorEastAsia"/>
                <w:spacing w:val="42"/>
                <w:sz w:val="24"/>
              </w:rPr>
            </w:pPr>
            <w:r>
              <w:rPr>
                <w:rFonts w:hint="eastAsia" w:asciiTheme="minorEastAsia" w:hAnsiTheme="minorEastAsia" w:eastAsiaTheme="minorEastAsia"/>
                <w:spacing w:val="42"/>
                <w:sz w:val="24"/>
              </w:rPr>
              <w:t>受托人（乙方）</w:t>
            </w:r>
          </w:p>
        </w:tc>
        <w:tc>
          <w:tcPr>
            <w:tcW w:w="2962"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名称（或姓名）</w:t>
            </w:r>
          </w:p>
        </w:tc>
        <w:tc>
          <w:tcPr>
            <w:tcW w:w="3307" w:type="dxa"/>
            <w:gridSpan w:val="3"/>
            <w:tcBorders>
              <w:top w:val="single" w:color="auto" w:sz="6" w:space="0"/>
              <w:left w:val="single" w:color="auto" w:sz="6" w:space="0"/>
              <w:bottom w:val="single" w:color="auto" w:sz="6" w:space="0"/>
              <w:right w:val="single" w:color="auto" w:sz="6" w:space="0"/>
            </w:tcBorders>
            <w:vAlign w:val="center"/>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restart"/>
            <w:tcBorders>
              <w:top w:val="single" w:color="auto" w:sz="6" w:space="0"/>
              <w:left w:val="single" w:color="auto" w:sz="6" w:space="0"/>
              <w:bottom w:val="single" w:color="auto" w:sz="4" w:space="0"/>
              <w:right w:val="single" w:color="auto" w:sz="4"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10"/>
                <w:sz w:val="24"/>
              </w:rPr>
              <w:t>单位公章</w:t>
            </w: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ind w:firstLine="275" w:firstLineChars="121"/>
              <w:rPr>
                <w:rFonts w:asciiTheme="minorEastAsia" w:hAnsiTheme="minorEastAsia" w:eastAsiaTheme="minorEastAsia"/>
                <w:sz w:val="24"/>
              </w:rPr>
            </w:pPr>
            <w:r>
              <w:rPr>
                <w:rFonts w:hint="eastAsia" w:asciiTheme="minorEastAsia" w:hAnsiTheme="minorEastAsia" w:eastAsiaTheme="minorEastAsia"/>
                <w:spacing w:val="-6"/>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法定代表人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委托代理人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联系（经办人）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34"/>
                <w:sz w:val="24"/>
              </w:rPr>
            </w:pPr>
            <w:r>
              <w:rPr>
                <w:rFonts w:hint="eastAsia" w:asciiTheme="minorEastAsia" w:hAnsiTheme="minorEastAsia" w:eastAsiaTheme="minorEastAsia"/>
                <w:spacing w:val="34"/>
                <w:sz w:val="24"/>
              </w:rPr>
              <w:t>住所</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16"/>
                <w:sz w:val="24"/>
              </w:rPr>
              <w:t>（通讯地址）</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pacing w:val="8"/>
                <w:sz w:val="24"/>
              </w:rPr>
              <w:t>邮政编码</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42"/>
                <w:sz w:val="24"/>
              </w:rPr>
            </w:pPr>
            <w:r>
              <w:rPr>
                <w:rFonts w:hint="eastAsia" w:asciiTheme="minorEastAsia" w:hAnsiTheme="minorEastAsia" w:eastAsiaTheme="minorEastAsia"/>
                <w:spacing w:val="42"/>
                <w:sz w:val="24"/>
              </w:rPr>
              <w:t>电话</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传真</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4"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38"/>
                <w:sz w:val="24"/>
              </w:rPr>
              <w:t>帐号</w:t>
            </w:r>
          </w:p>
        </w:tc>
        <w:tc>
          <w:tcPr>
            <w:tcW w:w="3307" w:type="dxa"/>
            <w:gridSpan w:val="3"/>
            <w:tcBorders>
              <w:top w:val="single" w:color="auto" w:sz="6" w:space="0"/>
              <w:left w:val="single" w:color="auto" w:sz="6" w:space="0"/>
              <w:bottom w:val="single" w:color="auto" w:sz="4"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bl>
    <w:p>
      <w:pPr>
        <w:spacing w:line="520" w:lineRule="exact"/>
        <w:rPr>
          <w:rFonts w:ascii="仿宋" w:hAnsi="仿宋" w:eastAsia="仿宋"/>
          <w:b/>
          <w:bCs/>
          <w:spacing w:val="72"/>
          <w:sz w:val="24"/>
          <w:u w:val="wavyDouble"/>
        </w:rPr>
      </w:pPr>
    </w:p>
    <w:p>
      <w:pPr>
        <w:spacing w:line="520" w:lineRule="exact"/>
        <w:rPr>
          <w:rFonts w:asciiTheme="minorEastAsia" w:hAnsiTheme="minorEastAsia" w:eastAsiaTheme="minorEastAsia"/>
          <w:b/>
          <w:bCs/>
          <w:spacing w:val="72"/>
          <w:sz w:val="24"/>
          <w:u w:val="wavyDouble"/>
        </w:rPr>
      </w:pP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pPr>
    </w:p>
    <w:p>
      <w:pPr>
        <w:spacing w:line="520" w:lineRule="exact"/>
        <w:jc w:val="center"/>
        <w:rPr>
          <w:rFonts w:asciiTheme="minorEastAsia" w:hAnsiTheme="minorEastAsia" w:eastAsiaTheme="minorEastAsia"/>
          <w:b/>
          <w:bCs/>
          <w:spacing w:val="72"/>
          <w:sz w:val="24"/>
          <w:u w:val="wavyDouble"/>
        </w:rPr>
      </w:pPr>
      <w:r>
        <w:rPr>
          <w:rFonts w:ascii="仿宋" w:hAnsi="仿宋" w:eastAsia="仿宋"/>
          <w:b/>
          <w:bCs/>
          <w:spacing w:val="72"/>
          <w:sz w:val="24"/>
          <w:u w:val="wavyDouble"/>
        </w:rPr>
        <w:br w:type="page"/>
      </w:r>
      <w:r>
        <w:rPr>
          <w:rFonts w:asciiTheme="minorEastAsia" w:hAnsiTheme="minorEastAsia" w:eastAsiaTheme="minorEastAsia"/>
          <w:b/>
          <w:bCs/>
          <w:spacing w:val="72"/>
          <w:sz w:val="24"/>
          <w:u w:val="wavyDouble"/>
        </w:rPr>
        <w:t>印花税票粘贴处</w:t>
      </w:r>
    </w:p>
    <w:p>
      <w:pPr>
        <w:spacing w:line="520" w:lineRule="exact"/>
        <w:rPr>
          <w:rFonts w:ascii="仿宋" w:hAnsi="仿宋" w:eastAsia="仿宋"/>
          <w:b/>
          <w:bCs/>
          <w:spacing w:val="72"/>
          <w:sz w:val="24"/>
        </w:rPr>
      </w:pPr>
    </w:p>
    <w:p>
      <w:pPr>
        <w:spacing w:line="520" w:lineRule="exact"/>
        <w:rPr>
          <w:rFonts w:ascii="仿宋" w:hAnsi="仿宋" w:eastAsia="仿宋"/>
          <w:b/>
          <w:bCs/>
          <w:spacing w:val="72"/>
          <w:sz w:val="24"/>
        </w:rPr>
      </w:pPr>
    </w:p>
    <w:tbl>
      <w:tblPr>
        <w:tblStyle w:val="50"/>
        <w:tblpPr w:leftFromText="180" w:rightFromText="180" w:vertAnchor="text" w:horzAnchor="margin" w:tblpXSpec="center" w:tblpY="210"/>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5" w:hRule="atLeast"/>
        </w:trPr>
        <w:tc>
          <w:tcPr>
            <w:tcW w:w="8312" w:type="dxa"/>
          </w:tcPr>
          <w:p>
            <w:pPr>
              <w:spacing w:line="520" w:lineRule="exact"/>
              <w:rPr>
                <w:rFonts w:asciiTheme="minorEastAsia" w:hAnsiTheme="minorEastAsia" w:eastAsiaTheme="minorEastAsia"/>
                <w:spacing w:val="18"/>
                <w:sz w:val="24"/>
              </w:rPr>
            </w:pPr>
            <w:r>
              <w:rPr>
                <w:rFonts w:asciiTheme="minorEastAsia" w:hAnsiTheme="minorEastAsia" w:eastAsiaTheme="minorEastAsia"/>
                <w:spacing w:val="18"/>
                <w:sz w:val="24"/>
              </w:rPr>
              <w:t>登记机关审查登记栏：</w:t>
            </w: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r>
              <w:rPr>
                <w:rFonts w:asciiTheme="minorEastAsia" w:hAnsiTheme="minorEastAsia" w:eastAsiaTheme="minorEastAsia"/>
                <w:spacing w:val="18"/>
                <w:sz w:val="24"/>
              </w:rPr>
              <w:t>经办人：          技术合同登记处机关（专用章）</w:t>
            </w:r>
          </w:p>
          <w:p>
            <w:pPr>
              <w:spacing w:line="520" w:lineRule="exact"/>
              <w:rPr>
                <w:rFonts w:asciiTheme="minorEastAsia" w:hAnsiTheme="minorEastAsia" w:eastAsiaTheme="minorEastAsia"/>
                <w:spacing w:val="18"/>
                <w:sz w:val="24"/>
              </w:rPr>
            </w:pPr>
            <w:r>
              <w:rPr>
                <w:rFonts w:asciiTheme="minorEastAsia" w:hAnsiTheme="minorEastAsia" w:eastAsiaTheme="minorEastAsia"/>
                <w:spacing w:val="18"/>
                <w:sz w:val="24"/>
              </w:rPr>
              <w:t xml:space="preserve">                          年   月   日</w:t>
            </w:r>
          </w:p>
        </w:tc>
      </w:tr>
    </w:tbl>
    <w:p/>
    <w:p>
      <w:pPr>
        <w:spacing w:before="120" w:line="360" w:lineRule="auto"/>
        <w:rPr>
          <w:rFonts w:ascii="宋体" w:hAnsi="宋体"/>
          <w:sz w:val="24"/>
        </w:rPr>
        <w:sectPr>
          <w:pgSz w:w="11907" w:h="16840"/>
          <w:pgMar w:top="1400" w:right="1811" w:bottom="1089" w:left="1276" w:header="851" w:footer="1117" w:gutter="0"/>
          <w:cols w:space="720" w:num="1"/>
          <w:titlePg/>
          <w:docGrid w:linePitch="312" w:charSpace="0"/>
        </w:sectPr>
      </w:pPr>
    </w:p>
    <w:p>
      <w:pPr>
        <w:spacing w:before="120" w:line="360" w:lineRule="auto"/>
        <w:jc w:val="center"/>
        <w:outlineLvl w:val="0"/>
        <w:rPr>
          <w:b/>
          <w:kern w:val="44"/>
          <w:sz w:val="28"/>
          <w:szCs w:val="28"/>
        </w:rPr>
      </w:pPr>
      <w:bookmarkStart w:id="298" w:name="_Toc310195761"/>
      <w:bookmarkStart w:id="299" w:name="_Toc497905877"/>
      <w:bookmarkStart w:id="300" w:name="_Toc480942349"/>
      <w:bookmarkStart w:id="301" w:name="_Toc520356217"/>
      <w:bookmarkStart w:id="302" w:name="_Ref467988698"/>
      <w:bookmarkStart w:id="303" w:name="_Toc236642990"/>
      <w:r>
        <w:rPr>
          <w:rFonts w:hint="eastAsia"/>
          <w:b/>
          <w:kern w:val="44"/>
          <w:sz w:val="28"/>
          <w:szCs w:val="28"/>
        </w:rPr>
        <w:t>第九章  投标文件格式</w:t>
      </w:r>
      <w:bookmarkEnd w:id="298"/>
      <w:bookmarkEnd w:id="299"/>
    </w:p>
    <w:bookmarkEnd w:id="300"/>
    <w:bookmarkEnd w:id="301"/>
    <w:bookmarkEnd w:id="302"/>
    <w:bookmarkEnd w:id="303"/>
    <w:p>
      <w:pPr>
        <w:pStyle w:val="5"/>
        <w:tabs>
          <w:tab w:val="left" w:pos="900"/>
        </w:tabs>
        <w:spacing w:line="360" w:lineRule="auto"/>
        <w:jc w:val="center"/>
        <w:rPr>
          <w:rFonts w:hint="default"/>
          <w:sz w:val="24"/>
        </w:rPr>
      </w:pPr>
      <w:bookmarkStart w:id="304" w:name="_Toc497905878"/>
      <w:bookmarkStart w:id="305" w:name="_Toc310195762"/>
      <w:r>
        <w:rPr>
          <w:sz w:val="24"/>
        </w:rPr>
        <w:t>1 投 标 函</w:t>
      </w:r>
      <w:bookmarkEnd w:id="304"/>
      <w:bookmarkEnd w:id="305"/>
    </w:p>
    <w:p>
      <w:pPr>
        <w:tabs>
          <w:tab w:val="left" w:pos="5580"/>
        </w:tabs>
        <w:spacing w:before="120" w:line="360" w:lineRule="auto"/>
        <w:jc w:val="center"/>
        <w:rPr>
          <w:rFonts w:ascii="宋体" w:hAnsi="宋体"/>
          <w:b/>
          <w:sz w:val="24"/>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致：（采购代理机构）</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根据贵方为(项目名称)项目招标采购服务的投标邀请(项目编号),签字代表 (姓名、职务)经正式授权并代表投标人（投标人名称、地址）提交下述文件正本一份及副本份及电子文档____套：</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1.投标一览表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2.投标分项报价表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3.技术服务方案</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4.技术规格响应/偏离表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5.商务条款响应/偏离表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6.资格证明文件</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7.按招标文件投标须知和技术规格要求提供的其它有关文件</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8.以（支票/汇票）形式出具的投标保证金，金额为人民币（金额数和币种）。</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在此，签字代表宣布同意如下：</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1）所附投标价格表中规定的应提交和交付的货物投标总价为人民币（注明币种，并用文字和数字表示的投标总价）。</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2）投标人将按招标文件的规定履行合同责任和义务。</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3）投标人已详细审查全部招标文件。我们完全理解并同意放弃对这方面有不明及误解的权力。</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4）本投标有效期为自开标日起个日历日。</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5）在规定的开标时间后，投标人保证遵守招标文件中有关保证金的规定。</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6）根据投标须知第1条规定，我方承诺，与买方聘请的为此项目提供咨询服务的公司及任何附属机构均无关联，我方不是买方的附属机构。</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7）投标人同意提供按照贵方可能要求的与其投标有关的一切数据或资料，完全理解贵方不一定接受最低价的投标或收到的任何投标。</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8）与本投标有关的一切正式往来信函请寄：</w:t>
      </w:r>
    </w:p>
    <w:p>
      <w:pPr>
        <w:pStyle w:val="21"/>
        <w:tabs>
          <w:tab w:val="left" w:pos="5580"/>
        </w:tabs>
        <w:spacing w:line="360" w:lineRule="auto"/>
        <w:ind w:left="420"/>
        <w:jc w:val="left"/>
        <w:rPr>
          <w:rFonts w:hAnsi="宋体" w:cs="宋体"/>
          <w:sz w:val="24"/>
          <w:szCs w:val="24"/>
          <w:lang w:val="en-US"/>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地址：_________________________     传真：____________________________</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电话：_________________________     电子函件：________________________</w:t>
      </w:r>
    </w:p>
    <w:p>
      <w:pPr>
        <w:pStyle w:val="21"/>
        <w:tabs>
          <w:tab w:val="left" w:pos="5580"/>
        </w:tabs>
        <w:spacing w:line="360" w:lineRule="auto"/>
        <w:ind w:left="420"/>
        <w:jc w:val="left"/>
        <w:rPr>
          <w:rFonts w:hAnsi="宋体" w:cs="宋体"/>
          <w:sz w:val="24"/>
          <w:szCs w:val="24"/>
          <w:lang w:val="en-US"/>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投标人授权代表签字：_______________</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投标人名称：_______________________</w:t>
      </w:r>
    </w:p>
    <w:p>
      <w:pPr>
        <w:pStyle w:val="21"/>
        <w:tabs>
          <w:tab w:val="left" w:pos="5580"/>
        </w:tabs>
        <w:spacing w:line="360" w:lineRule="auto"/>
        <w:ind w:left="420"/>
        <w:jc w:val="left"/>
        <w:rPr>
          <w:rFonts w:hAnsi="宋体" w:cs="宋体"/>
          <w:sz w:val="24"/>
          <w:szCs w:val="24"/>
          <w:lang w:val="en-US"/>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开户名全称：</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开户银行：</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银行帐号：</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公    章：</w:t>
      </w:r>
    </w:p>
    <w:p>
      <w:pPr>
        <w:pStyle w:val="21"/>
        <w:tabs>
          <w:tab w:val="left" w:pos="5580"/>
        </w:tabs>
        <w:spacing w:line="360" w:lineRule="auto"/>
        <w:ind w:left="420"/>
        <w:jc w:val="left"/>
        <w:rPr>
          <w:rFonts w:hAnsi="宋体"/>
          <w:sz w:val="24"/>
          <w:u w:val="single"/>
        </w:rPr>
        <w:sectPr>
          <w:headerReference r:id="rId8" w:type="first"/>
          <w:footerReference r:id="rId9" w:type="first"/>
          <w:pgSz w:w="11907" w:h="16840"/>
          <w:pgMar w:top="1089" w:right="1418" w:bottom="1400" w:left="1418" w:header="851" w:footer="851" w:gutter="0"/>
          <w:cols w:space="720" w:num="1"/>
          <w:docGrid w:linePitch="462" w:charSpace="0"/>
        </w:sectPr>
      </w:pPr>
      <w:r>
        <w:rPr>
          <w:rFonts w:hint="eastAsia" w:hAnsi="宋体" w:cs="宋体"/>
          <w:sz w:val="24"/>
          <w:szCs w:val="24"/>
          <w:lang w:val="en-US"/>
        </w:rPr>
        <w:t>日    期：</w:t>
      </w:r>
    </w:p>
    <w:p>
      <w:pPr>
        <w:pStyle w:val="5"/>
        <w:spacing w:line="360" w:lineRule="auto"/>
        <w:ind w:left="899" w:hanging="899"/>
        <w:jc w:val="center"/>
        <w:rPr>
          <w:rFonts w:hint="default"/>
          <w:sz w:val="24"/>
        </w:rPr>
      </w:pPr>
      <w:bookmarkStart w:id="306" w:name="_Ref467988705"/>
      <w:bookmarkStart w:id="307" w:name="_Toc480942350"/>
      <w:bookmarkStart w:id="308" w:name="_Toc497905879"/>
      <w:bookmarkStart w:id="309" w:name="_Toc520356218"/>
      <w:bookmarkStart w:id="310" w:name="_Toc236642991"/>
      <w:bookmarkStart w:id="311" w:name="_Toc310195763"/>
      <w:r>
        <w:rPr>
          <w:sz w:val="24"/>
        </w:rPr>
        <w:t>2 投标一览表</w:t>
      </w:r>
      <w:bookmarkEnd w:id="306"/>
      <w:bookmarkEnd w:id="307"/>
      <w:bookmarkEnd w:id="308"/>
      <w:bookmarkEnd w:id="309"/>
      <w:bookmarkEnd w:id="310"/>
      <w:bookmarkEnd w:id="311"/>
    </w:p>
    <w:p>
      <w:pPr>
        <w:tabs>
          <w:tab w:val="left" w:pos="1800"/>
          <w:tab w:val="left" w:pos="5580"/>
        </w:tabs>
        <w:spacing w:line="360" w:lineRule="auto"/>
        <w:jc w:val="left"/>
        <w:rPr>
          <w:rFonts w:ascii="宋体" w:hAnsi="宋体"/>
          <w:sz w:val="24"/>
        </w:rPr>
      </w:pPr>
    </w:p>
    <w:p>
      <w:pPr>
        <w:tabs>
          <w:tab w:val="left" w:pos="1800"/>
          <w:tab w:val="left" w:pos="5580"/>
        </w:tabs>
        <w:spacing w:line="360" w:lineRule="auto"/>
        <w:ind w:firstLine="600" w:firstLineChars="250"/>
        <w:jc w:val="left"/>
        <w:rPr>
          <w:rFonts w:ascii="宋体" w:hAnsi="宋体"/>
          <w:sz w:val="24"/>
        </w:rPr>
      </w:pPr>
      <w:r>
        <w:rPr>
          <w:rFonts w:hint="eastAsia" w:ascii="宋体" w:hAnsi="宋体"/>
          <w:sz w:val="24"/>
        </w:rPr>
        <w:t>项目名称：                                                               项目编号：</w:t>
      </w:r>
    </w:p>
    <w:p>
      <w:pPr>
        <w:tabs>
          <w:tab w:val="left" w:pos="1800"/>
          <w:tab w:val="left" w:pos="5580"/>
        </w:tabs>
        <w:spacing w:line="360" w:lineRule="auto"/>
        <w:jc w:val="left"/>
        <w:rPr>
          <w:rFonts w:ascii="宋体" w:hAnsi="宋体"/>
          <w:sz w:val="24"/>
        </w:rPr>
      </w:pPr>
    </w:p>
    <w:tbl>
      <w:tblPr>
        <w:tblStyle w:val="50"/>
        <w:tblW w:w="132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148"/>
        <w:gridCol w:w="1363"/>
        <w:gridCol w:w="2464"/>
        <w:gridCol w:w="1276"/>
        <w:gridCol w:w="2388"/>
        <w:gridCol w:w="2126"/>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48"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投标人名称</w:t>
            </w:r>
          </w:p>
        </w:tc>
        <w:tc>
          <w:tcPr>
            <w:tcW w:w="3827" w:type="dxa"/>
            <w:gridSpan w:val="2"/>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投标总价</w:t>
            </w:r>
          </w:p>
          <w:p>
            <w:pPr>
              <w:tabs>
                <w:tab w:val="left" w:pos="5580"/>
              </w:tabs>
              <w:spacing w:line="360" w:lineRule="auto"/>
              <w:jc w:val="center"/>
              <w:rPr>
                <w:rFonts w:ascii="宋体" w:hAnsi="宋体"/>
                <w:sz w:val="24"/>
              </w:rPr>
            </w:pPr>
            <w:r>
              <w:rPr>
                <w:rFonts w:hint="eastAsia" w:ascii="宋体" w:hAnsi="宋体"/>
                <w:sz w:val="24"/>
              </w:rPr>
              <w:t>（大写/小写，单位：元）</w:t>
            </w:r>
          </w:p>
        </w:tc>
        <w:tc>
          <w:tcPr>
            <w:tcW w:w="1276"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投标保证金</w:t>
            </w:r>
          </w:p>
          <w:p>
            <w:pPr>
              <w:tabs>
                <w:tab w:val="left" w:pos="5580"/>
              </w:tabs>
              <w:spacing w:line="360" w:lineRule="auto"/>
              <w:jc w:val="center"/>
              <w:rPr>
                <w:rFonts w:ascii="宋体" w:hAnsi="宋体"/>
                <w:sz w:val="24"/>
              </w:rPr>
            </w:pPr>
            <w:r>
              <w:rPr>
                <w:rFonts w:hint="eastAsia" w:ascii="宋体" w:hAnsi="宋体"/>
                <w:sz w:val="24"/>
              </w:rPr>
              <w:t>（有/无）</w:t>
            </w:r>
          </w:p>
        </w:tc>
        <w:tc>
          <w:tcPr>
            <w:tcW w:w="2388"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服务期</w:t>
            </w:r>
          </w:p>
        </w:tc>
        <w:tc>
          <w:tcPr>
            <w:tcW w:w="2126"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服务地点</w:t>
            </w:r>
          </w:p>
        </w:tc>
        <w:tc>
          <w:tcPr>
            <w:tcW w:w="1440"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2148" w:type="dxa"/>
            <w:vMerge w:val="restart"/>
            <w:vAlign w:val="center"/>
          </w:tcPr>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tc>
        <w:tc>
          <w:tcPr>
            <w:tcW w:w="1363" w:type="dxa"/>
            <w:vAlign w:val="center"/>
          </w:tcPr>
          <w:p>
            <w:pPr>
              <w:tabs>
                <w:tab w:val="left" w:pos="5580"/>
              </w:tabs>
              <w:spacing w:line="360" w:lineRule="auto"/>
              <w:jc w:val="center"/>
              <w:rPr>
                <w:rFonts w:ascii="宋体" w:hAnsi="宋体"/>
                <w:sz w:val="24"/>
              </w:rPr>
            </w:pPr>
            <w:r>
              <w:rPr>
                <w:rFonts w:hint="eastAsia" w:ascii="宋体" w:hAnsi="宋体"/>
                <w:sz w:val="24"/>
              </w:rPr>
              <w:t>人民币小写：</w:t>
            </w:r>
          </w:p>
        </w:tc>
        <w:tc>
          <w:tcPr>
            <w:tcW w:w="2464" w:type="dxa"/>
            <w:vAlign w:val="center"/>
          </w:tcPr>
          <w:p>
            <w:pPr>
              <w:tabs>
                <w:tab w:val="left" w:pos="5580"/>
              </w:tabs>
              <w:spacing w:line="360" w:lineRule="auto"/>
              <w:jc w:val="center"/>
              <w:rPr>
                <w:rFonts w:ascii="宋体" w:hAnsi="宋体"/>
                <w:sz w:val="24"/>
              </w:rPr>
            </w:pPr>
          </w:p>
        </w:tc>
        <w:tc>
          <w:tcPr>
            <w:tcW w:w="1276" w:type="dxa"/>
            <w:vMerge w:val="restart"/>
            <w:vAlign w:val="center"/>
          </w:tcPr>
          <w:p>
            <w:pPr>
              <w:tabs>
                <w:tab w:val="left" w:pos="5580"/>
              </w:tabs>
              <w:spacing w:line="360" w:lineRule="auto"/>
              <w:jc w:val="center"/>
              <w:rPr>
                <w:rFonts w:ascii="宋体" w:hAnsi="宋体"/>
                <w:sz w:val="24"/>
              </w:rPr>
            </w:pPr>
          </w:p>
        </w:tc>
        <w:tc>
          <w:tcPr>
            <w:tcW w:w="2388" w:type="dxa"/>
            <w:vMerge w:val="restart"/>
            <w:vAlign w:val="center"/>
          </w:tcPr>
          <w:p>
            <w:pPr>
              <w:tabs>
                <w:tab w:val="left" w:pos="5580"/>
              </w:tabs>
              <w:spacing w:line="360" w:lineRule="auto"/>
              <w:jc w:val="center"/>
              <w:rPr>
                <w:rFonts w:ascii="宋体" w:hAnsi="宋体"/>
                <w:sz w:val="24"/>
              </w:rPr>
            </w:pPr>
          </w:p>
        </w:tc>
        <w:tc>
          <w:tcPr>
            <w:tcW w:w="2126" w:type="dxa"/>
            <w:vMerge w:val="restart"/>
            <w:vAlign w:val="center"/>
          </w:tcPr>
          <w:p>
            <w:pPr>
              <w:tabs>
                <w:tab w:val="left" w:pos="5580"/>
              </w:tabs>
              <w:spacing w:line="360" w:lineRule="auto"/>
              <w:jc w:val="center"/>
              <w:rPr>
                <w:rFonts w:ascii="宋体" w:hAnsi="宋体"/>
                <w:sz w:val="24"/>
              </w:rPr>
            </w:pPr>
          </w:p>
        </w:tc>
        <w:tc>
          <w:tcPr>
            <w:tcW w:w="1440" w:type="dxa"/>
            <w:vMerge w:val="restart"/>
            <w:vAlign w:val="center"/>
          </w:tcPr>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2148" w:type="dxa"/>
            <w:vMerge w:val="continue"/>
            <w:vAlign w:val="center"/>
          </w:tcPr>
          <w:p>
            <w:pPr>
              <w:tabs>
                <w:tab w:val="left" w:pos="5580"/>
              </w:tabs>
              <w:spacing w:line="360" w:lineRule="auto"/>
              <w:jc w:val="center"/>
              <w:rPr>
                <w:rFonts w:ascii="宋体" w:hAnsi="宋体"/>
                <w:sz w:val="24"/>
              </w:rPr>
            </w:pPr>
          </w:p>
        </w:tc>
        <w:tc>
          <w:tcPr>
            <w:tcW w:w="1363" w:type="dxa"/>
            <w:vAlign w:val="center"/>
          </w:tcPr>
          <w:p>
            <w:pPr>
              <w:tabs>
                <w:tab w:val="left" w:pos="5580"/>
              </w:tabs>
              <w:spacing w:line="360" w:lineRule="auto"/>
              <w:jc w:val="center"/>
              <w:rPr>
                <w:rFonts w:ascii="宋体" w:hAnsi="宋体"/>
                <w:sz w:val="24"/>
              </w:rPr>
            </w:pPr>
            <w:r>
              <w:rPr>
                <w:rFonts w:hint="eastAsia" w:ascii="宋体" w:hAnsi="宋体"/>
                <w:sz w:val="24"/>
              </w:rPr>
              <w:t>人民币大写：</w:t>
            </w:r>
          </w:p>
        </w:tc>
        <w:tc>
          <w:tcPr>
            <w:tcW w:w="2464" w:type="dxa"/>
            <w:vAlign w:val="center"/>
          </w:tcPr>
          <w:p>
            <w:pPr>
              <w:tabs>
                <w:tab w:val="left" w:pos="5580"/>
              </w:tabs>
              <w:spacing w:line="360" w:lineRule="auto"/>
              <w:jc w:val="center"/>
              <w:rPr>
                <w:rFonts w:ascii="宋体" w:hAnsi="宋体"/>
                <w:sz w:val="24"/>
              </w:rPr>
            </w:pPr>
          </w:p>
        </w:tc>
        <w:tc>
          <w:tcPr>
            <w:tcW w:w="1276" w:type="dxa"/>
            <w:vMerge w:val="continue"/>
            <w:vAlign w:val="center"/>
          </w:tcPr>
          <w:p>
            <w:pPr>
              <w:tabs>
                <w:tab w:val="left" w:pos="5580"/>
              </w:tabs>
              <w:spacing w:line="360" w:lineRule="auto"/>
              <w:jc w:val="center"/>
              <w:rPr>
                <w:rFonts w:ascii="宋体" w:hAnsi="宋体"/>
                <w:sz w:val="24"/>
              </w:rPr>
            </w:pPr>
          </w:p>
        </w:tc>
        <w:tc>
          <w:tcPr>
            <w:tcW w:w="2388" w:type="dxa"/>
            <w:vMerge w:val="continue"/>
            <w:vAlign w:val="center"/>
          </w:tcPr>
          <w:p>
            <w:pPr>
              <w:tabs>
                <w:tab w:val="left" w:pos="5580"/>
              </w:tabs>
              <w:spacing w:line="360" w:lineRule="auto"/>
              <w:jc w:val="center"/>
              <w:rPr>
                <w:rFonts w:ascii="宋体" w:hAnsi="宋体"/>
                <w:sz w:val="24"/>
              </w:rPr>
            </w:pPr>
          </w:p>
        </w:tc>
        <w:tc>
          <w:tcPr>
            <w:tcW w:w="2126" w:type="dxa"/>
            <w:vMerge w:val="continue"/>
            <w:vAlign w:val="center"/>
          </w:tcPr>
          <w:p>
            <w:pPr>
              <w:tabs>
                <w:tab w:val="left" w:pos="5580"/>
              </w:tabs>
              <w:spacing w:line="360" w:lineRule="auto"/>
              <w:jc w:val="center"/>
              <w:rPr>
                <w:rFonts w:ascii="宋体" w:hAnsi="宋体"/>
                <w:sz w:val="24"/>
              </w:rPr>
            </w:pPr>
          </w:p>
        </w:tc>
        <w:tc>
          <w:tcPr>
            <w:tcW w:w="1440" w:type="dxa"/>
            <w:vMerge w:val="continue"/>
            <w:vAlign w:val="center"/>
          </w:tcPr>
          <w:p>
            <w:pPr>
              <w:tabs>
                <w:tab w:val="left" w:pos="5580"/>
              </w:tabs>
              <w:spacing w:line="360" w:lineRule="auto"/>
              <w:jc w:val="center"/>
              <w:rPr>
                <w:rFonts w:ascii="宋体" w:hAnsi="宋体"/>
                <w:sz w:val="24"/>
              </w:rPr>
            </w:pPr>
          </w:p>
        </w:tc>
      </w:tr>
    </w:tbl>
    <w:p>
      <w:pPr>
        <w:pStyle w:val="21"/>
        <w:tabs>
          <w:tab w:val="left" w:pos="5580"/>
        </w:tabs>
        <w:spacing w:before="120" w:line="360" w:lineRule="auto"/>
        <w:rPr>
          <w:rFonts w:hAnsi="宋体"/>
          <w:sz w:val="24"/>
        </w:rPr>
      </w:pPr>
    </w:p>
    <w:p>
      <w:pPr>
        <w:spacing w:line="360" w:lineRule="auto"/>
        <w:rPr>
          <w:rFonts w:ascii="宋体" w:hAnsi="宋体"/>
          <w:sz w:val="24"/>
          <w:szCs w:val="21"/>
          <w:lang w:val="zh-CN"/>
        </w:rPr>
      </w:pPr>
      <w:r>
        <w:rPr>
          <w:rFonts w:hint="eastAsia" w:ascii="宋体" w:hAnsi="宋体"/>
          <w:sz w:val="24"/>
          <w:szCs w:val="21"/>
          <w:lang w:val="zh-CN"/>
        </w:rPr>
        <w:t>投标人名称（盖章）：</w:t>
      </w:r>
    </w:p>
    <w:p>
      <w:pPr>
        <w:spacing w:line="360" w:lineRule="auto"/>
        <w:rPr>
          <w:rFonts w:ascii="宋体" w:hAnsi="宋体"/>
          <w:sz w:val="24"/>
          <w:szCs w:val="21"/>
          <w:lang w:val="zh-CN"/>
        </w:rPr>
      </w:pPr>
      <w:r>
        <w:rPr>
          <w:rFonts w:hint="eastAsia" w:ascii="宋体" w:hAnsi="宋体"/>
          <w:sz w:val="24"/>
          <w:szCs w:val="21"/>
          <w:lang w:val="zh-CN"/>
        </w:rPr>
        <w:t>投标人代表（签字）：</w:t>
      </w:r>
    </w:p>
    <w:p>
      <w:pPr>
        <w:spacing w:line="360" w:lineRule="auto"/>
        <w:rPr>
          <w:rFonts w:ascii="宋体" w:hAnsi="宋体"/>
          <w:sz w:val="24"/>
          <w:szCs w:val="21"/>
          <w:lang w:val="zh-CN"/>
        </w:rPr>
      </w:pPr>
      <w:r>
        <w:rPr>
          <w:rFonts w:hint="eastAsia" w:ascii="宋体" w:hAnsi="宋体"/>
          <w:sz w:val="24"/>
          <w:szCs w:val="21"/>
          <w:lang w:val="zh-CN"/>
        </w:rPr>
        <w:t>注:1、此表应按投标人须知的规定密封标记并单独递交。</w:t>
      </w:r>
    </w:p>
    <w:p>
      <w:pPr>
        <w:spacing w:line="360" w:lineRule="auto"/>
        <w:rPr>
          <w:rFonts w:ascii="宋体" w:hAnsi="宋体"/>
          <w:sz w:val="24"/>
        </w:rPr>
        <w:sectPr>
          <w:footerReference r:id="rId10" w:type="default"/>
          <w:pgSz w:w="16840" w:h="11907" w:orient="landscape"/>
          <w:pgMar w:top="1418" w:right="1400" w:bottom="1418" w:left="1089" w:header="851" w:footer="992" w:gutter="0"/>
          <w:cols w:space="720" w:num="1"/>
          <w:docGrid w:linePitch="312" w:charSpace="0"/>
        </w:sectPr>
      </w:pPr>
      <w:r>
        <w:rPr>
          <w:rFonts w:hint="eastAsia" w:ascii="宋体" w:hAnsi="宋体"/>
          <w:sz w:val="24"/>
          <w:szCs w:val="21"/>
          <w:lang w:val="zh-CN"/>
        </w:rPr>
        <w:t>2、此表中，投标总价应和“3投标分项报价表” 中的总价相一致。</w:t>
      </w:r>
    </w:p>
    <w:p>
      <w:pPr>
        <w:pStyle w:val="5"/>
        <w:spacing w:line="480" w:lineRule="auto"/>
        <w:ind w:left="899" w:hanging="899"/>
        <w:jc w:val="center"/>
        <w:rPr>
          <w:rFonts w:hint="default"/>
          <w:sz w:val="24"/>
          <w:szCs w:val="24"/>
        </w:rPr>
      </w:pPr>
      <w:bookmarkStart w:id="312" w:name="_Toc310195764"/>
      <w:bookmarkStart w:id="313" w:name="_Toc366858502"/>
      <w:bookmarkStart w:id="314" w:name="_Toc497905880"/>
      <w:bookmarkStart w:id="315" w:name="_Toc310195765"/>
      <w:bookmarkStart w:id="316" w:name="_Toc236642992"/>
      <w:r>
        <w:rPr>
          <w:sz w:val="24"/>
          <w:szCs w:val="24"/>
        </w:rPr>
        <w:t>3 投标分项报价表</w:t>
      </w:r>
      <w:bookmarkEnd w:id="312"/>
      <w:bookmarkEnd w:id="313"/>
      <w:bookmarkEnd w:id="314"/>
    </w:p>
    <w:p>
      <w:pPr>
        <w:pStyle w:val="4"/>
        <w:ind w:firstLine="5262" w:firstLineChars="2184"/>
        <w:rPr>
          <w:rFonts w:hAnsi="宋体"/>
          <w:b/>
          <w:szCs w:val="24"/>
        </w:rPr>
      </w:pPr>
    </w:p>
    <w:p>
      <w:pPr>
        <w:pStyle w:val="21"/>
        <w:spacing w:line="360" w:lineRule="auto"/>
        <w:rPr>
          <w:rFonts w:hAnsi="宋体"/>
          <w:sz w:val="24"/>
          <w:szCs w:val="24"/>
        </w:rPr>
      </w:pPr>
      <w:r>
        <w:rPr>
          <w:rFonts w:hint="eastAsia" w:hAnsi="宋体"/>
          <w:sz w:val="24"/>
          <w:szCs w:val="24"/>
        </w:rPr>
        <w:t xml:space="preserve">投标人名称：___________                                                项目编号：_______________ </w:t>
      </w:r>
    </w:p>
    <w:tbl>
      <w:tblPr>
        <w:tblStyle w:val="50"/>
        <w:tblW w:w="140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37"/>
        <w:gridCol w:w="1596"/>
        <w:gridCol w:w="1449"/>
        <w:gridCol w:w="2556"/>
        <w:gridCol w:w="2169"/>
        <w:gridCol w:w="2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序号</w:t>
            </w:r>
          </w:p>
        </w:tc>
        <w:tc>
          <w:tcPr>
            <w:tcW w:w="3037"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名称</w:t>
            </w:r>
          </w:p>
        </w:tc>
        <w:tc>
          <w:tcPr>
            <w:tcW w:w="1596"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规格</w:t>
            </w:r>
          </w:p>
        </w:tc>
        <w:tc>
          <w:tcPr>
            <w:tcW w:w="1449"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数量</w:t>
            </w:r>
          </w:p>
        </w:tc>
        <w:tc>
          <w:tcPr>
            <w:tcW w:w="2556"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服务内容</w:t>
            </w:r>
          </w:p>
        </w:tc>
        <w:tc>
          <w:tcPr>
            <w:tcW w:w="2169"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单价</w:t>
            </w:r>
          </w:p>
        </w:tc>
        <w:tc>
          <w:tcPr>
            <w:tcW w:w="2415"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1.</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2.</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3.</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4.</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5.</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Ansi="宋体" w:cs="Courier New"/>
                <w:sz w:val="24"/>
              </w:rPr>
              <w:t>…</w:t>
            </w:r>
          </w:p>
        </w:tc>
        <w:tc>
          <w:tcPr>
            <w:tcW w:w="3037" w:type="dxa"/>
            <w:vAlign w:val="center"/>
          </w:tcPr>
          <w:p>
            <w:pPr>
              <w:pStyle w:val="21"/>
              <w:spacing w:line="360" w:lineRule="auto"/>
              <w:jc w:val="center"/>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658" w:type="dxa"/>
            <w:gridSpan w:val="6"/>
            <w:tcBorders>
              <w:bottom w:val="single" w:color="auto" w:sz="12" w:space="0"/>
            </w:tcBorders>
            <w:vAlign w:val="center"/>
          </w:tcPr>
          <w:p>
            <w:pPr>
              <w:pStyle w:val="21"/>
              <w:spacing w:before="156" w:line="360" w:lineRule="auto"/>
              <w:jc w:val="right"/>
              <w:rPr>
                <w:rFonts w:hAnsi="宋体" w:cs="Courier New"/>
                <w:sz w:val="24"/>
              </w:rPr>
            </w:pPr>
            <w:r>
              <w:rPr>
                <w:rFonts w:hint="eastAsia" w:hAnsi="宋体" w:cs="Courier New"/>
                <w:sz w:val="24"/>
              </w:rPr>
              <w:t>总计</w:t>
            </w:r>
          </w:p>
        </w:tc>
        <w:tc>
          <w:tcPr>
            <w:tcW w:w="2415" w:type="dxa"/>
            <w:tcBorders>
              <w:bottom w:val="single" w:color="auto" w:sz="12" w:space="0"/>
            </w:tcBorders>
            <w:vAlign w:val="center"/>
          </w:tcPr>
          <w:p>
            <w:pPr>
              <w:pStyle w:val="21"/>
              <w:spacing w:line="360" w:lineRule="auto"/>
              <w:jc w:val="center"/>
              <w:rPr>
                <w:rFonts w:hAnsi="宋体" w:cs="Courier New"/>
                <w:sz w:val="24"/>
              </w:rPr>
            </w:pPr>
          </w:p>
        </w:tc>
      </w:tr>
    </w:tbl>
    <w:p>
      <w:pPr>
        <w:pStyle w:val="21"/>
        <w:rPr>
          <w:rFonts w:hAnsi="宋体"/>
          <w:sz w:val="24"/>
          <w:szCs w:val="24"/>
        </w:rPr>
      </w:pPr>
    </w:p>
    <w:p>
      <w:pPr>
        <w:pStyle w:val="21"/>
        <w:tabs>
          <w:tab w:val="left" w:pos="5580"/>
        </w:tabs>
        <w:spacing w:before="120"/>
        <w:rPr>
          <w:rFonts w:hAnsi="宋体"/>
          <w:sz w:val="24"/>
          <w:szCs w:val="24"/>
        </w:rPr>
      </w:pPr>
      <w:r>
        <w:rPr>
          <w:rFonts w:hint="eastAsia" w:hAnsi="宋体"/>
          <w:sz w:val="24"/>
          <w:szCs w:val="24"/>
        </w:rPr>
        <w:t>投标人名称（盖章）：</w:t>
      </w:r>
    </w:p>
    <w:p>
      <w:pPr>
        <w:pStyle w:val="21"/>
        <w:tabs>
          <w:tab w:val="left" w:pos="5580"/>
        </w:tabs>
        <w:spacing w:before="120"/>
        <w:rPr>
          <w:rFonts w:hAnsi="宋体"/>
          <w:sz w:val="24"/>
          <w:szCs w:val="24"/>
        </w:rPr>
      </w:pPr>
    </w:p>
    <w:p>
      <w:pPr>
        <w:pStyle w:val="21"/>
        <w:tabs>
          <w:tab w:val="left" w:pos="5580"/>
        </w:tabs>
        <w:spacing w:before="120"/>
        <w:rPr>
          <w:rFonts w:hAnsi="宋体"/>
          <w:sz w:val="24"/>
          <w:szCs w:val="24"/>
        </w:rPr>
      </w:pPr>
      <w:r>
        <w:rPr>
          <w:rFonts w:hint="eastAsia" w:hAnsi="宋体"/>
          <w:sz w:val="24"/>
          <w:szCs w:val="24"/>
        </w:rPr>
        <w:t>投标人代表（签字）：</w:t>
      </w:r>
    </w:p>
    <w:p>
      <w:pPr>
        <w:pStyle w:val="21"/>
        <w:rPr>
          <w:rFonts w:hAnsi="宋体"/>
          <w:sz w:val="24"/>
          <w:szCs w:val="24"/>
        </w:rPr>
      </w:pPr>
    </w:p>
    <w:p>
      <w:pPr>
        <w:pStyle w:val="21"/>
        <w:spacing w:line="360" w:lineRule="auto"/>
        <w:rPr>
          <w:rFonts w:hAnsi="宋体"/>
          <w:sz w:val="24"/>
          <w:szCs w:val="24"/>
        </w:rPr>
      </w:pPr>
      <w:r>
        <w:rPr>
          <w:rFonts w:hint="eastAsia" w:hAnsi="宋体"/>
          <w:sz w:val="24"/>
          <w:szCs w:val="24"/>
        </w:rPr>
        <w:t>注:1.如果单价计算的结果与总价不一致，以单价金额计算结果为准。</w:t>
      </w:r>
    </w:p>
    <w:p>
      <w:pPr>
        <w:pStyle w:val="21"/>
        <w:spacing w:line="360" w:lineRule="auto"/>
        <w:rPr>
          <w:rFonts w:hAnsi="宋体"/>
          <w:sz w:val="24"/>
          <w:szCs w:val="24"/>
        </w:rPr>
        <w:sectPr>
          <w:pgSz w:w="16840" w:h="11907" w:orient="landscape"/>
          <w:pgMar w:top="1418" w:right="1400" w:bottom="1418" w:left="1089" w:header="851" w:footer="992" w:gutter="0"/>
          <w:cols w:space="720" w:num="1"/>
          <w:docGrid w:linePitch="312" w:charSpace="0"/>
        </w:sectPr>
      </w:pPr>
      <w:r>
        <w:rPr>
          <w:rFonts w:hint="eastAsia" w:hAnsi="宋体"/>
          <w:sz w:val="24"/>
          <w:szCs w:val="24"/>
        </w:rPr>
        <w:t xml:space="preserve">   2.上述各项的详细分项报价，应另页描述。</w:t>
      </w:r>
    </w:p>
    <w:p>
      <w:pPr>
        <w:pStyle w:val="4"/>
        <w:ind w:firstLine="0"/>
        <w:rPr>
          <w:rFonts w:hAnsi="宋体"/>
          <w:szCs w:val="24"/>
        </w:rPr>
      </w:pPr>
    </w:p>
    <w:p>
      <w:pPr>
        <w:pStyle w:val="5"/>
        <w:spacing w:line="480" w:lineRule="auto"/>
        <w:ind w:left="899" w:hanging="899"/>
        <w:jc w:val="center"/>
        <w:rPr>
          <w:rFonts w:hint="default"/>
          <w:sz w:val="24"/>
          <w:szCs w:val="24"/>
        </w:rPr>
      </w:pPr>
      <w:bookmarkStart w:id="317" w:name="_Toc366858503"/>
      <w:bookmarkStart w:id="318" w:name="_Toc497905881"/>
      <w:r>
        <w:rPr>
          <w:sz w:val="24"/>
          <w:szCs w:val="24"/>
        </w:rPr>
        <w:t xml:space="preserve">4 </w:t>
      </w:r>
      <w:bookmarkEnd w:id="317"/>
      <w:r>
        <w:rPr>
          <w:sz w:val="24"/>
          <w:szCs w:val="24"/>
        </w:rPr>
        <w:t>技术服务方案</w:t>
      </w:r>
      <w:bookmarkEnd w:id="318"/>
    </w:p>
    <w:p>
      <w:pPr>
        <w:pStyle w:val="21"/>
        <w:spacing w:line="360" w:lineRule="auto"/>
        <w:ind w:firstLine="360" w:firstLineChars="150"/>
        <w:rPr>
          <w:sz w:val="24"/>
        </w:rPr>
        <w:sectPr>
          <w:pgSz w:w="11907" w:h="16840"/>
          <w:pgMar w:top="1400" w:right="1418" w:bottom="1089" w:left="1418" w:header="851" w:footer="992" w:gutter="0"/>
          <w:cols w:space="720" w:num="1"/>
          <w:docGrid w:linePitch="312" w:charSpace="0"/>
        </w:sectPr>
      </w:pPr>
    </w:p>
    <w:bookmarkEnd w:id="315"/>
    <w:bookmarkEnd w:id="316"/>
    <w:p>
      <w:pPr>
        <w:pStyle w:val="5"/>
        <w:spacing w:before="0" w:line="360" w:lineRule="auto"/>
        <w:ind w:left="899" w:hanging="899"/>
        <w:jc w:val="center"/>
        <w:rPr>
          <w:rFonts w:hint="default"/>
          <w:sz w:val="24"/>
        </w:rPr>
      </w:pPr>
      <w:bookmarkStart w:id="319" w:name="_Toc310195766"/>
      <w:bookmarkStart w:id="320" w:name="_Toc497905882"/>
      <w:bookmarkStart w:id="321" w:name="_Toc236642993"/>
      <w:r>
        <w:rPr>
          <w:sz w:val="24"/>
        </w:rPr>
        <w:t>5 技术规格偏离表</w:t>
      </w:r>
      <w:bookmarkEnd w:id="319"/>
      <w:bookmarkEnd w:id="320"/>
    </w:p>
    <w:bookmarkEnd w:id="321"/>
    <w:p>
      <w:pPr>
        <w:pStyle w:val="21"/>
        <w:spacing w:line="360" w:lineRule="auto"/>
        <w:rPr>
          <w:rFonts w:hAnsi="宋体"/>
          <w:sz w:val="24"/>
        </w:rPr>
      </w:pPr>
    </w:p>
    <w:p>
      <w:pPr>
        <w:pStyle w:val="21"/>
        <w:spacing w:line="360" w:lineRule="auto"/>
        <w:rPr>
          <w:rFonts w:hAnsi="宋体"/>
          <w:sz w:val="24"/>
        </w:rPr>
      </w:pPr>
      <w:r>
        <w:rPr>
          <w:rFonts w:hint="eastAsia" w:hAnsi="宋体"/>
          <w:sz w:val="24"/>
        </w:rPr>
        <w:t xml:space="preserve">项目名称:___________                              项目编号:______________ </w:t>
      </w:r>
    </w:p>
    <w:tbl>
      <w:tblPr>
        <w:tblStyle w:val="50"/>
        <w:tblW w:w="96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384"/>
        <w:gridCol w:w="1701"/>
        <w:gridCol w:w="1842"/>
        <w:gridCol w:w="1311"/>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序号</w:t>
            </w:r>
          </w:p>
        </w:tc>
        <w:tc>
          <w:tcPr>
            <w:tcW w:w="170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服务名称</w:t>
            </w:r>
          </w:p>
        </w:tc>
        <w:tc>
          <w:tcPr>
            <w:tcW w:w="1384"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招标文件条目号</w:t>
            </w:r>
          </w:p>
        </w:tc>
        <w:tc>
          <w:tcPr>
            <w:tcW w:w="170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招标规格</w:t>
            </w:r>
          </w:p>
        </w:tc>
        <w:tc>
          <w:tcPr>
            <w:tcW w:w="1842"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投标规格</w:t>
            </w:r>
          </w:p>
        </w:tc>
        <w:tc>
          <w:tcPr>
            <w:tcW w:w="131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响应/偏离</w:t>
            </w:r>
          </w:p>
        </w:tc>
        <w:tc>
          <w:tcPr>
            <w:tcW w:w="85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51" w:type="dxa"/>
            <w:tcBorders>
              <w:bottom w:val="single" w:color="auto" w:sz="12" w:space="0"/>
            </w:tcBorders>
            <w:vAlign w:val="center"/>
          </w:tcPr>
          <w:p>
            <w:pPr>
              <w:pStyle w:val="21"/>
              <w:spacing w:line="360" w:lineRule="auto"/>
              <w:jc w:val="center"/>
              <w:rPr>
                <w:rFonts w:hAnsi="宋体" w:cs="Courier New"/>
                <w:sz w:val="24"/>
                <w:lang w:val="en-US"/>
              </w:rPr>
            </w:pPr>
          </w:p>
        </w:tc>
        <w:tc>
          <w:tcPr>
            <w:tcW w:w="1701" w:type="dxa"/>
            <w:tcBorders>
              <w:bottom w:val="single" w:color="auto" w:sz="12" w:space="0"/>
            </w:tcBorders>
            <w:vAlign w:val="center"/>
          </w:tcPr>
          <w:p>
            <w:pPr>
              <w:pStyle w:val="21"/>
              <w:spacing w:line="360" w:lineRule="auto"/>
              <w:jc w:val="center"/>
              <w:rPr>
                <w:rFonts w:hAnsi="宋体" w:cs="Courier New"/>
                <w:sz w:val="24"/>
                <w:lang w:val="en-US"/>
              </w:rPr>
            </w:pPr>
          </w:p>
        </w:tc>
        <w:tc>
          <w:tcPr>
            <w:tcW w:w="1384" w:type="dxa"/>
            <w:tcBorders>
              <w:bottom w:val="single" w:color="auto" w:sz="12" w:space="0"/>
            </w:tcBorders>
            <w:vAlign w:val="center"/>
          </w:tcPr>
          <w:p>
            <w:pPr>
              <w:pStyle w:val="21"/>
              <w:spacing w:line="360" w:lineRule="auto"/>
              <w:jc w:val="center"/>
              <w:rPr>
                <w:rFonts w:hAnsi="宋体" w:cs="Courier New"/>
                <w:sz w:val="24"/>
                <w:lang w:val="en-US"/>
              </w:rPr>
            </w:pPr>
          </w:p>
        </w:tc>
        <w:tc>
          <w:tcPr>
            <w:tcW w:w="1701" w:type="dxa"/>
            <w:tcBorders>
              <w:bottom w:val="single" w:color="auto" w:sz="12" w:space="0"/>
            </w:tcBorders>
            <w:vAlign w:val="center"/>
          </w:tcPr>
          <w:p>
            <w:pPr>
              <w:pStyle w:val="21"/>
              <w:spacing w:line="360" w:lineRule="auto"/>
              <w:jc w:val="center"/>
              <w:rPr>
                <w:rFonts w:hAnsi="宋体" w:cs="Courier New"/>
                <w:sz w:val="24"/>
                <w:lang w:val="en-US"/>
              </w:rPr>
            </w:pPr>
          </w:p>
        </w:tc>
        <w:tc>
          <w:tcPr>
            <w:tcW w:w="1842" w:type="dxa"/>
            <w:tcBorders>
              <w:bottom w:val="single" w:color="auto" w:sz="12" w:space="0"/>
            </w:tcBorders>
            <w:vAlign w:val="center"/>
          </w:tcPr>
          <w:p>
            <w:pPr>
              <w:pStyle w:val="21"/>
              <w:spacing w:line="360" w:lineRule="auto"/>
              <w:jc w:val="center"/>
              <w:rPr>
                <w:rFonts w:hAnsi="宋体" w:cs="Courier New"/>
                <w:sz w:val="24"/>
                <w:lang w:val="en-US"/>
              </w:rPr>
            </w:pPr>
          </w:p>
        </w:tc>
        <w:tc>
          <w:tcPr>
            <w:tcW w:w="1311" w:type="dxa"/>
            <w:tcBorders>
              <w:bottom w:val="single" w:color="auto" w:sz="12" w:space="0"/>
            </w:tcBorders>
            <w:vAlign w:val="center"/>
          </w:tcPr>
          <w:p>
            <w:pPr>
              <w:pStyle w:val="21"/>
              <w:spacing w:line="360" w:lineRule="auto"/>
              <w:jc w:val="center"/>
              <w:rPr>
                <w:rFonts w:hAnsi="宋体" w:cs="Courier New"/>
                <w:sz w:val="24"/>
                <w:lang w:val="en-US"/>
              </w:rPr>
            </w:pPr>
          </w:p>
        </w:tc>
        <w:tc>
          <w:tcPr>
            <w:tcW w:w="851" w:type="dxa"/>
            <w:tcBorders>
              <w:bottom w:val="single" w:color="auto" w:sz="12" w:space="0"/>
            </w:tcBorders>
            <w:vAlign w:val="center"/>
          </w:tcPr>
          <w:p>
            <w:pPr>
              <w:pStyle w:val="21"/>
              <w:spacing w:line="360" w:lineRule="auto"/>
              <w:jc w:val="center"/>
              <w:rPr>
                <w:rFonts w:hAnsi="宋体" w:cs="Courier New"/>
                <w:sz w:val="24"/>
                <w:lang w:val="en-US"/>
              </w:rPr>
            </w:pPr>
          </w:p>
        </w:tc>
      </w:tr>
    </w:tbl>
    <w:p>
      <w:pPr>
        <w:pStyle w:val="21"/>
        <w:spacing w:line="360" w:lineRule="auto"/>
        <w:ind w:left="360" w:hanging="360" w:hangingChars="150"/>
        <w:rPr>
          <w:rFonts w:hAnsi="宋体"/>
          <w:sz w:val="24"/>
        </w:rPr>
      </w:pPr>
      <w:r>
        <w:rPr>
          <w:rFonts w:hAnsi="宋体"/>
          <w:sz w:val="24"/>
        </w:rPr>
        <w:t>1、投标人的技术偏差必须如实填写，并应对偏差情况做出必要说明。投标人应对故意隐瞒技术偏差的行为承担责任。对招标文件有任何偏离应列明“正偏离”或“负偏离”，并标明“其他无偏离”。</w:t>
      </w:r>
    </w:p>
    <w:p>
      <w:pPr>
        <w:pStyle w:val="21"/>
        <w:spacing w:line="360" w:lineRule="auto"/>
        <w:rPr>
          <w:rFonts w:hAnsi="宋体"/>
          <w:sz w:val="24"/>
        </w:rPr>
      </w:pPr>
      <w:r>
        <w:rPr>
          <w:rFonts w:hAnsi="宋体"/>
          <w:sz w:val="24"/>
        </w:rPr>
        <w:t>2、对招标文件无偏离应标明“无偏离”。</w:t>
      </w:r>
    </w:p>
    <w:p>
      <w:pPr>
        <w:pStyle w:val="21"/>
        <w:tabs>
          <w:tab w:val="left" w:pos="5580"/>
        </w:tabs>
        <w:spacing w:before="120" w:line="360" w:lineRule="auto"/>
        <w:rPr>
          <w:rFonts w:hAnsi="宋体"/>
          <w:sz w:val="24"/>
        </w:rPr>
      </w:pPr>
      <w:r>
        <w:rPr>
          <w:rFonts w:hint="eastAsia" w:hAnsi="宋体"/>
          <w:sz w:val="24"/>
        </w:rPr>
        <w:t>投标人名称（盖章）：</w:t>
      </w:r>
    </w:p>
    <w:p>
      <w:pPr>
        <w:pStyle w:val="21"/>
        <w:tabs>
          <w:tab w:val="left" w:pos="5580"/>
        </w:tabs>
        <w:spacing w:before="120" w:line="360" w:lineRule="auto"/>
        <w:rPr>
          <w:rFonts w:hAnsi="宋体"/>
          <w:sz w:val="24"/>
          <w:u w:val="single"/>
        </w:rPr>
      </w:pPr>
      <w:r>
        <w:rPr>
          <w:rFonts w:hint="eastAsia" w:hAnsi="宋体"/>
          <w:sz w:val="24"/>
        </w:rPr>
        <w:t>法人授权代表（签字）：</w:t>
      </w:r>
    </w:p>
    <w:p>
      <w:pPr>
        <w:pStyle w:val="21"/>
        <w:tabs>
          <w:tab w:val="left" w:pos="5580"/>
        </w:tabs>
        <w:spacing w:before="120" w:line="360" w:lineRule="auto"/>
        <w:rPr>
          <w:rFonts w:hAnsi="宋体"/>
          <w:sz w:val="18"/>
          <w:szCs w:val="18"/>
        </w:rPr>
      </w:pPr>
      <w:r>
        <w:rPr>
          <w:rFonts w:hint="eastAsia" w:hAnsi="宋体"/>
          <w:sz w:val="24"/>
        </w:rPr>
        <w:t>注：此表格经法人授权代表签字方有效。</w:t>
      </w:r>
    </w:p>
    <w:p>
      <w:pPr>
        <w:pStyle w:val="5"/>
        <w:spacing w:before="0" w:line="360" w:lineRule="auto"/>
        <w:ind w:left="899" w:hanging="899"/>
        <w:jc w:val="center"/>
        <w:rPr>
          <w:rFonts w:hint="default"/>
          <w:sz w:val="24"/>
        </w:rPr>
      </w:pPr>
      <w:bookmarkStart w:id="322" w:name="_Toc310195767"/>
      <w:bookmarkStart w:id="323" w:name="_Toc236642994"/>
      <w:r>
        <w:rPr>
          <w:sz w:val="24"/>
        </w:rPr>
        <w:br w:type="page"/>
      </w:r>
      <w:bookmarkStart w:id="324" w:name="_Toc497905883"/>
      <w:r>
        <w:rPr>
          <w:sz w:val="24"/>
        </w:rPr>
        <w:t>6 商务条款偏离表</w:t>
      </w:r>
      <w:bookmarkEnd w:id="322"/>
      <w:bookmarkEnd w:id="324"/>
    </w:p>
    <w:p>
      <w:pPr>
        <w:pStyle w:val="21"/>
        <w:spacing w:line="360" w:lineRule="auto"/>
        <w:rPr>
          <w:rFonts w:hAnsi="宋体"/>
          <w:sz w:val="24"/>
        </w:rPr>
      </w:pPr>
    </w:p>
    <w:p>
      <w:pPr>
        <w:pStyle w:val="21"/>
        <w:spacing w:line="360" w:lineRule="auto"/>
        <w:rPr>
          <w:rFonts w:hAnsi="宋体"/>
          <w:sz w:val="24"/>
        </w:rPr>
      </w:pPr>
      <w:r>
        <w:rPr>
          <w:rFonts w:hint="eastAsia" w:hAnsi="宋体"/>
          <w:sz w:val="24"/>
        </w:rPr>
        <w:t xml:space="preserve">项目名称:_____________                           项目编号:_____________ </w:t>
      </w:r>
    </w:p>
    <w:tbl>
      <w:tblPr>
        <w:tblStyle w:val="50"/>
        <w:tblW w:w="90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2623"/>
        <w:gridCol w:w="2624"/>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tcBorders>
              <w:top w:val="single" w:color="auto" w:sz="12" w:space="0"/>
            </w:tcBorders>
            <w:vAlign w:val="center"/>
          </w:tcPr>
          <w:p>
            <w:pPr>
              <w:pStyle w:val="110"/>
              <w:jc w:val="center"/>
              <w:rPr>
                <w:sz w:val="24"/>
              </w:rPr>
            </w:pPr>
            <w:r>
              <w:rPr>
                <w:rFonts w:hint="eastAsia"/>
                <w:sz w:val="24"/>
              </w:rPr>
              <w:t>序号</w:t>
            </w:r>
          </w:p>
        </w:tc>
        <w:tc>
          <w:tcPr>
            <w:tcW w:w="1985" w:type="dxa"/>
            <w:tcBorders>
              <w:top w:val="single" w:color="auto" w:sz="12" w:space="0"/>
            </w:tcBorders>
            <w:vAlign w:val="center"/>
          </w:tcPr>
          <w:p>
            <w:pPr>
              <w:pStyle w:val="110"/>
              <w:jc w:val="center"/>
              <w:rPr>
                <w:sz w:val="24"/>
              </w:rPr>
            </w:pPr>
            <w:r>
              <w:rPr>
                <w:rFonts w:hint="eastAsia"/>
                <w:sz w:val="24"/>
              </w:rPr>
              <w:t>招标文件条目号</w:t>
            </w:r>
          </w:p>
        </w:tc>
        <w:tc>
          <w:tcPr>
            <w:tcW w:w="2623" w:type="dxa"/>
            <w:tcBorders>
              <w:top w:val="single" w:color="auto" w:sz="12" w:space="0"/>
            </w:tcBorders>
            <w:vAlign w:val="center"/>
          </w:tcPr>
          <w:p>
            <w:pPr>
              <w:pStyle w:val="110"/>
              <w:jc w:val="center"/>
              <w:rPr>
                <w:sz w:val="24"/>
              </w:rPr>
            </w:pPr>
            <w:r>
              <w:rPr>
                <w:rFonts w:hint="eastAsia"/>
                <w:sz w:val="24"/>
              </w:rPr>
              <w:t>招标文件商务条款</w:t>
            </w:r>
          </w:p>
        </w:tc>
        <w:tc>
          <w:tcPr>
            <w:tcW w:w="2624" w:type="dxa"/>
            <w:tcBorders>
              <w:top w:val="single" w:color="auto" w:sz="12" w:space="0"/>
            </w:tcBorders>
            <w:vAlign w:val="center"/>
          </w:tcPr>
          <w:p>
            <w:pPr>
              <w:pStyle w:val="110"/>
              <w:jc w:val="center"/>
              <w:rPr>
                <w:sz w:val="24"/>
              </w:rPr>
            </w:pPr>
            <w:r>
              <w:rPr>
                <w:rFonts w:hint="eastAsia"/>
                <w:sz w:val="24"/>
              </w:rPr>
              <w:t>投标文件商务条款</w:t>
            </w:r>
          </w:p>
        </w:tc>
        <w:tc>
          <w:tcPr>
            <w:tcW w:w="992" w:type="dxa"/>
            <w:tcBorders>
              <w:top w:val="single" w:color="auto" w:sz="12" w:space="0"/>
            </w:tcBorders>
            <w:vAlign w:val="center"/>
          </w:tcPr>
          <w:p>
            <w:pPr>
              <w:pStyle w:val="110"/>
              <w:jc w:val="center"/>
              <w:rPr>
                <w:sz w:val="24"/>
              </w:rPr>
            </w:pPr>
            <w:r>
              <w:rPr>
                <w:rFonts w:hint="eastAsia"/>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tcBorders>
              <w:bottom w:val="single" w:color="auto" w:sz="12" w:space="0"/>
            </w:tcBorders>
            <w:vAlign w:val="center"/>
          </w:tcPr>
          <w:p>
            <w:pPr>
              <w:pStyle w:val="21"/>
              <w:spacing w:line="360" w:lineRule="auto"/>
              <w:jc w:val="center"/>
              <w:rPr>
                <w:rFonts w:hAnsi="宋体" w:cs="Courier New"/>
                <w:sz w:val="24"/>
                <w:lang w:val="en-US"/>
              </w:rPr>
            </w:pPr>
          </w:p>
        </w:tc>
        <w:tc>
          <w:tcPr>
            <w:tcW w:w="1985" w:type="dxa"/>
            <w:tcBorders>
              <w:bottom w:val="single" w:color="auto" w:sz="12" w:space="0"/>
            </w:tcBorders>
            <w:vAlign w:val="center"/>
          </w:tcPr>
          <w:p>
            <w:pPr>
              <w:pStyle w:val="21"/>
              <w:spacing w:line="360" w:lineRule="auto"/>
              <w:jc w:val="center"/>
              <w:rPr>
                <w:rFonts w:hAnsi="宋体" w:cs="Courier New"/>
                <w:sz w:val="24"/>
                <w:lang w:val="en-US"/>
              </w:rPr>
            </w:pPr>
          </w:p>
        </w:tc>
        <w:tc>
          <w:tcPr>
            <w:tcW w:w="2623" w:type="dxa"/>
            <w:tcBorders>
              <w:bottom w:val="single" w:color="auto" w:sz="12" w:space="0"/>
            </w:tcBorders>
            <w:vAlign w:val="center"/>
          </w:tcPr>
          <w:p>
            <w:pPr>
              <w:pStyle w:val="21"/>
              <w:spacing w:line="360" w:lineRule="auto"/>
              <w:jc w:val="center"/>
              <w:rPr>
                <w:rFonts w:hAnsi="宋体" w:cs="Courier New"/>
                <w:sz w:val="24"/>
                <w:lang w:val="en-US"/>
              </w:rPr>
            </w:pPr>
          </w:p>
        </w:tc>
        <w:tc>
          <w:tcPr>
            <w:tcW w:w="2624" w:type="dxa"/>
            <w:tcBorders>
              <w:bottom w:val="single" w:color="auto" w:sz="12" w:space="0"/>
            </w:tcBorders>
            <w:vAlign w:val="center"/>
          </w:tcPr>
          <w:p>
            <w:pPr>
              <w:pStyle w:val="21"/>
              <w:spacing w:line="360" w:lineRule="auto"/>
              <w:jc w:val="center"/>
              <w:rPr>
                <w:rFonts w:hAnsi="宋体" w:cs="Courier New"/>
                <w:sz w:val="24"/>
                <w:lang w:val="en-US"/>
              </w:rPr>
            </w:pPr>
          </w:p>
        </w:tc>
        <w:tc>
          <w:tcPr>
            <w:tcW w:w="992" w:type="dxa"/>
            <w:tcBorders>
              <w:bottom w:val="single" w:color="auto" w:sz="12" w:space="0"/>
            </w:tcBorders>
            <w:vAlign w:val="center"/>
          </w:tcPr>
          <w:p>
            <w:pPr>
              <w:pStyle w:val="21"/>
              <w:spacing w:line="360" w:lineRule="auto"/>
              <w:jc w:val="center"/>
              <w:rPr>
                <w:rFonts w:hAnsi="宋体" w:cs="Courier New"/>
                <w:sz w:val="24"/>
                <w:lang w:val="en-US"/>
              </w:rPr>
            </w:pPr>
          </w:p>
        </w:tc>
      </w:tr>
    </w:tbl>
    <w:p>
      <w:pPr>
        <w:pStyle w:val="21"/>
        <w:spacing w:line="360" w:lineRule="auto"/>
        <w:rPr>
          <w:rFonts w:hAnsi="宋体"/>
          <w:sz w:val="24"/>
        </w:rPr>
      </w:pPr>
      <w:r>
        <w:rPr>
          <w:rFonts w:hAnsi="宋体"/>
          <w:sz w:val="24"/>
        </w:rPr>
        <w:t> 注：投标人如果对包括交货期、付款方式/条件、质保期及合同条款在内的商务条款的响应有任何偏离，请在本表中详细填写；如对商务条款没有偏离，请注明“无偏离”。</w:t>
      </w:r>
    </w:p>
    <w:p>
      <w:pPr>
        <w:pStyle w:val="21"/>
        <w:spacing w:line="360" w:lineRule="auto"/>
        <w:rPr>
          <w:rFonts w:hAnsi="宋体"/>
          <w:sz w:val="24"/>
        </w:rPr>
      </w:pPr>
    </w:p>
    <w:p>
      <w:pPr>
        <w:pStyle w:val="21"/>
        <w:tabs>
          <w:tab w:val="left" w:pos="5580"/>
        </w:tabs>
        <w:spacing w:before="120" w:line="360" w:lineRule="auto"/>
        <w:rPr>
          <w:rFonts w:hAnsi="宋体"/>
          <w:sz w:val="24"/>
        </w:rPr>
      </w:pPr>
      <w:r>
        <w:rPr>
          <w:rFonts w:hint="eastAsia" w:hAnsi="宋体"/>
          <w:sz w:val="24"/>
        </w:rPr>
        <w:t>投标人名称（盖章）：</w:t>
      </w:r>
    </w:p>
    <w:p>
      <w:pPr>
        <w:pStyle w:val="21"/>
        <w:tabs>
          <w:tab w:val="left" w:pos="5580"/>
        </w:tabs>
        <w:spacing w:before="120" w:line="360" w:lineRule="auto"/>
        <w:rPr>
          <w:rFonts w:hAnsi="宋体"/>
          <w:sz w:val="24"/>
          <w:u w:val="single"/>
        </w:rPr>
      </w:pPr>
      <w:r>
        <w:rPr>
          <w:rFonts w:hint="eastAsia" w:hAnsi="宋体"/>
          <w:sz w:val="24"/>
        </w:rPr>
        <w:t>法人授权代表（签字）：</w:t>
      </w:r>
    </w:p>
    <w:p>
      <w:pPr>
        <w:pStyle w:val="21"/>
        <w:tabs>
          <w:tab w:val="left" w:pos="5580"/>
        </w:tabs>
        <w:spacing w:before="120" w:line="360" w:lineRule="auto"/>
        <w:rPr>
          <w:rFonts w:hAnsi="宋体"/>
          <w:sz w:val="24"/>
        </w:rPr>
      </w:pPr>
      <w:r>
        <w:rPr>
          <w:rFonts w:hint="eastAsia" w:hAnsi="宋体"/>
          <w:sz w:val="24"/>
        </w:rPr>
        <w:t>注：此表格经法人授权代表签字方有效。</w:t>
      </w:r>
    </w:p>
    <w:p>
      <w:pPr>
        <w:pStyle w:val="5"/>
        <w:spacing w:line="360" w:lineRule="auto"/>
        <w:ind w:left="899" w:hanging="899"/>
        <w:jc w:val="center"/>
        <w:rPr>
          <w:rFonts w:hint="default"/>
          <w:sz w:val="24"/>
        </w:rPr>
      </w:pPr>
      <w:bookmarkStart w:id="325" w:name="_Toc497905884"/>
      <w:bookmarkStart w:id="326" w:name="_Toc310195768"/>
      <w:r>
        <w:rPr>
          <w:sz w:val="24"/>
        </w:rPr>
        <w:t>7 资格证明文件</w:t>
      </w:r>
      <w:bookmarkEnd w:id="325"/>
      <w:bookmarkEnd w:id="326"/>
    </w:p>
    <w:p>
      <w:pPr>
        <w:spacing w:line="360" w:lineRule="auto"/>
        <w:rPr>
          <w:rFonts w:ascii="宋体" w:hAnsi="宋体"/>
          <w:sz w:val="24"/>
        </w:rPr>
      </w:pPr>
      <w:r>
        <w:rPr>
          <w:rFonts w:hint="eastAsia" w:ascii="宋体" w:hAnsi="宋体"/>
          <w:sz w:val="24"/>
        </w:rPr>
        <w:t>7-1企业法人营业执照副本或事业单位法人证书副本复印件（须加盖本单位公章）</w:t>
      </w:r>
    </w:p>
    <w:p>
      <w:pPr>
        <w:spacing w:line="360" w:lineRule="auto"/>
        <w:rPr>
          <w:rFonts w:ascii="宋体" w:hAnsi="宋体"/>
          <w:sz w:val="24"/>
        </w:rPr>
      </w:pPr>
      <w:r>
        <w:rPr>
          <w:rFonts w:hint="eastAsia" w:ascii="宋体" w:hAnsi="宋体"/>
          <w:sz w:val="24"/>
        </w:rPr>
        <w:t>7-2税务登记证复印件（须加盖本单位公章）</w:t>
      </w:r>
    </w:p>
    <w:p>
      <w:pPr>
        <w:spacing w:line="360" w:lineRule="auto"/>
        <w:rPr>
          <w:rFonts w:ascii="宋体" w:hAnsi="宋体"/>
          <w:sz w:val="24"/>
        </w:rPr>
      </w:pPr>
      <w:r>
        <w:rPr>
          <w:rFonts w:hint="eastAsia" w:ascii="宋体" w:hAnsi="宋体"/>
          <w:sz w:val="24"/>
        </w:rPr>
        <w:t>7-3 组织机构代码证复印件（须加盖本单位公章）</w:t>
      </w:r>
    </w:p>
    <w:p>
      <w:pPr>
        <w:spacing w:line="360" w:lineRule="auto"/>
        <w:rPr>
          <w:rFonts w:ascii="宋体" w:hAnsi="宋体"/>
          <w:sz w:val="24"/>
        </w:rPr>
      </w:pPr>
      <w:r>
        <w:rPr>
          <w:rFonts w:hint="eastAsia" w:ascii="宋体" w:hAnsi="宋体"/>
          <w:sz w:val="24"/>
        </w:rPr>
        <w:t>7-4法定代表人授权书原件（格式）</w:t>
      </w:r>
    </w:p>
    <w:p>
      <w:pPr>
        <w:spacing w:line="360" w:lineRule="auto"/>
        <w:rPr>
          <w:rFonts w:ascii="宋体" w:hAnsi="宋体"/>
          <w:b/>
          <w:sz w:val="24"/>
        </w:rPr>
      </w:pPr>
      <w:r>
        <w:rPr>
          <w:rFonts w:hint="eastAsia" w:ascii="宋体" w:hAnsi="宋体"/>
          <w:sz w:val="24"/>
        </w:rPr>
        <w:t>7-5 法人及其授权代表身份证复印件（须加盖本单位公章）</w:t>
      </w:r>
    </w:p>
    <w:p>
      <w:pPr>
        <w:spacing w:line="360" w:lineRule="auto"/>
        <w:jc w:val="left"/>
        <w:rPr>
          <w:rFonts w:ascii="宋体" w:hAnsi="宋体"/>
          <w:sz w:val="24"/>
        </w:rPr>
      </w:pPr>
      <w:r>
        <w:rPr>
          <w:rFonts w:hint="eastAsia" w:ascii="宋体" w:hAnsi="宋体"/>
          <w:sz w:val="24"/>
        </w:rPr>
        <w:t>7-6投标人提供经会计师事务所出具的上一年度完整的财务审计报告复印件，并加盖投标人公章。如投标人无法提供上一年度审计报告，则须提供银行出具的资信证明。</w:t>
      </w:r>
    </w:p>
    <w:p>
      <w:pPr>
        <w:spacing w:line="360" w:lineRule="auto"/>
        <w:rPr>
          <w:rFonts w:ascii="宋体" w:hAnsi="宋体"/>
          <w:sz w:val="24"/>
        </w:rPr>
      </w:pPr>
      <w:r>
        <w:rPr>
          <w:rFonts w:hint="eastAsia" w:ascii="宋体" w:hAnsi="宋体"/>
          <w:sz w:val="24"/>
        </w:rPr>
        <w:t>说明：</w:t>
      </w:r>
    </w:p>
    <w:p>
      <w:pPr>
        <w:spacing w:line="360" w:lineRule="auto"/>
        <w:ind w:firstLine="480" w:firstLineChars="200"/>
        <w:rPr>
          <w:rFonts w:ascii="宋体" w:hAnsi="宋体"/>
          <w:sz w:val="24"/>
        </w:rPr>
      </w:pPr>
      <w:r>
        <w:rPr>
          <w:rFonts w:hint="eastAsia" w:ascii="宋体" w:hAnsi="宋体"/>
          <w:sz w:val="24"/>
        </w:rPr>
        <w:t>1、银行资信证明是指投标人参加本次投标截止日前三个月内银行出具的资信证明（成立一年内的公司可提交验资证明复印件并加盖投标人公章）,且无收受人和项目的限制，但开具银行有限制规定的除外；</w:t>
      </w:r>
    </w:p>
    <w:p>
      <w:pPr>
        <w:spacing w:line="360" w:lineRule="auto"/>
        <w:ind w:firstLine="480" w:firstLineChars="200"/>
        <w:rPr>
          <w:rFonts w:ascii="宋体" w:hAnsi="宋体"/>
          <w:sz w:val="24"/>
        </w:rPr>
      </w:pPr>
      <w:r>
        <w:rPr>
          <w:rFonts w:hint="eastAsia" w:ascii="宋体" w:hAnsi="宋体"/>
          <w:sz w:val="24"/>
        </w:rPr>
        <w:t>2、银行资信证明应能说明该投标人与银行之间业务往来正常，企业信誉良好等；</w:t>
      </w:r>
    </w:p>
    <w:p>
      <w:pPr>
        <w:spacing w:line="360" w:lineRule="auto"/>
        <w:ind w:firstLine="480" w:firstLineChars="200"/>
        <w:rPr>
          <w:rFonts w:ascii="宋体" w:hAnsi="宋体"/>
          <w:sz w:val="24"/>
        </w:rPr>
      </w:pPr>
      <w:r>
        <w:rPr>
          <w:rFonts w:hint="eastAsia" w:ascii="宋体" w:hAnsi="宋体"/>
          <w:sz w:val="24"/>
        </w:rPr>
        <w:t>3、银行出具的存款证明不能替代银行资信证明，存款证明无效。</w:t>
      </w:r>
    </w:p>
    <w:p>
      <w:pPr>
        <w:spacing w:line="360" w:lineRule="auto"/>
        <w:rPr>
          <w:rFonts w:ascii="宋体" w:hAnsi="宋体"/>
          <w:sz w:val="24"/>
        </w:rPr>
      </w:pPr>
      <w:r>
        <w:rPr>
          <w:rFonts w:hint="eastAsia" w:ascii="宋体" w:hAnsi="宋体"/>
          <w:sz w:val="24"/>
        </w:rPr>
        <w:t>7-7有依法缴纳社会保障资金的良好记录（投标人逐月交纳社会保障资金的，须提供参加本次政府采购活动前</w:t>
      </w:r>
      <w:r>
        <w:rPr>
          <w:rFonts w:hint="eastAsia" w:ascii="宋体" w:hAnsi="宋体" w:cs="宋体"/>
          <w:color w:val="000000"/>
          <w:sz w:val="24"/>
        </w:rPr>
        <w:t>最近连续三个月的</w:t>
      </w:r>
      <w:r>
        <w:rPr>
          <w:rFonts w:hint="eastAsia" w:ascii="宋体" w:hAnsi="宋体"/>
          <w:sz w:val="24"/>
        </w:rPr>
        <w:t>纳社会保障资金的入账票据凭证复印件；投标人逐年交纳社会保障资金的，须提供参加本次政府采购活动上年度缴纳社会保障资金的入账票据凭证复印件。缴纳社会保障资金的入账票据凭证复印件须加盖本单位公章。）投标人在参加本次政府采购活动前</w:t>
      </w:r>
      <w:r>
        <w:rPr>
          <w:rFonts w:hint="eastAsia" w:ascii="宋体" w:hAnsi="宋体" w:cs="宋体"/>
          <w:color w:val="000000"/>
          <w:sz w:val="24"/>
        </w:rPr>
        <w:t>最近连续三个月的</w:t>
      </w:r>
      <w:r>
        <w:rPr>
          <w:rFonts w:hint="eastAsia" w:ascii="宋体" w:hAnsi="宋体"/>
          <w:sz w:val="24"/>
        </w:rPr>
        <w:t>依法缴纳税收的缴纳凭证复印件加盖投标人公章。</w:t>
      </w:r>
    </w:p>
    <w:p>
      <w:pPr>
        <w:spacing w:line="360" w:lineRule="auto"/>
        <w:rPr>
          <w:rFonts w:ascii="宋体" w:hAnsi="宋体"/>
          <w:sz w:val="24"/>
        </w:rPr>
      </w:pPr>
      <w:r>
        <w:rPr>
          <w:rFonts w:hint="eastAsia" w:ascii="宋体" w:hAnsi="宋体"/>
          <w:sz w:val="24"/>
        </w:rPr>
        <w:t>7-8参加本次政府采购活动前三年内，在经营活动中没有重大违法记录的声明（投标人须提供此声明，法定代表人或法人授权代表签字，须加盖本单位公章）</w:t>
      </w:r>
    </w:p>
    <w:p>
      <w:pPr>
        <w:spacing w:line="360" w:lineRule="auto"/>
        <w:rPr>
          <w:rFonts w:ascii="宋体" w:hAnsi="宋体"/>
          <w:sz w:val="24"/>
        </w:rPr>
      </w:pPr>
      <w:r>
        <w:rPr>
          <w:rFonts w:hint="eastAsia" w:ascii="宋体" w:hAnsi="宋体"/>
          <w:sz w:val="24"/>
        </w:rPr>
        <w:t>7-9</w:t>
      </w:r>
      <w:r>
        <w:rPr>
          <w:rFonts w:ascii="宋体" w:hAnsi="宋体"/>
          <w:sz w:val="24"/>
        </w:rPr>
        <w:t>投标人应提供在信用中国网站（</w:t>
      </w:r>
      <w:r>
        <w:rPr>
          <w:rFonts w:ascii="宋体" w:hAnsi="宋体"/>
          <w:sz w:val="24"/>
        </w:rPr>
        <w:drawing>
          <wp:inline distT="0" distB="0" distL="114300" distR="114300">
            <wp:extent cx="191135" cy="142875"/>
            <wp:effectExtent l="0" t="0" r="18415" b="9525"/>
            <wp:docPr id="6"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www.creditchina.gov.cn）“信用信息”、中国政府采购网（</w:t>
      </w:r>
      <w:r>
        <w:rPr>
          <w:rFonts w:ascii="宋体" w:hAnsi="宋体"/>
          <w:sz w:val="24"/>
        </w:rPr>
        <w:drawing>
          <wp:inline distT="0" distB="0" distL="114300" distR="114300">
            <wp:extent cx="191135" cy="142875"/>
            <wp:effectExtent l="0" t="0" r="18415" b="9525"/>
            <wp:docPr id="7" name="图片 7"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www.ccgp.gov.cn）“政府采购严重违法失信行为信息记录”信用记录查询结果</w:t>
      </w:r>
      <w:r>
        <w:rPr>
          <w:rFonts w:hint="eastAsia" w:ascii="宋体" w:hAnsi="宋体" w:cs="宋体"/>
          <w:sz w:val="24"/>
        </w:rPr>
        <w:t>（需注明截止时间，不得早于招标公告发布日期）</w:t>
      </w:r>
      <w:r>
        <w:rPr>
          <w:rFonts w:ascii="宋体" w:hAnsi="宋体"/>
          <w:sz w:val="24"/>
        </w:rPr>
        <w:t>打印页面并加盖公章</w:t>
      </w:r>
      <w:r>
        <w:rPr>
          <w:rFonts w:hint="eastAsia" w:ascii="宋体" w:hAnsi="宋体"/>
          <w:sz w:val="24"/>
        </w:rPr>
        <w:t>。</w:t>
      </w:r>
    </w:p>
    <w:p>
      <w:pPr>
        <w:spacing w:line="360" w:lineRule="auto"/>
        <w:rPr>
          <w:rFonts w:ascii="宋体" w:hAnsi="宋体"/>
          <w:sz w:val="24"/>
        </w:rPr>
      </w:pPr>
      <w:r>
        <w:rPr>
          <w:rFonts w:hint="eastAsia" w:ascii="宋体" w:hAnsi="宋体"/>
          <w:sz w:val="24"/>
        </w:rPr>
        <w:t>7-10投标人认为必要的其他资格证明文件复印件（须加盖本单位公章）</w:t>
      </w:r>
    </w:p>
    <w:p>
      <w:pPr>
        <w:spacing w:line="360" w:lineRule="auto"/>
        <w:rPr>
          <w:rFonts w:ascii="宋体" w:hAnsi="宋体"/>
          <w:sz w:val="24"/>
        </w:rPr>
      </w:pPr>
      <w:r>
        <w:rPr>
          <w:rFonts w:hint="eastAsia" w:ascii="宋体" w:hAnsi="宋体"/>
          <w:sz w:val="24"/>
        </w:rPr>
        <w:t>注明：</w:t>
      </w:r>
      <w:r>
        <w:rPr>
          <w:rFonts w:ascii="宋体" w:hAnsi="宋体"/>
          <w:sz w:val="24"/>
        </w:rPr>
        <w:t>提交“三证合一”新版营业执照的可不提供</w:t>
      </w:r>
      <w:r>
        <w:rPr>
          <w:rFonts w:hint="eastAsia" w:ascii="宋体" w:hAnsi="宋体"/>
          <w:sz w:val="24"/>
        </w:rPr>
        <w:t>上述《组织机构代码证》、《税务登记证》。</w:t>
      </w:r>
    </w:p>
    <w:p>
      <w:pPr>
        <w:spacing w:line="360" w:lineRule="auto"/>
        <w:jc w:val="center"/>
        <w:rPr>
          <w:rFonts w:hAnsi="宋体"/>
          <w:sz w:val="24"/>
        </w:rPr>
      </w:pPr>
    </w:p>
    <w:p>
      <w:pPr>
        <w:spacing w:line="360" w:lineRule="auto"/>
        <w:jc w:val="center"/>
        <w:rPr>
          <w:rFonts w:hAnsi="宋体"/>
          <w:b/>
          <w:sz w:val="24"/>
        </w:rPr>
      </w:pPr>
      <w:r>
        <w:rPr>
          <w:rFonts w:hAnsi="宋体"/>
          <w:sz w:val="24"/>
        </w:rPr>
        <w:br w:type="page"/>
      </w:r>
      <w:r>
        <w:rPr>
          <w:rFonts w:hint="eastAsia" w:ascii="宋体" w:hAnsi="宋体"/>
          <w:sz w:val="24"/>
        </w:rPr>
        <w:t>7-1企业法人营业执照副本或事业单位法人证书复印件</w:t>
      </w:r>
      <w:r>
        <w:rPr>
          <w:rFonts w:hint="eastAsia" w:hAnsi="宋体"/>
          <w:sz w:val="24"/>
        </w:rPr>
        <w:t>（须加盖本单位公章）</w:t>
      </w:r>
    </w:p>
    <w:p>
      <w:pPr>
        <w:spacing w:line="360" w:lineRule="auto"/>
        <w:rPr>
          <w:rFonts w:hAnsi="宋体"/>
          <w:sz w:val="24"/>
        </w:rPr>
      </w:pPr>
    </w:p>
    <w:p>
      <w:pPr>
        <w:spacing w:line="360" w:lineRule="auto"/>
        <w:jc w:val="center"/>
        <w:rPr>
          <w:rFonts w:hAnsi="宋体"/>
          <w:sz w:val="24"/>
        </w:rPr>
      </w:pPr>
      <w:r>
        <w:rPr>
          <w:rFonts w:hAnsi="宋体"/>
          <w:sz w:val="24"/>
        </w:rPr>
        <w:br w:type="page"/>
      </w:r>
      <w:r>
        <w:rPr>
          <w:rFonts w:hint="eastAsia" w:hAnsi="宋体"/>
          <w:sz w:val="24"/>
        </w:rPr>
        <w:t>7-2 税务登记证复印件（须加盖本单位公章）</w:t>
      </w:r>
    </w:p>
    <w:p>
      <w:pPr>
        <w:spacing w:line="360" w:lineRule="auto"/>
        <w:jc w:val="center"/>
        <w:rPr>
          <w:rFonts w:ascii="宋体" w:hAnsi="宋体"/>
          <w:sz w:val="24"/>
        </w:rPr>
      </w:pPr>
      <w:r>
        <w:rPr>
          <w:rFonts w:hAnsi="宋体"/>
          <w:sz w:val="24"/>
        </w:rPr>
        <w:br w:type="page"/>
      </w:r>
      <w:r>
        <w:rPr>
          <w:rFonts w:hint="eastAsia" w:hAnsi="宋体"/>
          <w:sz w:val="24"/>
        </w:rPr>
        <w:t>7-3 组织机构代码证复印件（须加盖本单位公章）</w:t>
      </w:r>
      <w:r>
        <w:rPr>
          <w:rFonts w:hAnsi="宋体"/>
          <w:sz w:val="24"/>
        </w:rPr>
        <w:br w:type="page"/>
      </w:r>
      <w:r>
        <w:rPr>
          <w:rFonts w:hint="eastAsia" w:ascii="宋体" w:hAnsi="宋体"/>
          <w:sz w:val="24"/>
        </w:rPr>
        <w:t>7-4 法定代表人授权书（格式）</w:t>
      </w:r>
    </w:p>
    <w:p>
      <w:pPr>
        <w:pStyle w:val="21"/>
        <w:spacing w:line="360" w:lineRule="auto"/>
        <w:jc w:val="center"/>
        <w:rPr>
          <w:rFonts w:hAnsi="宋体"/>
          <w:sz w:val="24"/>
          <w:u w:val="single"/>
        </w:rPr>
      </w:pPr>
    </w:p>
    <w:p>
      <w:pPr>
        <w:pStyle w:val="21"/>
        <w:spacing w:line="360" w:lineRule="auto"/>
        <w:ind w:firstLine="480" w:firstLineChars="200"/>
        <w:rPr>
          <w:rFonts w:hAnsi="宋体"/>
          <w:sz w:val="24"/>
        </w:rPr>
      </w:pPr>
      <w:r>
        <w:rPr>
          <w:rFonts w:hint="eastAsia" w:hAnsi="宋体"/>
          <w:sz w:val="24"/>
        </w:rPr>
        <w:t>本授权书声明：注册于</w:t>
      </w:r>
      <w:r>
        <w:rPr>
          <w:rFonts w:hint="eastAsia" w:hAnsi="宋体"/>
          <w:iCs/>
          <w:sz w:val="24"/>
          <w:u w:val="single"/>
        </w:rPr>
        <w:t>（国家或地区的名称）</w:t>
      </w:r>
      <w:r>
        <w:rPr>
          <w:rFonts w:hint="eastAsia" w:hAnsi="宋体"/>
          <w:sz w:val="24"/>
        </w:rPr>
        <w:t>的</w:t>
      </w:r>
      <w:r>
        <w:rPr>
          <w:rFonts w:hint="eastAsia" w:hAnsi="宋体"/>
          <w:iCs/>
          <w:sz w:val="24"/>
          <w:u w:val="single"/>
        </w:rPr>
        <w:t>（公司名称）</w:t>
      </w:r>
      <w:r>
        <w:rPr>
          <w:rFonts w:hint="eastAsia" w:hAnsi="宋体"/>
          <w:sz w:val="24"/>
        </w:rPr>
        <w:t>的在下面签字的（</w:t>
      </w:r>
      <w:r>
        <w:rPr>
          <w:rFonts w:hint="eastAsia" w:hAnsi="宋体"/>
          <w:sz w:val="24"/>
          <w:u w:val="single"/>
        </w:rPr>
        <w:t>法定代表人姓名、职务</w:t>
      </w:r>
      <w:r>
        <w:rPr>
          <w:rFonts w:hint="eastAsia" w:hAnsi="宋体"/>
          <w:sz w:val="24"/>
        </w:rPr>
        <w:t>）代表本公司授权</w:t>
      </w:r>
      <w:r>
        <w:rPr>
          <w:rFonts w:hint="eastAsia" w:hAnsi="宋体"/>
          <w:iCs/>
          <w:sz w:val="24"/>
          <w:u w:val="single"/>
        </w:rPr>
        <w:t>（单位名称）</w:t>
      </w:r>
      <w:r>
        <w:rPr>
          <w:rFonts w:hint="eastAsia" w:hAnsi="宋体"/>
          <w:sz w:val="24"/>
        </w:rPr>
        <w:t>的在下面签字的</w:t>
      </w:r>
      <w:r>
        <w:rPr>
          <w:rFonts w:hint="eastAsia" w:hAnsi="宋体"/>
          <w:iCs/>
          <w:sz w:val="24"/>
          <w:u w:val="single"/>
        </w:rPr>
        <w:t>（被授权人的姓名、职务）</w:t>
      </w:r>
      <w:r>
        <w:rPr>
          <w:rFonts w:hint="eastAsia" w:hAnsi="宋体"/>
          <w:sz w:val="24"/>
        </w:rPr>
        <w:t>为本公司的合法代理人，就</w:t>
      </w:r>
      <w:r>
        <w:rPr>
          <w:rFonts w:hint="eastAsia" w:hAnsi="宋体"/>
          <w:iCs/>
          <w:sz w:val="24"/>
          <w:u w:val="single"/>
        </w:rPr>
        <w:t>（项目名称）</w:t>
      </w:r>
      <w:r>
        <w:rPr>
          <w:rFonts w:hint="eastAsia" w:hAnsi="宋体"/>
          <w:sz w:val="24"/>
        </w:rPr>
        <w:t>投标，以本公司名义处理一切与之有关的事务。　　</w:t>
      </w:r>
    </w:p>
    <w:p>
      <w:pPr>
        <w:pStyle w:val="21"/>
        <w:tabs>
          <w:tab w:val="left" w:pos="5580"/>
        </w:tabs>
        <w:spacing w:line="360" w:lineRule="auto"/>
        <w:ind w:firstLine="480"/>
        <w:rPr>
          <w:rFonts w:hAnsi="宋体"/>
          <w:sz w:val="24"/>
        </w:rPr>
      </w:pPr>
      <w:r>
        <w:rPr>
          <w:rFonts w:hint="eastAsia" w:hAnsi="宋体"/>
          <w:sz w:val="24"/>
        </w:rPr>
        <w:t>本授权书于年月日签字生效，特此声明。</w:t>
      </w:r>
    </w:p>
    <w:p>
      <w:pPr>
        <w:pStyle w:val="21"/>
        <w:tabs>
          <w:tab w:val="left" w:pos="5580"/>
        </w:tabs>
        <w:spacing w:line="360" w:lineRule="auto"/>
        <w:ind w:firstLine="480"/>
        <w:rPr>
          <w:rFonts w:hAnsi="宋体"/>
          <w:sz w:val="24"/>
        </w:rPr>
      </w:pPr>
    </w:p>
    <w:p>
      <w:pPr>
        <w:pStyle w:val="21"/>
        <w:tabs>
          <w:tab w:val="left" w:pos="5580"/>
        </w:tabs>
        <w:spacing w:line="360" w:lineRule="auto"/>
        <w:rPr>
          <w:rFonts w:hAnsi="宋体"/>
          <w:sz w:val="24"/>
        </w:rPr>
      </w:pPr>
    </w:p>
    <w:p>
      <w:pPr>
        <w:pStyle w:val="21"/>
        <w:tabs>
          <w:tab w:val="left" w:pos="4200"/>
        </w:tabs>
        <w:spacing w:line="360" w:lineRule="auto"/>
        <w:rPr>
          <w:rFonts w:hAnsi="宋体"/>
          <w:sz w:val="24"/>
        </w:rPr>
      </w:pPr>
    </w:p>
    <w:p>
      <w:pPr>
        <w:pStyle w:val="21"/>
        <w:tabs>
          <w:tab w:val="left" w:pos="4200"/>
        </w:tabs>
        <w:spacing w:line="360" w:lineRule="auto"/>
        <w:ind w:firstLine="3158" w:firstLineChars="1316"/>
        <w:rPr>
          <w:rFonts w:hAnsi="宋体"/>
          <w:sz w:val="24"/>
        </w:rPr>
      </w:pPr>
      <w:r>
        <w:rPr>
          <w:rFonts w:hint="eastAsia" w:hAnsi="宋体"/>
          <w:sz w:val="24"/>
        </w:rPr>
        <w:t>法定代表人签字和盖章：</w:t>
      </w:r>
      <w:r>
        <w:rPr>
          <w:rFonts w:hint="eastAsia" w:hAnsi="宋体"/>
          <w:sz w:val="24"/>
          <w:u w:val="single"/>
        </w:rPr>
        <w:t>　　　　　　　　　　　</w:t>
      </w:r>
    </w:p>
    <w:p>
      <w:pPr>
        <w:pStyle w:val="21"/>
        <w:tabs>
          <w:tab w:val="left" w:pos="4200"/>
        </w:tabs>
        <w:spacing w:line="360" w:lineRule="auto"/>
        <w:ind w:firstLine="3158" w:firstLineChars="1316"/>
        <w:rPr>
          <w:rFonts w:hAnsi="宋体"/>
          <w:sz w:val="24"/>
        </w:rPr>
      </w:pPr>
      <w:r>
        <w:rPr>
          <w:rFonts w:hint="eastAsia" w:hAnsi="宋体"/>
          <w:sz w:val="24"/>
        </w:rPr>
        <w:t>法人授权代表签字：</w:t>
      </w:r>
      <w:r>
        <w:rPr>
          <w:rFonts w:hint="eastAsia" w:hAnsi="宋体"/>
          <w:sz w:val="24"/>
          <w:u w:val="single"/>
        </w:rPr>
        <w:t>　　　　　　　　　　　　　</w:t>
      </w:r>
    </w:p>
    <w:p>
      <w:pPr>
        <w:pStyle w:val="21"/>
        <w:tabs>
          <w:tab w:val="left" w:pos="4200"/>
        </w:tabs>
        <w:spacing w:line="360" w:lineRule="auto"/>
        <w:ind w:firstLine="3158" w:firstLineChars="1316"/>
        <w:rPr>
          <w:rFonts w:hAnsi="宋体"/>
          <w:sz w:val="24"/>
        </w:rPr>
      </w:pPr>
      <w:r>
        <w:rPr>
          <w:rFonts w:hint="eastAsia" w:hAnsi="宋体"/>
          <w:sz w:val="24"/>
        </w:rPr>
        <w:t>投标人(盖章)：</w:t>
      </w:r>
      <w:r>
        <w:rPr>
          <w:rFonts w:hint="eastAsia" w:hAnsi="宋体"/>
          <w:sz w:val="24"/>
          <w:u w:val="single"/>
        </w:rPr>
        <w:t>　　　　　　　　　　　　　　　</w:t>
      </w:r>
    </w:p>
    <w:p>
      <w:pPr>
        <w:pStyle w:val="21"/>
        <w:tabs>
          <w:tab w:val="left" w:pos="5580"/>
        </w:tabs>
        <w:spacing w:line="360" w:lineRule="auto"/>
        <w:rPr>
          <w:rFonts w:hAnsi="宋体"/>
          <w:sz w:val="24"/>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rPr>
      </w:pPr>
    </w:p>
    <w:p>
      <w:pPr>
        <w:tabs>
          <w:tab w:val="left" w:pos="5580"/>
        </w:tabs>
        <w:spacing w:before="240" w:line="360" w:lineRule="auto"/>
        <w:ind w:left="1911" w:leftChars="910"/>
        <w:rPr>
          <w:rFonts w:ascii="宋体" w:hAnsi="宋体"/>
          <w:sz w:val="24"/>
          <w:szCs w:val="20"/>
          <w:u w:val="single"/>
        </w:rPr>
      </w:pPr>
    </w:p>
    <w:p>
      <w:pPr>
        <w:spacing w:line="360" w:lineRule="auto"/>
        <w:rPr>
          <w:rFonts w:ascii="宋体" w:hAnsi="宋体"/>
          <w:sz w:val="24"/>
          <w:u w:val="single"/>
        </w:rPr>
      </w:pPr>
      <w:r>
        <w:rPr>
          <w:rFonts w:hint="eastAsia" w:ascii="宋体" w:hAnsi="宋体"/>
          <w:sz w:val="24"/>
        </w:rPr>
        <w:t>注：</w:t>
      </w:r>
      <w:r>
        <w:rPr>
          <w:rFonts w:hint="eastAsia" w:ascii="宋体" w:hAnsi="宋体"/>
          <w:sz w:val="24"/>
          <w:u w:val="single"/>
        </w:rPr>
        <w:t>1、附法人及其</w:t>
      </w:r>
      <w:r>
        <w:rPr>
          <w:rFonts w:ascii="宋体" w:hAnsi="宋体"/>
          <w:sz w:val="24"/>
          <w:u w:val="single"/>
        </w:rPr>
        <w:t>授权</w:t>
      </w:r>
      <w:r>
        <w:rPr>
          <w:rFonts w:hint="eastAsia" w:ascii="宋体" w:hAnsi="宋体"/>
          <w:sz w:val="24"/>
          <w:u w:val="single"/>
        </w:rPr>
        <w:t>代表身份证复印件并加盖投标人公章。</w:t>
      </w:r>
    </w:p>
    <w:p>
      <w:pPr>
        <w:spacing w:line="360" w:lineRule="auto"/>
        <w:ind w:firstLine="480" w:firstLineChars="200"/>
        <w:rPr>
          <w:rFonts w:ascii="宋体" w:hAnsi="宋体"/>
          <w:sz w:val="24"/>
        </w:rPr>
      </w:pPr>
      <w:r>
        <w:rPr>
          <w:rFonts w:hint="eastAsia" w:ascii="宋体" w:hAnsi="宋体"/>
          <w:sz w:val="24"/>
          <w:u w:val="single"/>
        </w:rPr>
        <w:t>2、本授权书格式为参考格式，投标人可依据自身实际情况自行出具授权书。如采用此授权书格式，则须严格按照格式要求完整填写各项内容，由法定代表人签字和加盖签名章和法人</w:t>
      </w:r>
      <w:r>
        <w:rPr>
          <w:rFonts w:ascii="宋体" w:hAnsi="宋体"/>
          <w:sz w:val="24"/>
          <w:u w:val="single"/>
        </w:rPr>
        <w:t>授权</w:t>
      </w:r>
      <w:r>
        <w:rPr>
          <w:rFonts w:hint="eastAsia" w:ascii="宋体" w:hAnsi="宋体"/>
          <w:sz w:val="24"/>
          <w:u w:val="single"/>
        </w:rPr>
        <w:t>代表签字并加盖投标人公章方为有效，否则视其授权书无效。</w:t>
      </w:r>
    </w:p>
    <w:p>
      <w:pPr>
        <w:tabs>
          <w:tab w:val="left" w:pos="5580"/>
        </w:tabs>
        <w:spacing w:before="240" w:line="360" w:lineRule="auto"/>
        <w:jc w:val="center"/>
        <w:rPr>
          <w:rFonts w:hAnsi="宋体"/>
          <w:sz w:val="24"/>
        </w:rPr>
      </w:pPr>
    </w:p>
    <w:p>
      <w:pPr>
        <w:tabs>
          <w:tab w:val="left" w:pos="5580"/>
        </w:tabs>
        <w:spacing w:before="240" w:line="360" w:lineRule="auto"/>
        <w:jc w:val="center"/>
        <w:rPr>
          <w:rFonts w:ascii="宋体" w:hAnsi="宋体"/>
          <w:sz w:val="24"/>
        </w:rPr>
      </w:pPr>
      <w:r>
        <w:rPr>
          <w:rFonts w:hint="eastAsia" w:ascii="宋体" w:hAnsi="宋体"/>
          <w:sz w:val="24"/>
        </w:rPr>
        <w:t>7-5法人及其授权代表身份证复印件（须加盖本单位公章）</w:t>
      </w:r>
    </w:p>
    <w:p>
      <w:pPr>
        <w:tabs>
          <w:tab w:val="left" w:pos="5580"/>
        </w:tabs>
        <w:spacing w:before="240" w:line="360" w:lineRule="auto"/>
        <w:ind w:left="1911" w:leftChars="910"/>
        <w:rPr>
          <w:rFonts w:ascii="宋体" w:hAnsi="宋体"/>
          <w:sz w:val="24"/>
          <w:szCs w:val="20"/>
          <w:u w:val="single"/>
        </w:rPr>
      </w:pPr>
    </w:p>
    <w:p>
      <w:pPr>
        <w:tabs>
          <w:tab w:val="left" w:pos="5580"/>
        </w:tabs>
        <w:spacing w:before="240" w:line="360" w:lineRule="auto"/>
        <w:rPr>
          <w:rFonts w:ascii="宋体" w:hAnsi="宋体"/>
          <w:sz w:val="24"/>
          <w:szCs w:val="20"/>
          <w:u w:val="single"/>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bookmarkEnd w:id="323"/>
    <w:p>
      <w:pPr>
        <w:spacing w:line="360" w:lineRule="auto"/>
        <w:jc w:val="center"/>
        <w:rPr>
          <w:rFonts w:ascii="宋体" w:hAnsi="宋体"/>
          <w:sz w:val="24"/>
          <w:u w:val="single"/>
        </w:rPr>
      </w:pPr>
      <w:bookmarkStart w:id="327" w:name="_Toc236642997"/>
      <w:r>
        <w:rPr>
          <w:rFonts w:hint="eastAsia" w:ascii="宋体" w:hAnsi="宋体"/>
          <w:sz w:val="24"/>
        </w:rPr>
        <w:t>7-6投标人提供经会计师事务所出具的上一年度完整的财务审计报告复印件，并加盖投标人公章。如投标人无法提供上一年度审计报告，则须提供银行出具的资信证明。</w:t>
      </w:r>
    </w:p>
    <w:p>
      <w:pPr>
        <w:spacing w:line="360" w:lineRule="auto"/>
        <w:ind w:left="1164" w:leftChars="97" w:hanging="960" w:hangingChars="400"/>
        <w:rPr>
          <w:rFonts w:ascii="宋体" w:hAnsi="宋体"/>
          <w:sz w:val="24"/>
          <w:u w:val="single"/>
        </w:rPr>
      </w:pPr>
    </w:p>
    <w:p>
      <w:pPr>
        <w:spacing w:line="360" w:lineRule="auto"/>
        <w:ind w:left="1559" w:leftChars="228" w:hanging="1080" w:hangingChars="450"/>
        <w:rPr>
          <w:rFonts w:ascii="宋体" w:hAnsi="宋体"/>
          <w:sz w:val="24"/>
        </w:rPr>
      </w:pPr>
      <w:r>
        <w:rPr>
          <w:rFonts w:hint="eastAsia" w:ascii="宋体" w:hAnsi="宋体"/>
          <w:sz w:val="24"/>
        </w:rPr>
        <w:t>说明：1、银行资信证明是指投标人参加本次投标截止日前三个月内银行出具的资信证明（成立一年内的公司可提交验资证明复印件并加盖投标人公章）,且无收受人和项目的限制，但开具银行有限制规定的除外；</w:t>
      </w:r>
    </w:p>
    <w:p>
      <w:pPr>
        <w:spacing w:line="360" w:lineRule="auto"/>
        <w:ind w:left="1496" w:leftChars="541" w:hanging="360" w:hangingChars="150"/>
        <w:rPr>
          <w:rFonts w:ascii="宋体" w:hAnsi="宋体"/>
          <w:sz w:val="24"/>
        </w:rPr>
      </w:pPr>
      <w:r>
        <w:rPr>
          <w:rFonts w:hint="eastAsia" w:ascii="宋体" w:hAnsi="宋体"/>
          <w:sz w:val="24"/>
        </w:rPr>
        <w:t>2、银行资信证明应能说明该投标人与银行之间业务往来正常，企业信誉良好等；</w:t>
      </w:r>
    </w:p>
    <w:p>
      <w:pPr>
        <w:spacing w:line="360" w:lineRule="auto"/>
        <w:ind w:left="777" w:leftChars="370" w:firstLine="360" w:firstLineChars="150"/>
        <w:rPr>
          <w:rFonts w:ascii="宋体" w:hAnsi="宋体"/>
          <w:sz w:val="24"/>
        </w:rPr>
      </w:pPr>
      <w:r>
        <w:rPr>
          <w:rFonts w:hint="eastAsia" w:ascii="宋体" w:hAnsi="宋体"/>
          <w:sz w:val="24"/>
        </w:rPr>
        <w:t>3、银行出具的存款证明不能替代银行资信证明，存款证明无效。</w:t>
      </w:r>
    </w:p>
    <w:p>
      <w:pPr>
        <w:spacing w:line="360" w:lineRule="auto"/>
        <w:ind w:left="777" w:leftChars="370" w:firstLine="360" w:firstLineChars="150"/>
        <w:rPr>
          <w:rFonts w:ascii="宋体" w:hAnsi="宋体"/>
          <w:sz w:val="24"/>
        </w:rPr>
      </w:pPr>
    </w:p>
    <w:p>
      <w:pPr>
        <w:spacing w:line="360" w:lineRule="auto"/>
        <w:rPr>
          <w:rFonts w:ascii="宋体" w:hAnsi="宋体"/>
          <w:b/>
          <w:sz w:val="24"/>
        </w:rPr>
      </w:pPr>
    </w:p>
    <w:p>
      <w:pPr>
        <w:spacing w:line="360" w:lineRule="auto"/>
        <w:rPr>
          <w:rFonts w:ascii="宋体" w:hAnsi="宋体"/>
          <w:b/>
          <w:sz w:val="24"/>
        </w:rPr>
      </w:pPr>
    </w:p>
    <w:p>
      <w:pPr>
        <w:spacing w:line="360" w:lineRule="auto"/>
        <w:jc w:val="center"/>
        <w:rPr>
          <w:sz w:val="24"/>
        </w:rPr>
      </w:pPr>
      <w:r>
        <w:rPr>
          <w:rFonts w:ascii="宋体" w:hAnsi="宋体"/>
          <w:sz w:val="24"/>
        </w:rPr>
        <w:br w:type="page"/>
      </w:r>
      <w:r>
        <w:rPr>
          <w:rFonts w:hint="eastAsia" w:ascii="宋体" w:hAnsi="宋体"/>
          <w:sz w:val="24"/>
        </w:rPr>
        <w:t>7-7有依法缴纳社会保障资金和税收的良好记录</w:t>
      </w:r>
    </w:p>
    <w:p>
      <w:pPr>
        <w:spacing w:line="360" w:lineRule="auto"/>
        <w:ind w:firstLine="360" w:firstLineChars="150"/>
      </w:pPr>
      <w:r>
        <w:rPr>
          <w:rFonts w:hint="eastAsia" w:ascii="宋体" w:hAnsi="宋体"/>
          <w:sz w:val="24"/>
        </w:rPr>
        <w:t>（1）投标人逐月交纳社会保障资金的，须提供参加本次政府采购活动最近连续三个月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p>
    <w:p>
      <w:pPr>
        <w:pStyle w:val="4"/>
        <w:spacing w:line="360" w:lineRule="auto"/>
        <w:ind w:firstLine="480" w:firstLineChars="200"/>
      </w:pPr>
      <w:r>
        <w:rPr>
          <w:rFonts w:hint="eastAsia" w:hAnsi="宋体"/>
        </w:rPr>
        <w:t>（2）投标人在参加本次政府采购活动前最近连续三个月依法缴纳税收的缴纳凭证复印件加盖投标人公章。</w:t>
      </w:r>
    </w:p>
    <w:p>
      <w:pPr>
        <w:spacing w:line="360" w:lineRule="auto"/>
        <w:rPr>
          <w:b/>
        </w:rPr>
      </w:pPr>
    </w:p>
    <w:p>
      <w:pPr>
        <w:spacing w:line="360" w:lineRule="auto"/>
        <w:ind w:left="525" w:hanging="525" w:hangingChars="250"/>
        <w:rPr>
          <w:rFonts w:ascii="宋体" w:hAnsi="宋体"/>
          <w:sz w:val="24"/>
        </w:rPr>
      </w:pPr>
      <w:r>
        <w:br w:type="page"/>
      </w:r>
      <w:r>
        <w:rPr>
          <w:rFonts w:hint="eastAsia" w:ascii="宋体" w:hAnsi="宋体"/>
          <w:sz w:val="24"/>
        </w:rPr>
        <w:t>7-8参加本次政府采购活动前三年内，在经营活动中没有重大违法记录的声明（投标人须提供此声明，法定代表人或法人授权代表签字，须加盖本单位公章）</w:t>
      </w:r>
    </w:p>
    <w:p>
      <w:pPr>
        <w:pStyle w:val="4"/>
        <w:spacing w:line="360" w:lineRule="auto"/>
        <w:ind w:firstLine="0"/>
        <w:rPr>
          <w:rFonts w:ascii="Times New Roman"/>
        </w:rPr>
      </w:pPr>
    </w:p>
    <w:p>
      <w:pPr>
        <w:pStyle w:val="4"/>
        <w:spacing w:line="360" w:lineRule="auto"/>
        <w:ind w:firstLine="0"/>
        <w:rPr>
          <w:rFonts w:ascii="Times New Roman"/>
        </w:rPr>
      </w:pPr>
      <w:r>
        <w:rPr>
          <w:rFonts w:ascii="Times New Roman"/>
        </w:rPr>
        <w:t>致：</w:t>
      </w:r>
      <w:r>
        <w:rPr>
          <w:rFonts w:hint="eastAsia" w:ascii="Times New Roman"/>
          <w:u w:val="single"/>
        </w:rPr>
        <w:t>北京农业职业学院</w:t>
      </w: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r>
        <w:rPr>
          <w:rFonts w:ascii="Times New Roman"/>
        </w:rPr>
        <w:t>我公司在参加本次采购活动前三年内，在经营活动中没有重大违法记录。</w:t>
      </w: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r>
        <w:rPr>
          <w:rFonts w:ascii="Times New Roman"/>
        </w:rPr>
        <w:t>特此声明。</w:t>
      </w: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r>
        <w:rPr>
          <w:rFonts w:hint="eastAsia" w:ascii="Times New Roman"/>
        </w:rPr>
        <w:t>法人</w:t>
      </w:r>
      <w:r>
        <w:rPr>
          <w:rFonts w:ascii="Times New Roman"/>
        </w:rPr>
        <w:t>授权</w:t>
      </w:r>
      <w:r>
        <w:rPr>
          <w:rFonts w:hint="eastAsia" w:ascii="Times New Roman"/>
        </w:rPr>
        <w:t>代表</w:t>
      </w:r>
      <w:r>
        <w:rPr>
          <w:rFonts w:ascii="Times New Roman"/>
        </w:rPr>
        <w:t>签字：</w:t>
      </w:r>
    </w:p>
    <w:p>
      <w:pPr>
        <w:pStyle w:val="4"/>
        <w:spacing w:line="360" w:lineRule="auto"/>
        <w:ind w:firstLine="480" w:firstLineChars="200"/>
        <w:rPr>
          <w:rFonts w:ascii="Times New Roman"/>
        </w:rPr>
      </w:pPr>
      <w:r>
        <w:rPr>
          <w:rFonts w:ascii="Times New Roman"/>
        </w:rPr>
        <w:t xml:space="preserve">                                  投标人公章</w:t>
      </w:r>
    </w:p>
    <w:p>
      <w:pPr>
        <w:pStyle w:val="4"/>
        <w:spacing w:line="360" w:lineRule="auto"/>
        <w:ind w:firstLine="4560" w:firstLineChars="1900"/>
        <w:rPr>
          <w:rFonts w:ascii="Times New Roman"/>
        </w:rPr>
      </w:pPr>
      <w:r>
        <w:rPr>
          <w:rFonts w:ascii="Times New Roman"/>
        </w:rPr>
        <w:t>年   月    日</w:t>
      </w:r>
    </w:p>
    <w:p>
      <w:pPr>
        <w:pStyle w:val="4"/>
        <w:spacing w:line="360" w:lineRule="auto"/>
        <w:ind w:firstLine="4560" w:firstLineChars="1900"/>
        <w:rPr>
          <w:rFonts w:ascii="Times New Roman"/>
        </w:rPr>
      </w:pPr>
    </w:p>
    <w:p>
      <w:pPr>
        <w:spacing w:line="360" w:lineRule="auto"/>
        <w:ind w:left="600" w:hanging="600" w:hangingChars="250"/>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widowControl/>
        <w:spacing w:line="360" w:lineRule="auto"/>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jc w:val="left"/>
        <w:rPr>
          <w:rFonts w:ascii="宋体" w:hAnsi="宋体"/>
          <w:sz w:val="24"/>
        </w:rPr>
      </w:pPr>
      <w:r>
        <w:rPr>
          <w:rFonts w:ascii="宋体" w:hAnsi="宋体"/>
          <w:sz w:val="24"/>
        </w:rPr>
        <w:br w:type="page"/>
      </w:r>
      <w:r>
        <w:rPr>
          <w:rFonts w:hint="eastAsia" w:ascii="宋体" w:hAnsi="宋体"/>
          <w:sz w:val="24"/>
        </w:rPr>
        <w:t>7-9</w:t>
      </w:r>
      <w:r>
        <w:rPr>
          <w:rFonts w:ascii="宋体" w:hAnsi="宋体"/>
          <w:sz w:val="24"/>
        </w:rPr>
        <w:t>投标人应提供在信用中国网站（</w:t>
      </w:r>
      <w:r>
        <w:rPr>
          <w:rFonts w:ascii="宋体" w:hAnsi="宋体"/>
          <w:sz w:val="24"/>
        </w:rPr>
        <w:drawing>
          <wp:inline distT="0" distB="0" distL="114300" distR="114300">
            <wp:extent cx="191135" cy="142875"/>
            <wp:effectExtent l="0" t="0" r="18415" b="9525"/>
            <wp:docPr id="8"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www.creditchina.gov.cn）“信用信息”、中国政府采购网（</w:t>
      </w:r>
      <w:r>
        <w:rPr>
          <w:rFonts w:ascii="宋体" w:hAnsi="宋体"/>
          <w:sz w:val="24"/>
        </w:rPr>
        <w:drawing>
          <wp:inline distT="0" distB="0" distL="114300" distR="114300">
            <wp:extent cx="191135" cy="142875"/>
            <wp:effectExtent l="0" t="0" r="18415" b="9525"/>
            <wp:docPr id="9" name="图片 9"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www.ccgp.gov.cn）“政府采购严重违法失信行为信息记录”信用记录查询结果</w:t>
      </w:r>
      <w:r>
        <w:rPr>
          <w:rFonts w:hint="eastAsia" w:ascii="宋体" w:hAnsi="宋体" w:cs="宋体"/>
          <w:sz w:val="24"/>
        </w:rPr>
        <w:t>（需注明截止时间，不得早于招标公告发布日期）</w:t>
      </w:r>
      <w:r>
        <w:rPr>
          <w:rFonts w:ascii="宋体" w:hAnsi="宋体"/>
          <w:sz w:val="24"/>
        </w:rPr>
        <w:t>打印页面并加盖公章</w:t>
      </w:r>
      <w:r>
        <w:rPr>
          <w:rFonts w:hint="eastAsia" w:ascii="宋体" w:hAnsi="宋体"/>
          <w:sz w:val="24"/>
        </w:rPr>
        <w:t>。</w:t>
      </w: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7-10投标人认为必要的其他资格证明文件复印件（须加盖本单位公章）</w:t>
      </w:r>
    </w:p>
    <w:p>
      <w:pPr>
        <w:spacing w:line="360" w:lineRule="auto"/>
        <w:ind w:firstLine="600" w:firstLineChars="250"/>
        <w:jc w:val="center"/>
        <w:rPr>
          <w:rFonts w:ascii="宋体" w:hAnsi="宋体"/>
          <w:sz w:val="24"/>
        </w:rPr>
      </w:pPr>
    </w:p>
    <w:p>
      <w:pPr>
        <w:spacing w:line="360" w:lineRule="auto"/>
        <w:jc w:val="center"/>
        <w:rPr>
          <w:rFonts w:ascii="宋体" w:hAnsi="宋体"/>
          <w:b/>
          <w:sz w:val="24"/>
        </w:rPr>
      </w:pPr>
    </w:p>
    <w:p>
      <w:pPr>
        <w:spacing w:line="360" w:lineRule="auto"/>
        <w:rPr>
          <w:rFonts w:ascii="宋体" w:hAnsi="宋体"/>
          <w:sz w:val="24"/>
        </w:rPr>
      </w:pPr>
    </w:p>
    <w:p>
      <w:pPr>
        <w:pStyle w:val="5"/>
        <w:spacing w:before="0" w:line="360" w:lineRule="auto"/>
        <w:ind w:left="899" w:hanging="899"/>
        <w:jc w:val="center"/>
        <w:rPr>
          <w:rFonts w:hint="default"/>
          <w:sz w:val="28"/>
          <w:szCs w:val="28"/>
        </w:rPr>
      </w:pPr>
      <w:bookmarkStart w:id="328" w:name="_Toc310195769"/>
      <w:r>
        <w:rPr>
          <w:sz w:val="28"/>
          <w:szCs w:val="28"/>
        </w:rPr>
        <w:br w:type="page"/>
      </w:r>
      <w:bookmarkStart w:id="329" w:name="_Toc497905885"/>
      <w:r>
        <w:rPr>
          <w:sz w:val="28"/>
          <w:szCs w:val="28"/>
        </w:rPr>
        <w:t>8 业绩案例一览表</w:t>
      </w:r>
      <w:bookmarkEnd w:id="328"/>
      <w:bookmarkEnd w:id="329"/>
    </w:p>
    <w:tbl>
      <w:tblPr>
        <w:tblStyle w:val="50"/>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0"/>
        <w:gridCol w:w="1260"/>
        <w:gridCol w:w="1260"/>
        <w:gridCol w:w="1440"/>
        <w:gridCol w:w="17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52" w:type="dxa"/>
            <w:vAlign w:val="center"/>
          </w:tcPr>
          <w:p>
            <w:pPr>
              <w:spacing w:line="360" w:lineRule="auto"/>
              <w:rPr>
                <w:rFonts w:ascii="宋体" w:hAnsi="宋体"/>
                <w:b/>
                <w:sz w:val="24"/>
              </w:rPr>
            </w:pPr>
            <w:r>
              <w:rPr>
                <w:rFonts w:hint="eastAsia" w:ascii="宋体" w:hAnsi="宋体"/>
                <w:b/>
                <w:sz w:val="24"/>
              </w:rPr>
              <w:t>序号</w:t>
            </w:r>
          </w:p>
        </w:tc>
        <w:tc>
          <w:tcPr>
            <w:tcW w:w="1980" w:type="dxa"/>
            <w:vAlign w:val="center"/>
          </w:tcPr>
          <w:p>
            <w:pPr>
              <w:spacing w:line="360" w:lineRule="auto"/>
              <w:rPr>
                <w:rFonts w:ascii="宋体" w:hAnsi="宋体"/>
                <w:b/>
                <w:sz w:val="24"/>
              </w:rPr>
            </w:pPr>
            <w:r>
              <w:rPr>
                <w:rFonts w:hint="eastAsia" w:ascii="宋体" w:hAnsi="宋体"/>
                <w:b/>
                <w:sz w:val="24"/>
              </w:rPr>
              <w:t>项目名称</w:t>
            </w:r>
          </w:p>
        </w:tc>
        <w:tc>
          <w:tcPr>
            <w:tcW w:w="1260" w:type="dxa"/>
            <w:vAlign w:val="center"/>
          </w:tcPr>
          <w:p>
            <w:pPr>
              <w:spacing w:line="360" w:lineRule="auto"/>
              <w:rPr>
                <w:rFonts w:ascii="宋体" w:hAnsi="宋体"/>
                <w:b/>
                <w:sz w:val="24"/>
              </w:rPr>
            </w:pPr>
            <w:r>
              <w:rPr>
                <w:rFonts w:hint="eastAsia" w:ascii="宋体" w:hAnsi="宋体"/>
                <w:b/>
                <w:sz w:val="24"/>
              </w:rPr>
              <w:t>用户名称</w:t>
            </w:r>
          </w:p>
        </w:tc>
        <w:tc>
          <w:tcPr>
            <w:tcW w:w="1260" w:type="dxa"/>
            <w:vAlign w:val="center"/>
          </w:tcPr>
          <w:p>
            <w:pPr>
              <w:spacing w:line="360" w:lineRule="auto"/>
              <w:rPr>
                <w:rFonts w:ascii="宋体" w:hAnsi="宋体"/>
                <w:b/>
                <w:sz w:val="24"/>
              </w:rPr>
            </w:pPr>
            <w:r>
              <w:rPr>
                <w:rFonts w:hint="eastAsia" w:ascii="宋体" w:hAnsi="宋体"/>
                <w:b/>
                <w:sz w:val="24"/>
              </w:rPr>
              <w:t>合同金额</w:t>
            </w:r>
          </w:p>
        </w:tc>
        <w:tc>
          <w:tcPr>
            <w:tcW w:w="1440" w:type="dxa"/>
            <w:vAlign w:val="center"/>
          </w:tcPr>
          <w:p>
            <w:pPr>
              <w:spacing w:line="360" w:lineRule="auto"/>
              <w:rPr>
                <w:rFonts w:ascii="宋体" w:hAnsi="宋体"/>
                <w:b/>
                <w:sz w:val="24"/>
              </w:rPr>
            </w:pPr>
            <w:r>
              <w:rPr>
                <w:rFonts w:hint="eastAsia" w:ascii="宋体" w:hAnsi="宋体"/>
                <w:b/>
                <w:sz w:val="24"/>
              </w:rPr>
              <w:t>用户联系人</w:t>
            </w:r>
          </w:p>
        </w:tc>
        <w:tc>
          <w:tcPr>
            <w:tcW w:w="1778" w:type="dxa"/>
            <w:vAlign w:val="center"/>
          </w:tcPr>
          <w:p>
            <w:pPr>
              <w:spacing w:line="360" w:lineRule="auto"/>
              <w:rPr>
                <w:rFonts w:ascii="宋体" w:hAnsi="宋体"/>
                <w:b/>
                <w:sz w:val="24"/>
              </w:rPr>
            </w:pPr>
            <w:r>
              <w:rPr>
                <w:rFonts w:hint="eastAsia" w:ascii="宋体" w:hAnsi="宋体"/>
                <w:b/>
                <w:sz w:val="24"/>
              </w:rPr>
              <w:t>用户联系电话</w:t>
            </w:r>
          </w:p>
        </w:tc>
        <w:tc>
          <w:tcPr>
            <w:tcW w:w="720" w:type="dxa"/>
            <w:vAlign w:val="center"/>
          </w:tcPr>
          <w:p>
            <w:pPr>
              <w:spacing w:line="360" w:lineRule="auto"/>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bl>
    <w:p>
      <w:pPr>
        <w:tabs>
          <w:tab w:val="left" w:pos="5580"/>
        </w:tabs>
        <w:spacing w:before="360" w:line="360" w:lineRule="auto"/>
        <w:ind w:left="1232" w:leftChars="300" w:hanging="602" w:hangingChars="250"/>
        <w:rPr>
          <w:rFonts w:ascii="宋体" w:hAnsi="宋体"/>
          <w:sz w:val="24"/>
        </w:rPr>
      </w:pPr>
      <w:r>
        <w:rPr>
          <w:rFonts w:hint="eastAsia" w:ascii="宋体" w:hAnsi="宋体"/>
          <w:b/>
          <w:kern w:val="0"/>
          <w:sz w:val="24"/>
          <w:szCs w:val="20"/>
        </w:rPr>
        <w:t>注：</w:t>
      </w:r>
      <w:r>
        <w:rPr>
          <w:rFonts w:hint="eastAsia" w:ascii="宋体" w:hAnsi="宋体"/>
          <w:b/>
          <w:sz w:val="24"/>
        </w:rPr>
        <w:t>（所提供合同必须包括合同首页、金额所在页、签字盖章页，评委保留对上述资料原件审核的权力）。</w:t>
      </w: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pStyle w:val="5"/>
        <w:spacing w:line="360" w:lineRule="auto"/>
        <w:ind w:left="899" w:hanging="899"/>
        <w:jc w:val="center"/>
        <w:rPr>
          <w:rFonts w:hint="default"/>
          <w:b/>
          <w:sz w:val="30"/>
          <w:szCs w:val="30"/>
        </w:rPr>
      </w:pPr>
      <w:r>
        <w:br w:type="page"/>
      </w:r>
      <w:bookmarkStart w:id="330" w:name="_Toc497905886"/>
      <w:bookmarkStart w:id="331" w:name="_Toc310195770"/>
      <w:r>
        <w:rPr>
          <w:b/>
          <w:sz w:val="30"/>
          <w:szCs w:val="30"/>
        </w:rPr>
        <w:t>9 售后服务及培训计划</w:t>
      </w:r>
      <w:bookmarkEnd w:id="330"/>
    </w:p>
    <w:p>
      <w:pPr>
        <w:pStyle w:val="5"/>
        <w:spacing w:before="0" w:line="360" w:lineRule="auto"/>
        <w:ind w:left="899" w:hanging="899"/>
        <w:jc w:val="center"/>
        <w:rPr>
          <w:rFonts w:hint="default"/>
        </w:rPr>
      </w:pPr>
      <w:bookmarkStart w:id="332" w:name="_Toc497905887"/>
      <w:bookmarkStart w:id="333" w:name="_Toc31453"/>
      <w:r>
        <w:rPr>
          <w:sz w:val="28"/>
          <w:szCs w:val="28"/>
        </w:rPr>
        <w:t>（投标人自行提供）</w:t>
      </w:r>
      <w:r>
        <w:rPr>
          <w:rFonts w:hint="default" w:ascii="Cambria Math" w:hAnsi="Cambria Math" w:cs="Cambria Math"/>
          <w:sz w:val="28"/>
          <w:szCs w:val="28"/>
        </w:rPr>
        <w:t> </w:t>
      </w:r>
      <w:bookmarkEnd w:id="331"/>
      <w:bookmarkEnd w:id="332"/>
      <w:bookmarkEnd w:id="333"/>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pPr>
    </w:p>
    <w:p>
      <w:pPr>
        <w:pStyle w:val="5"/>
        <w:spacing w:line="360" w:lineRule="auto"/>
        <w:jc w:val="center"/>
        <w:rPr>
          <w:rFonts w:hint="default"/>
          <w:b/>
          <w:sz w:val="30"/>
          <w:szCs w:val="30"/>
        </w:rPr>
      </w:pPr>
      <w:bookmarkStart w:id="334" w:name="_Toc497905888"/>
      <w:r>
        <w:rPr>
          <w:b/>
          <w:sz w:val="30"/>
          <w:szCs w:val="30"/>
        </w:rPr>
        <w:t>10 履约保证金保函（中标后开具）</w:t>
      </w:r>
      <w:bookmarkEnd w:id="334"/>
    </w:p>
    <w:p>
      <w:pPr>
        <w:pStyle w:val="21"/>
        <w:wordWrap w:val="0"/>
        <w:spacing w:line="360" w:lineRule="auto"/>
        <w:jc w:val="right"/>
        <w:rPr>
          <w:rFonts w:ascii="Times New Roman" w:hAnsi="Times New Roman"/>
          <w:sz w:val="24"/>
          <w:szCs w:val="24"/>
        </w:rPr>
      </w:pPr>
      <w:r>
        <w:rPr>
          <w:rFonts w:ascii="Times New Roman" w:hAnsi="Times New Roman"/>
          <w:sz w:val="24"/>
          <w:szCs w:val="24"/>
        </w:rPr>
        <w:t>开具日期：</w:t>
      </w:r>
    </w:p>
    <w:p>
      <w:pPr>
        <w:pStyle w:val="21"/>
        <w:spacing w:line="360" w:lineRule="auto"/>
        <w:rPr>
          <w:rFonts w:ascii="Times New Roman" w:hAnsi="Times New Roman"/>
          <w:sz w:val="24"/>
          <w:szCs w:val="24"/>
        </w:rPr>
      </w:pPr>
      <w:r>
        <w:rPr>
          <w:rFonts w:ascii="Times New Roman" w:hAnsi="Times New Roman"/>
          <w:sz w:val="24"/>
          <w:szCs w:val="24"/>
        </w:rPr>
        <w:t>致：</w:t>
      </w:r>
      <w:r>
        <w:rPr>
          <w:rFonts w:ascii="Times New Roman" w:hAnsi="Times New Roman"/>
          <w:i/>
          <w:sz w:val="24"/>
          <w:szCs w:val="24"/>
          <w:u w:val="single"/>
        </w:rPr>
        <w:t>(招标人名称)</w:t>
      </w:r>
    </w:p>
    <w:p>
      <w:pPr>
        <w:pStyle w:val="21"/>
        <w:spacing w:line="360" w:lineRule="auto"/>
        <w:ind w:firstLine="420"/>
        <w:rPr>
          <w:rFonts w:ascii="Times New Roman" w:hAnsi="Times New Roman"/>
          <w:sz w:val="24"/>
          <w:szCs w:val="24"/>
        </w:rPr>
      </w:pPr>
      <w:r>
        <w:rPr>
          <w:rFonts w:ascii="Times New Roman" w:hAnsi="Times New Roman"/>
          <w:sz w:val="24"/>
          <w:szCs w:val="24"/>
        </w:rPr>
        <w:t>本保函作为贵方与(</w:t>
      </w:r>
      <w:r>
        <w:rPr>
          <w:rFonts w:ascii="Times New Roman" w:hAnsi="Times New Roman"/>
          <w:i/>
          <w:sz w:val="24"/>
          <w:szCs w:val="24"/>
          <w:u w:val="single"/>
        </w:rPr>
        <w:t>卖方名称</w:t>
      </w:r>
      <w:r>
        <w:rPr>
          <w:rFonts w:ascii="Times New Roman" w:hAnsi="Times New Roman"/>
          <w:sz w:val="24"/>
          <w:szCs w:val="24"/>
        </w:rPr>
        <w:t>)(以下简称卖方)于________年_____月____日就________项目(以下简称项目)项下提供(</w:t>
      </w:r>
      <w:r>
        <w:rPr>
          <w:rFonts w:ascii="Times New Roman" w:hAnsi="Times New Roman"/>
          <w:i/>
          <w:sz w:val="24"/>
          <w:szCs w:val="24"/>
          <w:u w:val="single"/>
        </w:rPr>
        <w:t xml:space="preserve">         名称</w:t>
      </w:r>
      <w:r>
        <w:rPr>
          <w:rFonts w:ascii="Times New Roman" w:hAnsi="Times New Roman"/>
          <w:sz w:val="24"/>
          <w:szCs w:val="24"/>
        </w:rPr>
        <w:t>)签订的(</w:t>
      </w:r>
      <w:r>
        <w:rPr>
          <w:rFonts w:ascii="Times New Roman" w:hAnsi="Times New Roman"/>
          <w:i/>
          <w:sz w:val="24"/>
          <w:szCs w:val="24"/>
          <w:u w:val="single"/>
        </w:rPr>
        <w:t>合同号</w:t>
      </w:r>
      <w:r>
        <w:rPr>
          <w:rFonts w:ascii="Times New Roman" w:hAnsi="Times New Roman"/>
          <w:sz w:val="24"/>
          <w:szCs w:val="24"/>
        </w:rPr>
        <w:t>)号合同的履约保函。</w:t>
      </w:r>
    </w:p>
    <w:p>
      <w:pPr>
        <w:pStyle w:val="21"/>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i/>
          <w:sz w:val="24"/>
          <w:szCs w:val="24"/>
          <w:u w:val="single"/>
        </w:rPr>
        <w:t>出具保函的银行名称</w:t>
      </w:r>
      <w:r>
        <w:rPr>
          <w:rFonts w:ascii="Times New Roman" w:hAnsi="Times New Roman"/>
          <w:sz w:val="24"/>
          <w:szCs w:val="24"/>
        </w:rPr>
        <w:t>)(以下简称银行)无条件地、不可撤销地具结保证本行、其继承人和受让人无追索地向贵方以(</w:t>
      </w:r>
      <w:r>
        <w:rPr>
          <w:rFonts w:ascii="Times New Roman" w:hAnsi="Times New Roman"/>
          <w:i/>
          <w:sz w:val="24"/>
          <w:szCs w:val="24"/>
          <w:u w:val="single"/>
        </w:rPr>
        <w:t>货币名称</w:t>
      </w:r>
      <w:r>
        <w:rPr>
          <w:rFonts w:ascii="Times New Roman" w:hAnsi="Times New Roman"/>
          <w:sz w:val="24"/>
          <w:szCs w:val="24"/>
        </w:rPr>
        <w:t>)支付总额不超过(</w:t>
      </w:r>
      <w:r>
        <w:rPr>
          <w:rFonts w:ascii="Times New Roman" w:hAnsi="Times New Roman"/>
          <w:i/>
          <w:sz w:val="24"/>
          <w:szCs w:val="24"/>
          <w:u w:val="single"/>
        </w:rPr>
        <w:t>货币数量</w:t>
      </w:r>
      <w:r>
        <w:rPr>
          <w:rFonts w:ascii="Times New Roman" w:hAnsi="Times New Roman"/>
          <w:sz w:val="24"/>
          <w:szCs w:val="24"/>
        </w:rPr>
        <w:t>),即相当于合同价格的%,并以此约定如下:</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1.只要贵方确定卖方未能忠实地履行所有合同文件的规定和双方此后一致同意的修改、补充和变动,包括更改和/或修补贵方认为有缺陷的</w:t>
      </w:r>
      <w:r>
        <w:rPr>
          <w:rFonts w:hint="eastAsia" w:ascii="Times New Roman" w:hAnsi="Times New Roman"/>
          <w:sz w:val="24"/>
          <w:szCs w:val="24"/>
        </w:rPr>
        <w:t>产品</w:t>
      </w:r>
      <w:r>
        <w:rPr>
          <w:rFonts w:ascii="Times New Roman" w:hAnsi="Times New Roman"/>
          <w:sz w:val="24"/>
          <w:szCs w:val="24"/>
        </w:rPr>
        <w:t>(以下简称违约),无论卖方有任何反对,本行将凭贵方关于卖方违约说明的书面通知,立即按贵方提出的累计总额不超过上述金额的款项和按贵方通知规定的方式付给贵方。</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2.本保函项下的任何支付应为免税和净值。对于现有或将来的税收、关税、收费、费用扣减或预提税款，不论这些款项是何种性质和由谁征收，都不应从本保函项下的支付中扣除。</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4.本保函在本合同规定的保证期期满前完全有效。</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谨启</w:t>
      </w:r>
    </w:p>
    <w:p>
      <w:pPr>
        <w:pStyle w:val="21"/>
        <w:spacing w:line="360" w:lineRule="auto"/>
        <w:rPr>
          <w:rFonts w:ascii="Times New Roman" w:hAnsi="Times New Roman"/>
          <w:sz w:val="24"/>
          <w:szCs w:val="24"/>
        </w:rPr>
      </w:pPr>
      <w:r>
        <w:rPr>
          <w:rFonts w:ascii="Times New Roman" w:hAnsi="Times New Roman"/>
          <w:sz w:val="24"/>
          <w:szCs w:val="24"/>
        </w:rPr>
        <w:t>出具保函银行名称____________________________</w:t>
      </w:r>
    </w:p>
    <w:p>
      <w:pPr>
        <w:pStyle w:val="21"/>
        <w:spacing w:line="360" w:lineRule="auto"/>
        <w:rPr>
          <w:rFonts w:ascii="Times New Roman" w:hAnsi="Times New Roman"/>
          <w:sz w:val="24"/>
          <w:szCs w:val="24"/>
        </w:rPr>
      </w:pPr>
      <w:r>
        <w:rPr>
          <w:rFonts w:ascii="Times New Roman" w:hAnsi="Times New Roman"/>
          <w:sz w:val="24"/>
          <w:szCs w:val="24"/>
        </w:rPr>
        <w:t>签字人姓名和职务____________________________</w:t>
      </w:r>
    </w:p>
    <w:p>
      <w:pPr>
        <w:pStyle w:val="21"/>
        <w:spacing w:line="360" w:lineRule="auto"/>
        <w:rPr>
          <w:rFonts w:ascii="Times New Roman" w:hAnsi="Times New Roman"/>
          <w:sz w:val="24"/>
          <w:szCs w:val="24"/>
        </w:rPr>
      </w:pPr>
      <w:r>
        <w:rPr>
          <w:rFonts w:ascii="Times New Roman" w:hAnsi="Times New Roman"/>
          <w:sz w:val="24"/>
          <w:szCs w:val="24"/>
        </w:rPr>
        <w:t>签字人签名__________________________________</w:t>
      </w:r>
    </w:p>
    <w:p>
      <w:pPr>
        <w:pStyle w:val="21"/>
        <w:spacing w:line="360" w:lineRule="auto"/>
        <w:rPr>
          <w:rFonts w:ascii="Times New Roman" w:hAnsi="Times New Roman"/>
          <w:sz w:val="24"/>
          <w:szCs w:val="24"/>
        </w:rPr>
      </w:pPr>
      <w:r>
        <w:rPr>
          <w:rFonts w:ascii="Times New Roman" w:hAnsi="Times New Roman"/>
          <w:sz w:val="24"/>
          <w:szCs w:val="24"/>
        </w:rPr>
        <w:t>公章______________________</w:t>
      </w:r>
      <w:r>
        <w:rPr>
          <w:rFonts w:ascii="Times New Roman" w:hAnsi="Times New Roman"/>
          <w:sz w:val="24"/>
          <w:szCs w:val="24"/>
          <w:u w:val="single"/>
        </w:rPr>
        <w:t>____________</w:t>
      </w:r>
      <w:r>
        <w:rPr>
          <w:rFonts w:ascii="Times New Roman" w:hAnsi="Times New Roman"/>
          <w:sz w:val="24"/>
          <w:szCs w:val="24"/>
        </w:rPr>
        <w:t>______</w:t>
      </w:r>
    </w:p>
    <w:p>
      <w:pPr>
        <w:pStyle w:val="5"/>
        <w:spacing w:before="0" w:line="360" w:lineRule="auto"/>
        <w:ind w:left="899" w:hanging="899"/>
        <w:jc w:val="center"/>
        <w:rPr>
          <w:rFonts w:hint="default"/>
          <w:b/>
          <w:sz w:val="30"/>
          <w:szCs w:val="30"/>
        </w:rPr>
      </w:pPr>
      <w:r>
        <w:br w:type="page"/>
      </w:r>
      <w:bookmarkStart w:id="335" w:name="_Toc497905889"/>
      <w:bookmarkStart w:id="336" w:name="_Toc310195772"/>
      <w:r>
        <w:rPr>
          <w:b/>
          <w:sz w:val="30"/>
          <w:szCs w:val="30"/>
        </w:rPr>
        <w:t>11 中标服务费承诺书</w:t>
      </w:r>
      <w:bookmarkEnd w:id="335"/>
      <w:bookmarkEnd w:id="336"/>
    </w:p>
    <w:p>
      <w:pPr>
        <w:pStyle w:val="4"/>
        <w:spacing w:line="360" w:lineRule="auto"/>
        <w:rPr>
          <w:rFonts w:hAnsi="宋体"/>
        </w:rPr>
      </w:pPr>
    </w:p>
    <w:p>
      <w:pPr>
        <w:spacing w:line="360" w:lineRule="auto"/>
        <w:rPr>
          <w:rFonts w:ascii="宋体" w:hAnsi="宋体"/>
          <w:sz w:val="24"/>
          <w:u w:val="single"/>
        </w:rPr>
      </w:pPr>
      <w:r>
        <w:rPr>
          <w:rFonts w:hint="eastAsia" w:ascii="宋体" w:hAnsi="宋体"/>
          <w:sz w:val="24"/>
        </w:rPr>
        <w:t>致：北京华采招标代理有限公司</w:t>
      </w:r>
    </w:p>
    <w:p>
      <w:pPr>
        <w:widowControl/>
        <w:spacing w:line="360" w:lineRule="auto"/>
        <w:ind w:firstLine="480" w:firstLineChars="200"/>
        <w:jc w:val="left"/>
        <w:rPr>
          <w:rFonts w:ascii="宋体" w:hAnsi="宋体" w:cs="宋体"/>
          <w:kern w:val="0"/>
          <w:sz w:val="24"/>
        </w:rPr>
      </w:pPr>
      <w:r>
        <w:rPr>
          <w:rFonts w:hint="eastAsia" w:ascii="宋体" w:hAnsi="宋体"/>
          <w:sz w:val="24"/>
        </w:rPr>
        <w:t>我们在贵公司组织的</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项目招标中若获中标（招标文件编号：</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），我们保证在领取中标通知书时按招标文件的规定，以支票、电汇或现金，向贵公司一次性支付应该交纳的中标服务费用。收费标准依据国家按计价格[2002]1980号文、</w:t>
      </w:r>
      <w:r>
        <w:rPr>
          <w:rFonts w:hint="eastAsia" w:ascii="宋体" w:hAnsi="宋体" w:cs="宋体"/>
          <w:kern w:val="0"/>
          <w:sz w:val="24"/>
        </w:rPr>
        <w:t>发改办价格[2003]857号文及</w:t>
      </w:r>
      <w:r>
        <w:rPr>
          <w:rFonts w:ascii="宋体" w:hAnsi="宋体" w:cs="宋体"/>
          <w:kern w:val="0"/>
          <w:sz w:val="24"/>
        </w:rPr>
        <w:t>发改价格</w:t>
      </w:r>
      <w:r>
        <w:rPr>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ab/>
      </w:r>
      <w:r>
        <w:rPr>
          <w:rFonts w:hint="eastAsia" w:ascii="宋体" w:hAnsi="宋体"/>
          <w:sz w:val="24"/>
        </w:rPr>
        <w:t>承诺方法定名称：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电话：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ab/>
      </w:r>
      <w:r>
        <w:rPr>
          <w:rFonts w:hint="eastAsia" w:ascii="宋体" w:hAnsi="宋体"/>
          <w:sz w:val="24"/>
        </w:rPr>
        <w:tab/>
      </w:r>
      <w:r>
        <w:rPr>
          <w:rFonts w:hint="eastAsia" w:ascii="宋体" w:hAnsi="宋体"/>
          <w:sz w:val="24"/>
        </w:rPr>
        <w:t>传真：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邮编：</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承诺方法定代表人签字：</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（承诺方盖章）</w:t>
      </w:r>
    </w:p>
    <w:p>
      <w:pPr>
        <w:spacing w:line="360" w:lineRule="auto"/>
        <w:rPr>
          <w:rFonts w:ascii="宋体" w:hAnsi="宋体"/>
          <w:sz w:val="24"/>
          <w:u w:val="single"/>
        </w:rPr>
      </w:pPr>
      <w:r>
        <w:rPr>
          <w:rFonts w:hint="eastAsia" w:ascii="宋体" w:hAnsi="宋体"/>
          <w:sz w:val="24"/>
        </w:rPr>
        <w:tab/>
      </w:r>
      <w:r>
        <w:rPr>
          <w:rFonts w:hint="eastAsia" w:ascii="宋体" w:hAnsi="宋体"/>
          <w:sz w:val="24"/>
        </w:rPr>
        <w:t>承诺日期：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pStyle w:val="4"/>
        <w:spacing w:line="360" w:lineRule="auto"/>
        <w:rPr>
          <w:rFonts w:hAnsi="宋体"/>
        </w:rPr>
      </w:pPr>
    </w:p>
    <w:p>
      <w:pPr>
        <w:pStyle w:val="4"/>
        <w:spacing w:line="360" w:lineRule="auto"/>
        <w:rPr>
          <w:rFonts w:hAnsi="宋体"/>
        </w:rPr>
      </w:pPr>
    </w:p>
    <w:bookmarkEnd w:id="327"/>
    <w:p>
      <w:pPr>
        <w:tabs>
          <w:tab w:val="left" w:pos="5580"/>
        </w:tabs>
        <w:spacing w:before="360" w:line="360" w:lineRule="auto"/>
        <w:rPr>
          <w:rFonts w:ascii="宋体" w:hAnsi="宋体"/>
          <w:bCs/>
          <w:sz w:val="24"/>
        </w:rPr>
      </w:pPr>
    </w:p>
    <w:p>
      <w:pPr>
        <w:tabs>
          <w:tab w:val="left" w:pos="5580"/>
        </w:tabs>
        <w:spacing w:before="360" w:line="360" w:lineRule="auto"/>
        <w:rPr>
          <w:rFonts w:ascii="宋体" w:hAnsi="宋体"/>
          <w:bCs/>
          <w:sz w:val="24"/>
        </w:rPr>
      </w:pPr>
    </w:p>
    <w:p>
      <w:pPr>
        <w:pStyle w:val="5"/>
        <w:spacing w:line="480" w:lineRule="auto"/>
        <w:ind w:left="899" w:hanging="899"/>
        <w:jc w:val="center"/>
        <w:rPr>
          <w:rFonts w:hint="default"/>
          <w:b/>
          <w:sz w:val="30"/>
          <w:szCs w:val="30"/>
        </w:rPr>
      </w:pPr>
      <w:r>
        <w:rPr>
          <w:b/>
        </w:rPr>
        <w:br w:type="page"/>
      </w:r>
      <w:bookmarkStart w:id="337" w:name="_Toc324255619"/>
      <w:bookmarkStart w:id="338" w:name="_Toc497905890"/>
      <w:bookmarkStart w:id="339" w:name="_Toc386123375"/>
      <w:r>
        <w:rPr>
          <w:b/>
          <w:sz w:val="30"/>
          <w:szCs w:val="30"/>
        </w:rPr>
        <w:t>12 政府采购信用担保投标担保函格式</w:t>
      </w:r>
      <w:bookmarkEnd w:id="337"/>
      <w:bookmarkEnd w:id="338"/>
      <w:bookmarkEnd w:id="339"/>
    </w:p>
    <w:p>
      <w:pPr>
        <w:spacing w:line="240" w:lineRule="atLeast"/>
        <w:ind w:left="1080" w:leftChars="257" w:hanging="540"/>
        <w:jc w:val="center"/>
        <w:rPr>
          <w:rFonts w:ascii="仿宋_GB2312" w:hAnsi="宋体" w:eastAsia="仿宋_GB2312"/>
          <w:sz w:val="24"/>
        </w:rPr>
      </w:pPr>
    </w:p>
    <w:p>
      <w:pPr>
        <w:jc w:val="center"/>
        <w:rPr>
          <w:sz w:val="24"/>
        </w:rPr>
      </w:pPr>
      <w:r>
        <w:rPr>
          <w:rFonts w:hint="eastAsia"/>
          <w:sz w:val="24"/>
        </w:rPr>
        <w:t>政府采购投标担保函（项目用）</w:t>
      </w:r>
    </w:p>
    <w:p>
      <w:pPr>
        <w:ind w:firstLine="7680" w:firstLineChars="3200"/>
        <w:rPr>
          <w:sz w:val="24"/>
        </w:rPr>
      </w:pPr>
      <w:r>
        <w:rPr>
          <w:rFonts w:hint="eastAsia"/>
          <w:sz w:val="24"/>
        </w:rPr>
        <w:t>编号：</w:t>
      </w:r>
    </w:p>
    <w:p>
      <w:pPr>
        <w:rPr>
          <w:sz w:val="24"/>
        </w:rPr>
      </w:pPr>
    </w:p>
    <w:p>
      <w:pPr>
        <w:rPr>
          <w:sz w:val="24"/>
        </w:rPr>
      </w:pPr>
      <w:r>
        <w:rPr>
          <w:rFonts w:hint="eastAsia"/>
          <w:sz w:val="24"/>
        </w:rPr>
        <w:t>（采购人或采购代理机构）：</w:t>
      </w:r>
    </w:p>
    <w:p>
      <w:pPr>
        <w:rPr>
          <w:sz w:val="24"/>
        </w:rPr>
      </w:pPr>
    </w:p>
    <w:p>
      <w:pPr>
        <w:spacing w:before="240" w:beforeLines="100" w:line="360" w:lineRule="auto"/>
        <w:ind w:firstLine="480" w:firstLineChars="200"/>
        <w:rPr>
          <w:sz w:val="24"/>
        </w:rPr>
      </w:pPr>
      <w:r>
        <w:rPr>
          <w:rFonts w:hint="eastAsia"/>
          <w:sz w:val="24"/>
        </w:rPr>
        <w:t>鉴于（以下简称“投标人”）拟参加编号为的</w:t>
      </w:r>
    </w:p>
    <w:p>
      <w:pPr>
        <w:spacing w:before="240" w:beforeLines="100" w:line="360" w:lineRule="auto"/>
        <w:rPr>
          <w:sz w:val="24"/>
        </w:rPr>
      </w:pPr>
      <w:r>
        <w:rPr>
          <w:rFonts w:hint="eastAsia"/>
          <w:sz w:val="24"/>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ind w:firstLine="480" w:firstLineChars="200"/>
        <w:rPr>
          <w:sz w:val="24"/>
        </w:rPr>
      </w:pPr>
      <w:r>
        <w:rPr>
          <w:rFonts w:hint="eastAsia"/>
          <w:sz w:val="24"/>
        </w:rPr>
        <w:t>一、保证责任的情形及保证金额</w:t>
      </w:r>
    </w:p>
    <w:p>
      <w:pPr>
        <w:spacing w:line="360" w:lineRule="auto"/>
        <w:ind w:firstLine="240" w:firstLineChars="100"/>
        <w:rPr>
          <w:sz w:val="24"/>
        </w:rPr>
      </w:pPr>
      <w:r>
        <w:rPr>
          <w:rFonts w:hint="eastAsia"/>
          <w:sz w:val="24"/>
        </w:rPr>
        <w:t>（一）在投标人出现下列情形之一时，我方承担保证责任：</w:t>
      </w:r>
    </w:p>
    <w:p>
      <w:pPr>
        <w:spacing w:line="360" w:lineRule="auto"/>
        <w:ind w:firstLine="480" w:firstLineChars="200"/>
        <w:rPr>
          <w:sz w:val="24"/>
        </w:rPr>
      </w:pPr>
      <w:r>
        <w:rPr>
          <w:rFonts w:hint="eastAsia"/>
          <w:sz w:val="24"/>
        </w:rPr>
        <w:t>1．中标后投标人无正当理由不与采购人或者采购代理机构签订《政府采购合同》；</w:t>
      </w:r>
    </w:p>
    <w:p>
      <w:pPr>
        <w:spacing w:line="360" w:lineRule="auto"/>
        <w:ind w:firstLine="480" w:firstLineChars="200"/>
        <w:rPr>
          <w:sz w:val="24"/>
        </w:rPr>
      </w:pPr>
      <w:r>
        <w:rPr>
          <w:rFonts w:hint="eastAsia"/>
          <w:sz w:val="24"/>
        </w:rPr>
        <w:t>2．招标文件规定的投标人应当交纳保证金的其他情形。</w:t>
      </w:r>
    </w:p>
    <w:p>
      <w:pPr>
        <w:spacing w:line="360" w:lineRule="auto"/>
        <w:ind w:firstLine="240" w:firstLineChars="100"/>
        <w:rPr>
          <w:sz w:val="24"/>
        </w:rPr>
      </w:pPr>
      <w:r>
        <w:rPr>
          <w:rFonts w:hint="eastAsia"/>
          <w:sz w:val="24"/>
        </w:rPr>
        <w:t>（二）我方承担保证责任的最高金额为人民币元（大写），即本项目的投标保证金金额。</w:t>
      </w:r>
    </w:p>
    <w:p>
      <w:pPr>
        <w:spacing w:line="360" w:lineRule="auto"/>
        <w:ind w:firstLine="480" w:firstLineChars="200"/>
        <w:rPr>
          <w:sz w:val="24"/>
        </w:rPr>
      </w:pPr>
      <w:r>
        <w:rPr>
          <w:rFonts w:hint="eastAsia"/>
          <w:sz w:val="24"/>
        </w:rPr>
        <w:t>二、保证的方式及保证期间</w:t>
      </w:r>
    </w:p>
    <w:p>
      <w:pPr>
        <w:spacing w:before="240" w:beforeLines="100" w:line="360" w:lineRule="auto"/>
        <w:ind w:firstLine="480" w:firstLineChars="200"/>
        <w:rPr>
          <w:sz w:val="24"/>
        </w:rPr>
      </w:pPr>
      <w:r>
        <w:rPr>
          <w:rFonts w:hint="eastAsia"/>
          <w:sz w:val="24"/>
        </w:rPr>
        <w:t>我方保证的方式为：连带责任保证。</w:t>
      </w:r>
    </w:p>
    <w:p>
      <w:pPr>
        <w:spacing w:before="240" w:beforeLines="100" w:line="360" w:lineRule="auto"/>
        <w:ind w:firstLine="480" w:firstLineChars="200"/>
        <w:rPr>
          <w:sz w:val="24"/>
        </w:rPr>
      </w:pPr>
      <w:r>
        <w:rPr>
          <w:rFonts w:hint="eastAsia"/>
          <w:sz w:val="24"/>
        </w:rPr>
        <w:t>我方的保证期间为：自本保函生效之日起个月止。</w:t>
      </w:r>
    </w:p>
    <w:p>
      <w:pPr>
        <w:spacing w:line="360" w:lineRule="auto"/>
        <w:ind w:firstLine="480" w:firstLineChars="200"/>
        <w:rPr>
          <w:sz w:val="24"/>
        </w:rPr>
      </w:pPr>
      <w:r>
        <w:rPr>
          <w:rFonts w:hint="eastAsia"/>
          <w:sz w:val="24"/>
        </w:rPr>
        <w:t>三、承担保证责任的程序</w:t>
      </w:r>
    </w:p>
    <w:p>
      <w:pPr>
        <w:spacing w:line="360" w:lineRule="auto"/>
        <w:ind w:firstLine="480" w:firstLineChars="200"/>
        <w:rPr>
          <w:sz w:val="24"/>
        </w:rPr>
      </w:pPr>
      <w:r>
        <w:rPr>
          <w:rFonts w:hint="eastAsia"/>
          <w:sz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360" w:lineRule="auto"/>
        <w:ind w:firstLine="480" w:firstLineChars="200"/>
        <w:rPr>
          <w:sz w:val="24"/>
        </w:rPr>
      </w:pPr>
      <w:r>
        <w:rPr>
          <w:rFonts w:hint="eastAsia"/>
          <w:sz w:val="24"/>
        </w:rPr>
        <w:t>2．我方在收到索赔通知及相关证明材料后，在</w:t>
      </w:r>
      <w:r>
        <w:rPr>
          <w:rFonts w:hint="eastAsia"/>
          <w:sz w:val="24"/>
          <w:u w:val="single"/>
        </w:rPr>
        <w:t>　　　</w:t>
      </w:r>
      <w:r>
        <w:rPr>
          <w:rFonts w:hint="eastAsia"/>
          <w:sz w:val="24"/>
        </w:rPr>
        <w:t>个工作日内进行审查，符合应承担保证责任情形的，我方应按照你方的要求代投标人向你方支付投标保证金。</w:t>
      </w:r>
    </w:p>
    <w:p>
      <w:pPr>
        <w:spacing w:line="360" w:lineRule="auto"/>
        <w:ind w:firstLine="480" w:firstLineChars="200"/>
        <w:rPr>
          <w:sz w:val="24"/>
        </w:rPr>
      </w:pPr>
      <w:r>
        <w:rPr>
          <w:rFonts w:hint="eastAsia"/>
          <w:sz w:val="24"/>
        </w:rPr>
        <w:t>四、保证责任的终止</w:t>
      </w:r>
    </w:p>
    <w:p>
      <w:pPr>
        <w:spacing w:line="360" w:lineRule="auto"/>
        <w:ind w:firstLine="480" w:firstLineChars="200"/>
        <w:rPr>
          <w:sz w:val="24"/>
        </w:rPr>
      </w:pPr>
      <w:r>
        <w:rPr>
          <w:rFonts w:hint="eastAsia"/>
          <w:sz w:val="24"/>
        </w:rPr>
        <w:t>1．保证期间届满你方未向我方书面主张保证责任的，自保证期间届满次日起，我方保证责任自动终止。</w:t>
      </w:r>
    </w:p>
    <w:p>
      <w:pPr>
        <w:spacing w:line="360" w:lineRule="auto"/>
        <w:ind w:firstLine="480" w:firstLineChars="200"/>
        <w:rPr>
          <w:sz w:val="24"/>
        </w:rPr>
      </w:pPr>
      <w:r>
        <w:rPr>
          <w:rFonts w:hint="eastAsia"/>
          <w:sz w:val="24"/>
        </w:rPr>
        <w:t>2．我方按照本保函向你贵方履行了保证责任后，自我方向你贵方支付款项（支付款项从我方账户划出）之日起，保证责任终止。</w:t>
      </w:r>
    </w:p>
    <w:p>
      <w:pPr>
        <w:spacing w:line="360" w:lineRule="auto"/>
        <w:ind w:firstLine="480" w:firstLineChars="200"/>
        <w:rPr>
          <w:sz w:val="24"/>
        </w:rPr>
      </w:pPr>
      <w:r>
        <w:rPr>
          <w:rFonts w:hint="eastAsia"/>
          <w:sz w:val="24"/>
        </w:rPr>
        <w:t>3．按照法律法规的规定或出现我方保证责任终止的其它情形的，我方在本保函项下的保证责任亦终止。</w:t>
      </w:r>
    </w:p>
    <w:p>
      <w:pPr>
        <w:spacing w:line="360" w:lineRule="auto"/>
        <w:ind w:firstLine="480" w:firstLineChars="200"/>
        <w:rPr>
          <w:sz w:val="24"/>
        </w:rPr>
      </w:pPr>
      <w:r>
        <w:rPr>
          <w:rFonts w:hint="eastAsia"/>
          <w:sz w:val="24"/>
        </w:rPr>
        <w:t>五、免责条款</w:t>
      </w:r>
    </w:p>
    <w:p>
      <w:pPr>
        <w:spacing w:line="360" w:lineRule="auto"/>
        <w:ind w:firstLine="480" w:firstLineChars="200"/>
        <w:rPr>
          <w:sz w:val="24"/>
        </w:rPr>
      </w:pPr>
      <w:r>
        <w:rPr>
          <w:rFonts w:hint="eastAsia"/>
          <w:sz w:val="24"/>
        </w:rPr>
        <w:t>1．依照法律规定或你方与投标人的另行约定，全部或者部分免除投标人投标保证金义务时，我方亦免除相应的保证责任。</w:t>
      </w:r>
    </w:p>
    <w:p>
      <w:pPr>
        <w:spacing w:line="360" w:lineRule="auto"/>
        <w:ind w:firstLine="480" w:firstLineChars="200"/>
        <w:rPr>
          <w:sz w:val="24"/>
        </w:rPr>
      </w:pPr>
      <w:r>
        <w:rPr>
          <w:rFonts w:hint="eastAsia"/>
          <w:sz w:val="24"/>
        </w:rPr>
        <w:t>2．因你方原因致使投标人发生本保函第一条第（一）款约定情形的，我方不承担保证责任。</w:t>
      </w:r>
    </w:p>
    <w:p>
      <w:pPr>
        <w:spacing w:line="360" w:lineRule="auto"/>
        <w:ind w:firstLine="480" w:firstLineChars="200"/>
        <w:rPr>
          <w:sz w:val="24"/>
        </w:rPr>
      </w:pPr>
      <w:r>
        <w:rPr>
          <w:rFonts w:hint="eastAsia"/>
          <w:sz w:val="24"/>
        </w:rPr>
        <w:t>3．因不可抗力造成投标人发生本保函第一条约定情形的，我方不承担保证责任。</w:t>
      </w:r>
    </w:p>
    <w:p>
      <w:pPr>
        <w:spacing w:line="360" w:lineRule="auto"/>
        <w:ind w:firstLine="480" w:firstLineChars="200"/>
        <w:rPr>
          <w:sz w:val="24"/>
        </w:rPr>
      </w:pPr>
      <w:r>
        <w:rPr>
          <w:rFonts w:hint="eastAsia"/>
          <w:sz w:val="24"/>
        </w:rPr>
        <w:t>4．你方或其他有权机关对招标文件进行任何澄清或修改，加重我方保证责任的，我方对加重部分不承担保证责任，但该澄清或修改经我方事先书面同意的除外。</w:t>
      </w:r>
    </w:p>
    <w:p>
      <w:pPr>
        <w:spacing w:line="360" w:lineRule="auto"/>
        <w:ind w:firstLine="480" w:firstLineChars="200"/>
        <w:rPr>
          <w:sz w:val="24"/>
        </w:rPr>
      </w:pPr>
      <w:r>
        <w:rPr>
          <w:rFonts w:hint="eastAsia"/>
          <w:sz w:val="24"/>
        </w:rPr>
        <w:t>六、争议的解决</w:t>
      </w:r>
    </w:p>
    <w:p>
      <w:pPr>
        <w:spacing w:line="360" w:lineRule="auto"/>
        <w:ind w:firstLine="480" w:firstLineChars="200"/>
        <w:rPr>
          <w:sz w:val="24"/>
        </w:rPr>
      </w:pPr>
      <w:r>
        <w:rPr>
          <w:rFonts w:hint="eastAsia"/>
          <w:sz w:val="24"/>
        </w:rPr>
        <w:t>因本保函发生的纠纷，由你我双方协商解决，协商不成的，通过诉讼程序解决，诉讼管辖地法院为法院。</w:t>
      </w:r>
    </w:p>
    <w:p>
      <w:pPr>
        <w:spacing w:before="240" w:beforeLines="100" w:line="360" w:lineRule="auto"/>
        <w:ind w:firstLine="480" w:firstLineChars="200"/>
        <w:rPr>
          <w:sz w:val="24"/>
        </w:rPr>
      </w:pPr>
      <w:r>
        <w:rPr>
          <w:rFonts w:hint="eastAsia"/>
          <w:sz w:val="24"/>
        </w:rPr>
        <w:t>七、保函的生效</w:t>
      </w:r>
    </w:p>
    <w:p>
      <w:pPr>
        <w:spacing w:before="240" w:beforeLines="100" w:line="360" w:lineRule="auto"/>
        <w:ind w:firstLine="480" w:firstLineChars="200"/>
        <w:rPr>
          <w:sz w:val="24"/>
        </w:rPr>
      </w:pPr>
      <w:r>
        <w:rPr>
          <w:rFonts w:hint="eastAsia"/>
          <w:sz w:val="24"/>
        </w:rPr>
        <w:t>本保函自我方加盖公章之日起生效。</w:t>
      </w:r>
    </w:p>
    <w:p>
      <w:pPr>
        <w:spacing w:line="360" w:lineRule="auto"/>
        <w:ind w:firstLine="6360" w:firstLineChars="2650"/>
        <w:rPr>
          <w:sz w:val="24"/>
        </w:rPr>
      </w:pPr>
      <w:r>
        <w:rPr>
          <w:rFonts w:hint="eastAsia"/>
          <w:sz w:val="24"/>
        </w:rPr>
        <w:t>保证人：（公章）</w:t>
      </w:r>
    </w:p>
    <w:p>
      <w:pPr>
        <w:spacing w:line="360" w:lineRule="auto"/>
        <w:rPr>
          <w:sz w:val="24"/>
        </w:rPr>
      </w:pPr>
    </w:p>
    <w:p>
      <w:pPr>
        <w:spacing w:line="360" w:lineRule="auto"/>
        <w:ind w:firstLine="6600" w:firstLineChars="2750"/>
        <w:rPr>
          <w:sz w:val="24"/>
        </w:rPr>
      </w:pPr>
      <w:r>
        <w:rPr>
          <w:rFonts w:hint="eastAsia"/>
          <w:sz w:val="24"/>
        </w:rPr>
        <w:t>年月日</w:t>
      </w:r>
    </w:p>
    <w:p>
      <w:pPr>
        <w:pStyle w:val="5"/>
        <w:spacing w:before="0" w:line="360" w:lineRule="auto"/>
        <w:ind w:left="899" w:hanging="899"/>
        <w:jc w:val="center"/>
        <w:rPr>
          <w:rFonts w:hint="default"/>
          <w:bCs/>
          <w:sz w:val="24"/>
          <w:lang w:val="en-US"/>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5"/>
        <w:spacing w:line="480" w:lineRule="auto"/>
        <w:ind w:left="899" w:hanging="899"/>
        <w:jc w:val="center"/>
        <w:rPr>
          <w:rFonts w:hint="default"/>
          <w:b/>
          <w:sz w:val="30"/>
          <w:szCs w:val="30"/>
        </w:rPr>
      </w:pPr>
      <w:bookmarkStart w:id="340" w:name="_Toc324255620"/>
      <w:bookmarkStart w:id="341" w:name="_Toc386123376"/>
      <w:bookmarkStart w:id="342" w:name="_Toc497905891"/>
      <w:r>
        <w:rPr>
          <w:b/>
          <w:sz w:val="30"/>
          <w:szCs w:val="30"/>
        </w:rPr>
        <w:t>13 政府采购信用担保履约担保函格式</w:t>
      </w:r>
      <w:bookmarkEnd w:id="340"/>
      <w:bookmarkEnd w:id="341"/>
      <w:bookmarkEnd w:id="342"/>
    </w:p>
    <w:p>
      <w:pPr>
        <w:ind w:firstLine="2704" w:firstLineChars="1127"/>
        <w:rPr>
          <w:sz w:val="24"/>
        </w:rPr>
      </w:pPr>
      <w:r>
        <w:rPr>
          <w:rFonts w:hint="eastAsia"/>
          <w:sz w:val="24"/>
        </w:rPr>
        <w:t>政府采购履约担保函（项目用）</w:t>
      </w:r>
    </w:p>
    <w:p>
      <w:pPr>
        <w:rPr>
          <w:sz w:val="24"/>
        </w:rPr>
      </w:pPr>
      <w:r>
        <w:rPr>
          <w:rFonts w:hint="eastAsia"/>
          <w:sz w:val="24"/>
        </w:rPr>
        <w:t>编号：</w:t>
      </w:r>
    </w:p>
    <w:p>
      <w:pPr>
        <w:rPr>
          <w:sz w:val="24"/>
        </w:rPr>
      </w:pPr>
      <w:r>
        <w:rPr>
          <w:rFonts w:hint="eastAsia"/>
          <w:sz w:val="24"/>
        </w:rPr>
        <w:t>（采购人）：</w:t>
      </w:r>
    </w:p>
    <w:p>
      <w:pPr>
        <w:spacing w:line="360" w:lineRule="auto"/>
        <w:ind w:firstLine="480" w:firstLineChars="200"/>
        <w:rPr>
          <w:sz w:val="24"/>
        </w:rPr>
      </w:pPr>
      <w:r>
        <w:rPr>
          <w:rFonts w:hint="eastAsia"/>
          <w:sz w:val="24"/>
        </w:rPr>
        <w:t>鉴于你方与（以下简称供应商）于年月日签定编号为的《政府采购合同》（以下简称主合同），且依据该合同的约定，供应商应在年</w:t>
      </w:r>
    </w:p>
    <w:p>
      <w:pPr>
        <w:spacing w:line="360" w:lineRule="auto"/>
        <w:rPr>
          <w:sz w:val="24"/>
        </w:rPr>
      </w:pPr>
      <w:r>
        <w:rPr>
          <w:rFonts w:hint="eastAsia"/>
          <w:sz w:val="24"/>
        </w:rPr>
        <w:t>月日前向你方交纳履约保证金，且可以履约担保函的形式交纳履约保证金。应供应商的申请，我方以保证的方式向你方提供如下履约保证金担保：</w:t>
      </w:r>
    </w:p>
    <w:p>
      <w:pPr>
        <w:spacing w:line="360" w:lineRule="auto"/>
        <w:ind w:firstLine="480" w:firstLineChars="200"/>
        <w:rPr>
          <w:sz w:val="24"/>
        </w:rPr>
      </w:pPr>
      <w:r>
        <w:rPr>
          <w:rFonts w:hint="eastAsia"/>
          <w:sz w:val="24"/>
        </w:rPr>
        <w:t>一、保证责任的情形及保证金额</w:t>
      </w:r>
    </w:p>
    <w:p>
      <w:pPr>
        <w:spacing w:line="360" w:lineRule="auto"/>
        <w:ind w:firstLine="480" w:firstLineChars="200"/>
        <w:rPr>
          <w:sz w:val="24"/>
        </w:rPr>
      </w:pPr>
      <w:r>
        <w:rPr>
          <w:rFonts w:hint="eastAsia"/>
          <w:sz w:val="24"/>
        </w:rPr>
        <w:t>（一）在供应商出现下列情形之一时，我方承担保证责任：</w:t>
      </w:r>
    </w:p>
    <w:p>
      <w:pPr>
        <w:spacing w:line="360" w:lineRule="auto"/>
        <w:ind w:firstLine="480" w:firstLineChars="200"/>
        <w:rPr>
          <w:sz w:val="24"/>
        </w:rPr>
      </w:pPr>
      <w:r>
        <w:rPr>
          <w:rFonts w:hint="eastAsia"/>
          <w:sz w:val="24"/>
        </w:rPr>
        <w:t>1．将中标项目转让给他人，或者在投标文件中未说明，且未经采购招标机构人同意，将中标项目分包给他人的；</w:t>
      </w:r>
    </w:p>
    <w:p>
      <w:pPr>
        <w:spacing w:line="360" w:lineRule="auto"/>
        <w:rPr>
          <w:sz w:val="24"/>
        </w:rPr>
      </w:pPr>
      <w:r>
        <w:rPr>
          <w:rFonts w:hint="eastAsia"/>
          <w:sz w:val="24"/>
        </w:rPr>
        <w:t xml:space="preserve">　　2．主合同约定的应当交纳履约保证金的情形: </w:t>
      </w:r>
    </w:p>
    <w:p>
      <w:pPr>
        <w:spacing w:line="360" w:lineRule="auto"/>
        <w:ind w:firstLine="480" w:firstLineChars="200"/>
        <w:rPr>
          <w:sz w:val="24"/>
        </w:rPr>
      </w:pPr>
      <w:r>
        <w:rPr>
          <w:rFonts w:hint="eastAsia"/>
          <w:sz w:val="24"/>
        </w:rPr>
        <w:t>（1）未按主合同约定的质量、数量和期限供应货物/提供服务/完成工程的；</w:t>
      </w:r>
    </w:p>
    <w:p>
      <w:pPr>
        <w:spacing w:line="360" w:lineRule="auto"/>
        <w:ind w:firstLine="480" w:firstLineChars="200"/>
        <w:rPr>
          <w:sz w:val="24"/>
        </w:rPr>
      </w:pPr>
      <w:r>
        <w:rPr>
          <w:rFonts w:hint="eastAsia"/>
          <w:sz w:val="24"/>
        </w:rPr>
        <w:t>（2）</w:t>
      </w:r>
      <w:r>
        <w:rPr>
          <w:rFonts w:hint="eastAsia"/>
          <w:sz w:val="24"/>
          <w:u w:val="single"/>
        </w:rPr>
        <w:t xml:space="preserve">                                                           </w:t>
      </w:r>
      <w:r>
        <w:rPr>
          <w:rFonts w:hint="eastAsia"/>
          <w:sz w:val="24"/>
        </w:rPr>
        <w:t>。</w:t>
      </w:r>
    </w:p>
    <w:p>
      <w:pPr>
        <w:spacing w:line="360" w:lineRule="auto"/>
        <w:ind w:firstLine="480" w:firstLineChars="200"/>
        <w:rPr>
          <w:sz w:val="24"/>
        </w:rPr>
      </w:pPr>
      <w:r>
        <w:rPr>
          <w:rFonts w:hint="eastAsia"/>
          <w:sz w:val="24"/>
        </w:rPr>
        <w:t>（二）我方的保证范围是主合同约定的合同价款总额的%数额为元（大写），币种为。（即主合同履约保证金金额）</w:t>
      </w:r>
    </w:p>
    <w:p>
      <w:pPr>
        <w:spacing w:line="360" w:lineRule="auto"/>
        <w:ind w:firstLine="480" w:firstLineChars="200"/>
        <w:rPr>
          <w:sz w:val="24"/>
        </w:rPr>
      </w:pPr>
      <w:r>
        <w:rPr>
          <w:rFonts w:hint="eastAsia"/>
          <w:sz w:val="24"/>
        </w:rPr>
        <w:t>二、保证的方式及保证期间</w:t>
      </w:r>
    </w:p>
    <w:p>
      <w:pPr>
        <w:spacing w:line="360" w:lineRule="auto"/>
        <w:ind w:firstLine="480" w:firstLineChars="200"/>
        <w:rPr>
          <w:sz w:val="24"/>
        </w:rPr>
      </w:pPr>
      <w:r>
        <w:rPr>
          <w:rFonts w:hint="eastAsia"/>
          <w:sz w:val="24"/>
        </w:rPr>
        <w:t>我方保证的方式为：连带责任保证。</w:t>
      </w:r>
    </w:p>
    <w:p>
      <w:pPr>
        <w:spacing w:line="360" w:lineRule="auto"/>
        <w:ind w:firstLine="480" w:firstLineChars="200"/>
        <w:rPr>
          <w:sz w:val="24"/>
        </w:rPr>
      </w:pPr>
      <w:r>
        <w:rPr>
          <w:rFonts w:hint="eastAsia"/>
          <w:sz w:val="24"/>
        </w:rPr>
        <w:t>我方保证的期间为：自本合同生效之日起至供应商按照主合同约定的供货/完工期限届满后日内。</w:t>
      </w:r>
    </w:p>
    <w:p>
      <w:pPr>
        <w:spacing w:line="360" w:lineRule="auto"/>
        <w:ind w:firstLine="480" w:firstLineChars="200"/>
        <w:rPr>
          <w:sz w:val="24"/>
        </w:rPr>
      </w:pPr>
      <w:r>
        <w:rPr>
          <w:rFonts w:hint="eastAsia"/>
          <w:sz w:val="24"/>
        </w:rPr>
        <w:t>如果供应商未按主合同约定向贵方供应货物/提供服务/完成工程的，由我方在保证金额内向你方支付上述款项。</w:t>
      </w:r>
    </w:p>
    <w:p>
      <w:pPr>
        <w:spacing w:line="360" w:lineRule="auto"/>
        <w:ind w:firstLine="480" w:firstLineChars="200"/>
        <w:rPr>
          <w:sz w:val="24"/>
        </w:rPr>
      </w:pPr>
      <w:r>
        <w:rPr>
          <w:rFonts w:hint="eastAsia"/>
          <w:sz w:val="24"/>
        </w:rPr>
        <w:t>三、承担保证责任的程序</w:t>
      </w:r>
    </w:p>
    <w:p>
      <w:pPr>
        <w:spacing w:line="360" w:lineRule="auto"/>
        <w:ind w:firstLine="480" w:firstLineChars="200"/>
        <w:rPr>
          <w:sz w:val="24"/>
        </w:rPr>
      </w:pPr>
      <w:r>
        <w:rPr>
          <w:rFonts w:hint="eastAsia"/>
          <w:sz w:val="24"/>
        </w:rPr>
        <w:t>1．你方要求我方承担保证责任的，应在本保函保证期间内向我方发出书面索赔通知。索赔通知应写明要求索赔的金额，支付款项应到达的账号。并附有证明供应商违约事实的证明材料。</w:t>
      </w:r>
    </w:p>
    <w:p>
      <w:pPr>
        <w:spacing w:line="360" w:lineRule="auto"/>
        <w:ind w:firstLine="480" w:firstLineChars="200"/>
        <w:rPr>
          <w:sz w:val="24"/>
        </w:rPr>
      </w:pPr>
      <w:r>
        <w:rPr>
          <w:rFonts w:hint="eastAsia"/>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80" w:firstLineChars="200"/>
        <w:rPr>
          <w:sz w:val="24"/>
        </w:rPr>
      </w:pPr>
      <w:r>
        <w:rPr>
          <w:rFonts w:hint="eastAsia"/>
          <w:sz w:val="24"/>
        </w:rPr>
        <w:t>2．我方收到你方的书面索赔通知及相应证明材料，在工作日内进行核定后按照本保函的承诺承担保证责任。</w:t>
      </w:r>
    </w:p>
    <w:p>
      <w:pPr>
        <w:spacing w:line="360" w:lineRule="auto"/>
        <w:ind w:firstLine="480" w:firstLineChars="200"/>
        <w:rPr>
          <w:sz w:val="24"/>
        </w:rPr>
      </w:pPr>
      <w:r>
        <w:rPr>
          <w:rFonts w:hint="eastAsia"/>
          <w:sz w:val="24"/>
        </w:rPr>
        <w:t>四、保证责任的终止</w:t>
      </w:r>
    </w:p>
    <w:p>
      <w:pPr>
        <w:spacing w:line="360" w:lineRule="auto"/>
        <w:ind w:firstLine="480" w:firstLineChars="200"/>
        <w:rPr>
          <w:sz w:val="24"/>
        </w:rPr>
      </w:pPr>
      <w:r>
        <w:rPr>
          <w:rFonts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sz w:val="24"/>
        </w:rPr>
      </w:pPr>
      <w:r>
        <w:rPr>
          <w:rFonts w:hint="eastAsia"/>
          <w:sz w:val="24"/>
        </w:rPr>
        <w:t>2．我方按照本保函向你方履行了保证责任后，自我方向你方支付款项（支付款项从我方账户划出）之日起，保证责任即终止。</w:t>
      </w:r>
    </w:p>
    <w:p>
      <w:pPr>
        <w:spacing w:line="360" w:lineRule="auto"/>
        <w:ind w:firstLine="480" w:firstLineChars="200"/>
        <w:rPr>
          <w:sz w:val="24"/>
        </w:rPr>
      </w:pPr>
      <w:r>
        <w:rPr>
          <w:rFonts w:hint="eastAsia"/>
          <w:sz w:val="24"/>
        </w:rPr>
        <w:t>3．按照法律法规的规定或出现应终止我方保证责任的其它情形的，我方在本保函项下的保证责任亦终止。</w:t>
      </w:r>
    </w:p>
    <w:p>
      <w:pPr>
        <w:spacing w:line="360" w:lineRule="auto"/>
        <w:ind w:firstLine="480" w:firstLineChars="200"/>
        <w:rPr>
          <w:sz w:val="24"/>
        </w:rPr>
      </w:pPr>
      <w:r>
        <w:rPr>
          <w:rFonts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0" w:firstLineChars="200"/>
        <w:rPr>
          <w:sz w:val="24"/>
        </w:rPr>
      </w:pPr>
      <w:r>
        <w:rPr>
          <w:rFonts w:hint="eastAsia"/>
          <w:sz w:val="24"/>
        </w:rPr>
        <w:t>五、免责条款</w:t>
      </w:r>
    </w:p>
    <w:p>
      <w:pPr>
        <w:spacing w:line="360" w:lineRule="auto"/>
        <w:ind w:firstLine="480" w:firstLineChars="200"/>
        <w:rPr>
          <w:sz w:val="24"/>
        </w:rPr>
      </w:pPr>
      <w:r>
        <w:rPr>
          <w:rFonts w:hint="eastAsia"/>
          <w:sz w:val="24"/>
        </w:rPr>
        <w:t>1．因你方违反主合同约定致使供应商不能履行义务的，我方不承担保证责任。</w:t>
      </w:r>
    </w:p>
    <w:p>
      <w:pPr>
        <w:spacing w:line="360" w:lineRule="auto"/>
        <w:ind w:firstLine="480" w:firstLineChars="200"/>
        <w:rPr>
          <w:sz w:val="24"/>
        </w:rPr>
      </w:pPr>
      <w:r>
        <w:rPr>
          <w:rFonts w:hint="eastAsia"/>
          <w:sz w:val="24"/>
        </w:rPr>
        <w:t>2．依照法律法规的规定或你方与供应商的另行约定，全部或者部分免除供应商应交纳的保证金义务的，我方亦免除相应的保证责任。</w:t>
      </w:r>
    </w:p>
    <w:p>
      <w:pPr>
        <w:spacing w:line="360" w:lineRule="auto"/>
        <w:ind w:firstLine="480" w:firstLineChars="200"/>
        <w:rPr>
          <w:sz w:val="24"/>
        </w:rPr>
      </w:pPr>
      <w:r>
        <w:rPr>
          <w:rFonts w:hint="eastAsia"/>
          <w:sz w:val="24"/>
        </w:rPr>
        <w:t>3．因不可抗力造成供应商不能履行供货义务的，我方不承担保证责任。</w:t>
      </w:r>
    </w:p>
    <w:p>
      <w:pPr>
        <w:spacing w:before="240" w:beforeLines="100" w:line="360" w:lineRule="auto"/>
        <w:ind w:firstLine="480" w:firstLineChars="200"/>
        <w:rPr>
          <w:sz w:val="24"/>
        </w:rPr>
      </w:pPr>
      <w:r>
        <w:rPr>
          <w:rFonts w:hint="eastAsia"/>
          <w:sz w:val="24"/>
        </w:rPr>
        <w:t>六、争议的解决</w:t>
      </w:r>
    </w:p>
    <w:p>
      <w:pPr>
        <w:spacing w:line="360" w:lineRule="auto"/>
        <w:ind w:firstLine="480" w:firstLineChars="200"/>
        <w:rPr>
          <w:sz w:val="24"/>
        </w:rPr>
      </w:pPr>
      <w:r>
        <w:rPr>
          <w:rFonts w:hint="eastAsia"/>
          <w:sz w:val="24"/>
        </w:rPr>
        <w:t>因本保函发生的纠纷，由你我双方协商解决，协商不成的，通过诉讼程序解决，诉讼管辖地法院为法院。</w:t>
      </w:r>
    </w:p>
    <w:p>
      <w:pPr>
        <w:spacing w:before="240" w:beforeLines="100" w:line="360" w:lineRule="auto"/>
        <w:ind w:firstLine="480" w:firstLineChars="200"/>
        <w:rPr>
          <w:sz w:val="24"/>
        </w:rPr>
      </w:pPr>
      <w:r>
        <w:rPr>
          <w:rFonts w:hint="eastAsia"/>
          <w:sz w:val="24"/>
        </w:rPr>
        <w:t>七、保函的生效</w:t>
      </w:r>
    </w:p>
    <w:p>
      <w:pPr>
        <w:spacing w:before="240" w:beforeLines="100" w:line="360" w:lineRule="auto"/>
        <w:ind w:firstLine="480" w:firstLineChars="200"/>
        <w:rPr>
          <w:sz w:val="24"/>
        </w:rPr>
      </w:pPr>
      <w:r>
        <w:rPr>
          <w:rFonts w:hint="eastAsia"/>
          <w:sz w:val="24"/>
        </w:rPr>
        <w:t>本保函自我方加盖公章之日起生效。</w:t>
      </w:r>
    </w:p>
    <w:p>
      <w:pPr>
        <w:spacing w:before="240" w:beforeLines="100"/>
        <w:ind w:firstLine="6960" w:firstLineChars="2900"/>
        <w:rPr>
          <w:sz w:val="24"/>
        </w:rPr>
      </w:pPr>
      <w:r>
        <w:rPr>
          <w:rFonts w:hint="eastAsia"/>
          <w:sz w:val="24"/>
        </w:rPr>
        <w:t>保证人：（公章）</w:t>
      </w:r>
    </w:p>
    <w:p>
      <w:pPr>
        <w:spacing w:before="240" w:beforeLines="100"/>
        <w:rPr>
          <w:sz w:val="24"/>
        </w:rPr>
      </w:pPr>
    </w:p>
    <w:p>
      <w:pPr>
        <w:spacing w:before="240" w:beforeLines="100"/>
        <w:rPr>
          <w:sz w:val="24"/>
        </w:rPr>
      </w:pPr>
      <w:r>
        <w:rPr>
          <w:rFonts w:hint="eastAsia"/>
          <w:sz w:val="24"/>
        </w:rPr>
        <w:t>年月日</w:t>
      </w:r>
    </w:p>
    <w:p>
      <w:pPr>
        <w:pStyle w:val="5"/>
        <w:spacing w:line="480" w:lineRule="auto"/>
        <w:ind w:left="899" w:hanging="899"/>
        <w:jc w:val="center"/>
        <w:rPr>
          <w:rFonts w:hint="default" w:ascii="仿宋_GB2312" w:hAnsi="Arial" w:eastAsia="仿宋_GB2312"/>
          <w:b/>
          <w:sz w:val="32"/>
          <w:szCs w:val="32"/>
        </w:rPr>
      </w:pPr>
      <w:r>
        <w:rPr>
          <w:b/>
          <w:szCs w:val="24"/>
        </w:rPr>
        <w:br w:type="page"/>
      </w:r>
      <w:bookmarkStart w:id="343" w:name="_Toc324255621"/>
      <w:bookmarkStart w:id="344" w:name="_Toc497905892"/>
      <w:bookmarkStart w:id="345" w:name="_Toc386123377"/>
      <w:r>
        <w:rPr>
          <w:b/>
          <w:sz w:val="32"/>
          <w:szCs w:val="32"/>
        </w:rPr>
        <w:t>14 投标人企业类型声明函</w:t>
      </w:r>
      <w:bookmarkEnd w:id="343"/>
      <w:bookmarkEnd w:id="344"/>
      <w:bookmarkEnd w:id="345"/>
    </w:p>
    <w:p>
      <w:pPr>
        <w:spacing w:line="240" w:lineRule="atLeast"/>
        <w:ind w:left="1080" w:leftChars="257" w:hanging="540"/>
        <w:jc w:val="center"/>
        <w:rPr>
          <w:rFonts w:ascii="仿宋_GB2312" w:hAnsi="Arial" w:eastAsia="仿宋_GB2312"/>
          <w:b/>
          <w:kern w:val="0"/>
          <w:sz w:val="24"/>
          <w:szCs w:val="20"/>
        </w:rPr>
      </w:pPr>
    </w:p>
    <w:p>
      <w:pPr>
        <w:widowControl/>
        <w:snapToGrid w:val="0"/>
        <w:spacing w:before="240" w:beforeLines="100" w:after="100" w:afterAutospacing="1" w:line="360" w:lineRule="auto"/>
        <w:jc w:val="left"/>
        <w:rPr>
          <w:sz w:val="24"/>
        </w:rPr>
      </w:pPr>
      <w:r>
        <w:rPr>
          <w:rFonts w:ascii="宋体" w:hAnsi="宋体" w:cs="宋体"/>
          <w:color w:val="000000"/>
          <w:kern w:val="0"/>
          <w:szCs w:val="21"/>
        </w:rPr>
        <w:t>　</w:t>
      </w:r>
      <w:r>
        <w:rPr>
          <w:sz w:val="24"/>
        </w:rPr>
        <w:t>本公司郑重声明，根据《政府采购促进中小企业发展暂行办法》（财库[2011]181号）的规定，本公司为______（请填写：</w:t>
      </w:r>
      <w:r>
        <w:rPr>
          <w:rFonts w:hint="eastAsia"/>
          <w:sz w:val="24"/>
        </w:rPr>
        <w:t>大型、</w:t>
      </w:r>
      <w:r>
        <w:rPr>
          <w:sz w:val="24"/>
        </w:rPr>
        <w:t>中型、小型、微型）企业。即，本公司同时满足以下条件：</w:t>
      </w:r>
    </w:p>
    <w:p>
      <w:pPr>
        <w:widowControl/>
        <w:snapToGrid w:val="0"/>
        <w:spacing w:before="240" w:beforeLines="100" w:after="100" w:afterAutospacing="1" w:line="360" w:lineRule="auto"/>
        <w:jc w:val="left"/>
        <w:rPr>
          <w:sz w:val="24"/>
        </w:rPr>
      </w:pPr>
      <w:r>
        <w:rPr>
          <w:sz w:val="24"/>
        </w:rPr>
        <w:t>　　1.根据《工业和信息化部、国家统计局、国家发展和改革委员会、财政部关于印发中小企业划型标准规定的通知》（工信部联企业[2011]300号）规定的划分标准，本公司为______（请填写：</w:t>
      </w:r>
      <w:r>
        <w:rPr>
          <w:rFonts w:hint="eastAsia"/>
          <w:sz w:val="24"/>
        </w:rPr>
        <w:t>大型、</w:t>
      </w:r>
      <w:r>
        <w:rPr>
          <w:sz w:val="24"/>
        </w:rPr>
        <w:t>中型、小型、微型）企业。</w:t>
      </w:r>
    </w:p>
    <w:p>
      <w:pPr>
        <w:widowControl/>
        <w:snapToGrid w:val="0"/>
        <w:spacing w:before="240" w:beforeLines="100" w:after="100" w:afterAutospacing="1" w:line="360" w:lineRule="auto"/>
        <w:ind w:firstLine="420"/>
        <w:jc w:val="left"/>
        <w:rPr>
          <w:sz w:val="24"/>
        </w:rPr>
      </w:pPr>
      <w:r>
        <w:rPr>
          <w:sz w:val="24"/>
        </w:rPr>
        <w:t>2.本公司参加______单位的______项目采购活动</w:t>
      </w:r>
      <w:r>
        <w:rPr>
          <w:rFonts w:hint="eastAsia"/>
          <w:sz w:val="24"/>
        </w:rPr>
        <w:t>（按投标形式选择填写）：</w:t>
      </w:r>
    </w:p>
    <w:p>
      <w:pPr>
        <w:widowControl/>
        <w:snapToGrid w:val="0"/>
        <w:spacing w:line="360" w:lineRule="auto"/>
        <w:ind w:firstLine="420"/>
        <w:jc w:val="left"/>
        <w:rPr>
          <w:sz w:val="24"/>
        </w:rPr>
      </w:pPr>
      <w:r>
        <w:rPr>
          <w:rFonts w:hint="eastAsia"/>
          <w:sz w:val="24"/>
        </w:rPr>
        <w:t>（1）□本公司为直接投标人</w:t>
      </w:r>
      <w:r>
        <w:rPr>
          <w:sz w:val="24"/>
        </w:rPr>
        <w:t>提供本企业制造的货物，由本企业承担工程、提供服务</w:t>
      </w:r>
      <w:r>
        <w:rPr>
          <w:rFonts w:hint="eastAsia"/>
          <w:sz w:val="24"/>
        </w:rPr>
        <w:t>。</w:t>
      </w:r>
    </w:p>
    <w:p>
      <w:pPr>
        <w:widowControl/>
        <w:snapToGrid w:val="0"/>
        <w:spacing w:line="360" w:lineRule="auto"/>
        <w:ind w:firstLine="420"/>
        <w:jc w:val="left"/>
        <w:rPr>
          <w:sz w:val="24"/>
        </w:rPr>
      </w:pPr>
      <w:r>
        <w:rPr>
          <w:rFonts w:hint="eastAsia"/>
          <w:sz w:val="24"/>
        </w:rPr>
        <w:t>（2）□本公司为代理商，</w:t>
      </w:r>
      <w:r>
        <w:rPr>
          <w:sz w:val="24"/>
        </w:rPr>
        <w:t>提供其他______（请填写：中型、小型、微型）企业制造的货物。本条所称货物不包括使用大型企业注册商标的货物。</w:t>
      </w:r>
      <w:r>
        <w:rPr>
          <w:rFonts w:hint="eastAsia"/>
          <w:sz w:val="24"/>
        </w:rPr>
        <w:t>（后附制造商</w:t>
      </w:r>
      <w:r>
        <w:rPr>
          <w:sz w:val="24"/>
        </w:rPr>
        <w:t>投标人企业类型声明函</w:t>
      </w:r>
      <w:r>
        <w:rPr>
          <w:rFonts w:hint="eastAsia"/>
          <w:sz w:val="24"/>
        </w:rPr>
        <w:t>）</w:t>
      </w:r>
    </w:p>
    <w:p>
      <w:pPr>
        <w:widowControl/>
        <w:snapToGrid w:val="0"/>
        <w:spacing w:line="360" w:lineRule="auto"/>
        <w:ind w:firstLine="420"/>
        <w:jc w:val="left"/>
        <w:rPr>
          <w:sz w:val="24"/>
        </w:rPr>
      </w:pPr>
      <w:r>
        <w:rPr>
          <w:rFonts w:hint="eastAsia"/>
          <w:sz w:val="24"/>
        </w:rPr>
        <w:t>（3）□本公司为联合体一方，</w:t>
      </w:r>
      <w:r>
        <w:rPr>
          <w:sz w:val="24"/>
        </w:rPr>
        <w:t>提供本企业制造的货物，由本企业承担工程、提供服务</w:t>
      </w:r>
      <w:r>
        <w:rPr>
          <w:rFonts w:hint="eastAsia"/>
          <w:sz w:val="24"/>
        </w:rPr>
        <w:t>。我公司提供</w:t>
      </w:r>
      <w:r>
        <w:rPr>
          <w:sz w:val="24"/>
        </w:rPr>
        <w:t>协议合同金额占到</w:t>
      </w:r>
      <w:r>
        <w:rPr>
          <w:rFonts w:hint="eastAsia"/>
          <w:sz w:val="24"/>
        </w:rPr>
        <w:t>共同投标</w:t>
      </w:r>
      <w:r>
        <w:rPr>
          <w:sz w:val="24"/>
        </w:rPr>
        <w:t>协议合同总金额</w:t>
      </w:r>
      <w:r>
        <w:rPr>
          <w:rFonts w:hint="eastAsia"/>
          <w:sz w:val="24"/>
        </w:rPr>
        <w:t>的比例为。</w:t>
      </w:r>
    </w:p>
    <w:p>
      <w:pPr>
        <w:widowControl/>
        <w:snapToGrid w:val="0"/>
        <w:spacing w:before="240" w:beforeLines="100" w:after="100" w:afterAutospacing="1" w:line="360" w:lineRule="auto"/>
        <w:jc w:val="left"/>
        <w:rPr>
          <w:sz w:val="24"/>
        </w:rPr>
      </w:pPr>
      <w:r>
        <w:rPr>
          <w:sz w:val="24"/>
        </w:rPr>
        <w:t>　　本公司对上述声明的真实性负责。如有虚假，将依法承担相应责任。</w:t>
      </w:r>
    </w:p>
    <w:p>
      <w:pPr>
        <w:widowControl/>
        <w:snapToGrid w:val="0"/>
        <w:spacing w:before="240" w:beforeLines="100" w:after="100" w:afterAutospacing="1" w:line="360" w:lineRule="auto"/>
        <w:jc w:val="left"/>
        <w:rPr>
          <w:sz w:val="24"/>
        </w:rPr>
      </w:pPr>
      <w:r>
        <w:rPr>
          <w:sz w:val="24"/>
        </w:rPr>
        <w:t>　　企业名称（盖章）：</w:t>
      </w:r>
    </w:p>
    <w:p>
      <w:pPr>
        <w:widowControl/>
        <w:snapToGrid w:val="0"/>
        <w:spacing w:before="240" w:beforeLines="100" w:after="100" w:afterAutospacing="1" w:line="360" w:lineRule="auto"/>
        <w:ind w:firstLine="420"/>
        <w:jc w:val="left"/>
        <w:rPr>
          <w:sz w:val="24"/>
        </w:rPr>
      </w:pPr>
      <w:r>
        <w:rPr>
          <w:sz w:val="24"/>
        </w:rPr>
        <w:t>日　期：</w:t>
      </w:r>
    </w:p>
    <w:p>
      <w:pPr>
        <w:spacing w:before="240" w:beforeLines="100" w:line="240" w:lineRule="atLeast"/>
        <w:ind w:left="1222" w:leftChars="257" w:hanging="682" w:hangingChars="325"/>
        <w:jc w:val="center"/>
        <w:rPr>
          <w:sz w:val="24"/>
        </w:rPr>
      </w:pPr>
      <w:r>
        <w:br w:type="page"/>
      </w:r>
      <w:r>
        <w:rPr>
          <w:rFonts w:hint="eastAsia"/>
          <w:sz w:val="24"/>
        </w:rPr>
        <w:t>制造商</w:t>
      </w:r>
      <w:r>
        <w:rPr>
          <w:sz w:val="24"/>
        </w:rPr>
        <w:t>投标人企业类型声明函</w:t>
      </w:r>
    </w:p>
    <w:p>
      <w:pPr>
        <w:spacing w:line="240" w:lineRule="atLeast"/>
        <w:ind w:left="1080" w:leftChars="257" w:hanging="540"/>
        <w:jc w:val="center"/>
        <w:rPr>
          <w:rFonts w:ascii="仿宋_GB2312" w:hAnsi="Arial" w:eastAsia="仿宋_GB2312"/>
          <w:b/>
          <w:kern w:val="0"/>
          <w:sz w:val="24"/>
          <w:szCs w:val="20"/>
        </w:rPr>
      </w:pPr>
    </w:p>
    <w:p>
      <w:pPr>
        <w:widowControl/>
        <w:spacing w:before="240" w:beforeLines="100" w:after="100" w:afterAutospacing="1" w:line="360" w:lineRule="auto"/>
        <w:ind w:firstLine="720" w:firstLineChars="300"/>
        <w:jc w:val="left"/>
        <w:rPr>
          <w:sz w:val="24"/>
        </w:rPr>
      </w:pPr>
      <w:r>
        <w:rPr>
          <w:sz w:val="24"/>
        </w:rPr>
        <w:t>本公司</w:t>
      </w:r>
      <w:r>
        <w:rPr>
          <w:rFonts w:hint="eastAsia"/>
          <w:sz w:val="24"/>
        </w:rPr>
        <w:t>作</w:t>
      </w:r>
      <w:r>
        <w:rPr>
          <w:sz w:val="24"/>
        </w:rPr>
        <w:t>为______单位的______</w:t>
      </w:r>
      <w:r>
        <w:rPr>
          <w:rFonts w:hint="eastAsia"/>
          <w:sz w:val="24"/>
        </w:rPr>
        <w:t>项目的设备制造商，</w:t>
      </w:r>
      <w:r>
        <w:rPr>
          <w:sz w:val="24"/>
        </w:rPr>
        <w:t>参加</w:t>
      </w:r>
      <w:r>
        <w:rPr>
          <w:rFonts w:hint="eastAsia"/>
          <w:sz w:val="24"/>
        </w:rPr>
        <w:t>政府</w:t>
      </w:r>
      <w:r>
        <w:rPr>
          <w:sz w:val="24"/>
        </w:rPr>
        <w:t>采购活动</w:t>
      </w:r>
      <w:r>
        <w:rPr>
          <w:rFonts w:hint="eastAsia"/>
          <w:sz w:val="24"/>
        </w:rPr>
        <w:t>。</w:t>
      </w:r>
      <w:r>
        <w:rPr>
          <w:sz w:val="24"/>
        </w:rPr>
        <w:t>根据《政府采购促进中小企业发展暂行办法》（财库[2011]181号）的规定</w:t>
      </w:r>
      <w:r>
        <w:rPr>
          <w:rFonts w:hint="eastAsia"/>
          <w:sz w:val="24"/>
        </w:rPr>
        <w:t>，及</w:t>
      </w:r>
      <w:r>
        <w:rPr>
          <w:sz w:val="24"/>
        </w:rPr>
        <w:t>《工业和信息化部、国家统计局、国家发展和改革委员会、财政部关于印发中小企业划型标准规定的通知》（工信部联企业[2011]300号）规定的划分标准，</w:t>
      </w:r>
      <w:r>
        <w:rPr>
          <w:rFonts w:hint="eastAsia"/>
          <w:sz w:val="24"/>
        </w:rPr>
        <w:t>作出如下声明：</w:t>
      </w:r>
    </w:p>
    <w:p>
      <w:pPr>
        <w:widowControl/>
        <w:spacing w:before="240" w:beforeLines="100" w:after="100" w:afterAutospacing="1" w:line="360" w:lineRule="auto"/>
        <w:ind w:firstLine="420"/>
        <w:jc w:val="left"/>
        <w:rPr>
          <w:sz w:val="24"/>
        </w:rPr>
      </w:pPr>
      <w:r>
        <w:rPr>
          <w:sz w:val="24"/>
        </w:rPr>
        <w:t>本公司为______（请填写：中型、小型、微型）企业</w:t>
      </w:r>
      <w:r>
        <w:rPr>
          <w:rFonts w:hint="eastAsia"/>
          <w:sz w:val="24"/>
        </w:rPr>
        <w:t>，</w:t>
      </w:r>
      <w:r>
        <w:rPr>
          <w:sz w:val="24"/>
        </w:rPr>
        <w:t>提供本企业制造的货物，由本企业承担工程、提供服务。</w:t>
      </w:r>
    </w:p>
    <w:p>
      <w:pPr>
        <w:widowControl/>
        <w:spacing w:before="240" w:beforeLines="100" w:after="100" w:afterAutospacing="1" w:line="360" w:lineRule="auto"/>
        <w:ind w:firstLine="420"/>
        <w:jc w:val="left"/>
        <w:rPr>
          <w:sz w:val="24"/>
        </w:rPr>
      </w:pPr>
      <w:r>
        <w:rPr>
          <w:sz w:val="24"/>
        </w:rPr>
        <w:t>本公司对上述声明的真实性负责。如有虚假，将依法承担相应责任。</w:t>
      </w: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r>
        <w:rPr>
          <w:sz w:val="24"/>
        </w:rPr>
        <w:t>企业名称（盖章）：</w:t>
      </w:r>
    </w:p>
    <w:p>
      <w:pPr>
        <w:widowControl/>
        <w:spacing w:before="100" w:beforeAutospacing="1" w:after="100" w:afterAutospacing="1" w:line="330" w:lineRule="atLeast"/>
        <w:ind w:firstLine="5040" w:firstLineChars="2100"/>
        <w:jc w:val="left"/>
        <w:rPr>
          <w:sz w:val="24"/>
        </w:rPr>
      </w:pPr>
      <w:r>
        <w:rPr>
          <w:sz w:val="24"/>
        </w:rPr>
        <w:t>　　日　期：</w:t>
      </w:r>
    </w:p>
    <w:p>
      <w:pPr>
        <w:tabs>
          <w:tab w:val="left" w:pos="5580"/>
        </w:tabs>
        <w:spacing w:before="360" w:line="360" w:lineRule="auto"/>
        <w:ind w:left="540" w:firstLine="360"/>
        <w:rPr>
          <w:rFonts w:ascii="宋体" w:hAnsi="宋体"/>
          <w:bCs/>
          <w:sz w:val="24"/>
        </w:rPr>
      </w:pPr>
    </w:p>
    <w:p>
      <w:pPr>
        <w:tabs>
          <w:tab w:val="left" w:pos="5580"/>
        </w:tabs>
        <w:spacing w:before="360" w:line="360" w:lineRule="auto"/>
        <w:ind w:left="540" w:firstLine="360"/>
        <w:rPr>
          <w:rFonts w:ascii="宋体" w:hAnsi="宋体"/>
          <w:bCs/>
          <w:sz w:val="24"/>
        </w:rPr>
      </w:pPr>
    </w:p>
    <w:p>
      <w:pPr>
        <w:tabs>
          <w:tab w:val="left" w:pos="5580"/>
        </w:tabs>
        <w:spacing w:before="120" w:line="360" w:lineRule="auto"/>
        <w:ind w:left="-2" w:leftChars="-1" w:firstLine="2"/>
        <w:jc w:val="center"/>
        <w:rPr>
          <w:sz w:val="24"/>
        </w:rPr>
      </w:pPr>
    </w:p>
    <w:p>
      <w:pPr>
        <w:pStyle w:val="4"/>
        <w:rPr>
          <w:lang w:val="en-US"/>
        </w:rPr>
        <w:sectPr>
          <w:footerReference r:id="rId13" w:type="first"/>
          <w:footerReference r:id="rId11" w:type="default"/>
          <w:footerReference r:id="rId12" w:type="even"/>
          <w:pgSz w:w="11907" w:h="16840"/>
          <w:pgMar w:top="1089" w:right="1418" w:bottom="1400" w:left="1418" w:header="851" w:footer="992" w:gutter="0"/>
          <w:cols w:space="720" w:num="1"/>
          <w:docGrid w:linePitch="312" w:charSpace="0"/>
        </w:sectPr>
      </w:pPr>
    </w:p>
    <w:p>
      <w:pPr>
        <w:pStyle w:val="5"/>
        <w:spacing w:line="480" w:lineRule="auto"/>
        <w:ind w:left="899" w:hanging="899"/>
        <w:jc w:val="center"/>
        <w:rPr>
          <w:rFonts w:hint="default"/>
          <w:b/>
          <w:sz w:val="32"/>
          <w:szCs w:val="32"/>
        </w:rPr>
      </w:pPr>
      <w:bookmarkStart w:id="346" w:name="_Toc497905893"/>
      <w:r>
        <w:rPr>
          <w:b/>
          <w:sz w:val="32"/>
          <w:szCs w:val="32"/>
        </w:rPr>
        <w:t>15残疾人福利性单位声明函 （格式）（如适用）</w:t>
      </w:r>
      <w:bookmarkEnd w:id="346"/>
    </w:p>
    <w:p>
      <w:pPr>
        <w:pStyle w:val="4"/>
        <w:rPr>
          <w:lang w:val="en-US"/>
        </w:rPr>
      </w:pPr>
    </w:p>
    <w:p>
      <w:pPr>
        <w:pStyle w:val="4"/>
        <w:spacing w:line="360" w:lineRule="auto"/>
        <w:rPr>
          <w:lang w:val="en-US"/>
        </w:rPr>
      </w:pPr>
      <w:r>
        <w:rPr>
          <w:rFonts w:hint="eastAsia"/>
          <w:lang w:val="en-U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4"/>
        <w:spacing w:line="360" w:lineRule="auto"/>
        <w:rPr>
          <w:lang w:val="en-US"/>
        </w:rPr>
      </w:pPr>
      <w:r>
        <w:rPr>
          <w:rFonts w:hint="eastAsia"/>
          <w:lang w:val="en-US"/>
        </w:rPr>
        <w:t>本单位对上述声明的真实性负责。如有虚假，将依法承担相应责任。</w:t>
      </w:r>
    </w:p>
    <w:p>
      <w:pPr>
        <w:pStyle w:val="4"/>
        <w:spacing w:line="360" w:lineRule="auto"/>
        <w:rPr>
          <w:lang w:val="en-US"/>
        </w:rPr>
      </w:pPr>
    </w:p>
    <w:p>
      <w:pPr>
        <w:pStyle w:val="4"/>
        <w:spacing w:line="360" w:lineRule="auto"/>
        <w:rPr>
          <w:lang w:val="en-US"/>
        </w:rPr>
      </w:pPr>
    </w:p>
    <w:p>
      <w:pPr>
        <w:pStyle w:val="4"/>
        <w:spacing w:line="360" w:lineRule="auto"/>
        <w:rPr>
          <w:lang w:val="en-US"/>
        </w:rPr>
      </w:pPr>
      <w:r>
        <w:rPr>
          <w:rFonts w:hint="eastAsia"/>
          <w:lang w:val="en-US"/>
        </w:rPr>
        <w:t>单位名称（盖章）：</w:t>
      </w:r>
    </w:p>
    <w:p>
      <w:pPr>
        <w:pStyle w:val="4"/>
        <w:spacing w:line="360" w:lineRule="auto"/>
        <w:rPr>
          <w:lang w:val="en-US"/>
        </w:rPr>
      </w:pPr>
      <w:r>
        <w:rPr>
          <w:rFonts w:hint="eastAsia"/>
          <w:lang w:val="en-US"/>
        </w:rPr>
        <w:t>日  期：</w:t>
      </w:r>
    </w:p>
    <w:p>
      <w:pPr>
        <w:pStyle w:val="4"/>
        <w:rPr>
          <w:lang w:val="en-US"/>
        </w:rPr>
      </w:pPr>
    </w:p>
    <w:sectPr>
      <w:pgSz w:w="11907" w:h="16840"/>
      <w:pgMar w:top="1089" w:right="1418" w:bottom="140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Akzidenz Grotesk BQ">
    <w:altName w:val="新宋体"/>
    <w:panose1 w:val="00000000000000000000"/>
    <w:charset w:val="00"/>
    <w:family w:val="swiss"/>
    <w:pitch w:val="default"/>
    <w:sig w:usb0="00000000" w:usb1="00000000" w:usb2="00000010" w:usb3="00000000" w:csb0="00040001" w:csb1="00000000"/>
  </w:font>
  <w:font w:name="Frutiger Roman">
    <w:altName w:val="Arial"/>
    <w:panose1 w:val="00000000000000000000"/>
    <w:charset w:val="00"/>
    <w:family w:val="swiss"/>
    <w:pitch w:val="default"/>
    <w:sig w:usb0="00000000" w:usb1="00000000" w:usb2="00000000" w:usb3="00000000" w:csb0="00000013"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Microsoft Sans Serif">
    <w:panose1 w:val="020B0604020202020204"/>
    <w:charset w:val="00"/>
    <w:family w:val="auto"/>
    <w:pitch w:val="default"/>
    <w:sig w:usb0="E1002AFF" w:usb1="C0000002" w:usb2="00000008" w:usb3="00000000" w:csb0="200101FF" w:csb1="2028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5947" w:y="97"/>
      <w:rPr>
        <w:rStyle w:val="47"/>
      </w:rPr>
    </w:pPr>
    <w:r>
      <w:fldChar w:fldCharType="begin"/>
    </w:r>
    <w:r>
      <w:rPr>
        <w:rStyle w:val="47"/>
      </w:rPr>
      <w:instrText xml:space="preserve">PAGE  </w:instrText>
    </w:r>
    <w:r>
      <w:fldChar w:fldCharType="separate"/>
    </w:r>
    <w:r>
      <w:rPr>
        <w:rStyle w:val="47"/>
      </w:rPr>
      <w:t>4</w:t>
    </w:r>
    <w:r>
      <w:fldChar w:fldCharType="end"/>
    </w:r>
  </w:p>
  <w:p>
    <w:pPr>
      <w:pStyle w:val="27"/>
    </w:pPr>
    <w:r>
      <w:rPr>
        <w:rFonts w:hint="eastAsia"/>
        <w:szCs w:val="18"/>
      </w:rPr>
      <w:t>　北京华采招标代理有限公司(HCZB)</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6</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25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Cs w:val="18"/>
      </w:rPr>
    </w:pPr>
    <w:r>
      <w:rPr>
        <w:rFonts w:hint="eastAsia"/>
      </w:rPr>
      <w:t xml:space="preserve">                                         2                        </w:t>
    </w:r>
    <w:r>
      <w:rPr>
        <w:rFonts w:hint="eastAsia"/>
        <w:szCs w:val="18"/>
      </w:rPr>
      <w:t>北京华采招标代理有限公司(HCZB)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8193" w:y="-153"/>
      <w:rPr>
        <w:rStyle w:val="47"/>
      </w:rPr>
    </w:pPr>
    <w:r>
      <w:fldChar w:fldCharType="begin"/>
    </w:r>
    <w:r>
      <w:rPr>
        <w:rStyle w:val="47"/>
      </w:rPr>
      <w:instrText xml:space="preserve">PAGE  </w:instrText>
    </w:r>
    <w:r>
      <w:fldChar w:fldCharType="separate"/>
    </w:r>
    <w:r>
      <w:rPr>
        <w:rStyle w:val="47"/>
      </w:rPr>
      <w:t>55</w:t>
    </w:r>
    <w:r>
      <w:fldChar w:fldCharType="end"/>
    </w:r>
  </w:p>
  <w:p>
    <w:pPr>
      <w:pStyle w:val="27"/>
      <w:ind w:right="360"/>
      <w:jc w:val="center"/>
      <w:rPr>
        <w:rFonts w:hAnsi="宋体"/>
      </w:rPr>
    </w:pPr>
    <w:r>
      <w:rPr>
        <w:rFonts w:hint="eastAsia"/>
      </w:rPr>
      <w:t>北京华采招标代理有限公司(HCZB)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79</w:t>
    </w:r>
    <w:r>
      <w:fldChar w:fldCharType="end"/>
    </w:r>
  </w:p>
  <w:p>
    <w:pPr>
      <w:pStyle w:val="27"/>
      <w:jc w:val="center"/>
    </w:pPr>
  </w:p>
  <w:p>
    <w:pPr>
      <w:pStyle w:val="27"/>
      <w:jc w:val="right"/>
      <w:rPr>
        <w:rFonts w:hAnsi="宋体"/>
      </w:rPr>
    </w:pPr>
    <w:r>
      <w:rPr>
        <w:rFonts w:hint="eastAsia" w:ascii="仿宋_GB2312" w:eastAsia="仿宋_GB2312"/>
      </w:rPr>
      <w:t xml:space="preserve">                                                                 　　</w:t>
    </w:r>
    <w:r>
      <w:rPr>
        <w:rFonts w:hint="eastAsia" w:hAnsi="宋体"/>
      </w:rPr>
      <w:t>北京华采招标代理有限公司(HCZB)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66</w:t>
    </w:r>
    <w:r>
      <w:fldChar w:fldCharType="end"/>
    </w:r>
  </w:p>
  <w:p>
    <w:pPr>
      <w:pStyle w:val="27"/>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7"/>
      </w:rPr>
    </w:pPr>
  </w:p>
  <w:p>
    <w:pPr>
      <w:pStyle w:val="27"/>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ascii="宋体" w:hAnsi="宋体"/>
        <w:sz w:val="16"/>
        <w:szCs w:val="16"/>
        <w:u w:val="single"/>
      </w:rPr>
    </w:pPr>
    <w:r>
      <w:rPr>
        <w:rFonts w:hint="eastAsia" w:ascii="Cambria"/>
        <w:sz w:val="16"/>
        <w:szCs w:val="16"/>
        <w:u w:val="single"/>
      </w:rPr>
      <w:t xml:space="preserve">北京农业职业学院高职学生培养-改善办学条件-食品营养与检测专业重难点教学资源建设政府采购项目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向基础教育倾斜-2015年北京市青少年校园足球-全国校园足球冠军杯赛项目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FBF"/>
    <w:multiLevelType w:val="multilevel"/>
    <w:tmpl w:val="041B2FBF"/>
    <w:lvl w:ilvl="0" w:tentative="0">
      <w:start w:val="2"/>
      <w:numFmt w:val="decimal"/>
      <w:lvlText w:val="%1."/>
      <w:lvlJc w:val="left"/>
      <w:pPr>
        <w:ind w:left="585" w:hanging="585"/>
      </w:pPr>
      <w:rPr>
        <w:rFonts w:hint="default"/>
        <w:color w:val="000000"/>
        <w:sz w:val="22"/>
      </w:rPr>
    </w:lvl>
    <w:lvl w:ilvl="1" w:tentative="0">
      <w:start w:val="1"/>
      <w:numFmt w:val="decimal"/>
      <w:lvlText w:val="%1.%2、"/>
      <w:lvlJc w:val="left"/>
      <w:pPr>
        <w:ind w:left="1080" w:hanging="720"/>
      </w:pPr>
      <w:rPr>
        <w:rFonts w:hint="default"/>
        <w:color w:val="000000"/>
        <w:sz w:val="22"/>
      </w:rPr>
    </w:lvl>
    <w:lvl w:ilvl="2" w:tentative="0">
      <w:start w:val="1"/>
      <w:numFmt w:val="decimal"/>
      <w:lvlText w:val="%1.%2、%3."/>
      <w:lvlJc w:val="left"/>
      <w:pPr>
        <w:ind w:left="1800" w:hanging="1080"/>
      </w:pPr>
      <w:rPr>
        <w:rFonts w:hint="default"/>
        <w:color w:val="000000"/>
        <w:sz w:val="22"/>
      </w:rPr>
    </w:lvl>
    <w:lvl w:ilvl="3" w:tentative="0">
      <w:start w:val="1"/>
      <w:numFmt w:val="decimal"/>
      <w:lvlText w:val="%1.%2、%3.%4."/>
      <w:lvlJc w:val="left"/>
      <w:pPr>
        <w:ind w:left="2160" w:hanging="1080"/>
      </w:pPr>
      <w:rPr>
        <w:rFonts w:hint="default"/>
        <w:color w:val="000000"/>
        <w:sz w:val="22"/>
      </w:rPr>
    </w:lvl>
    <w:lvl w:ilvl="4" w:tentative="0">
      <w:start w:val="1"/>
      <w:numFmt w:val="decimal"/>
      <w:lvlText w:val="%1.%2、%3.%4.%5."/>
      <w:lvlJc w:val="left"/>
      <w:pPr>
        <w:ind w:left="2880" w:hanging="1440"/>
      </w:pPr>
      <w:rPr>
        <w:rFonts w:hint="default"/>
        <w:color w:val="000000"/>
        <w:sz w:val="22"/>
      </w:rPr>
    </w:lvl>
    <w:lvl w:ilvl="5" w:tentative="0">
      <w:start w:val="1"/>
      <w:numFmt w:val="decimal"/>
      <w:lvlText w:val="%1.%2、%3.%4.%5.%6."/>
      <w:lvlJc w:val="left"/>
      <w:pPr>
        <w:ind w:left="3240" w:hanging="1440"/>
      </w:pPr>
      <w:rPr>
        <w:rFonts w:hint="default"/>
        <w:color w:val="000000"/>
        <w:sz w:val="22"/>
      </w:rPr>
    </w:lvl>
    <w:lvl w:ilvl="6" w:tentative="0">
      <w:start w:val="1"/>
      <w:numFmt w:val="decimal"/>
      <w:lvlText w:val="%1.%2、%3.%4.%5.%6.%7."/>
      <w:lvlJc w:val="left"/>
      <w:pPr>
        <w:ind w:left="3960" w:hanging="1800"/>
      </w:pPr>
      <w:rPr>
        <w:rFonts w:hint="default"/>
        <w:color w:val="000000"/>
        <w:sz w:val="22"/>
      </w:rPr>
    </w:lvl>
    <w:lvl w:ilvl="7" w:tentative="0">
      <w:start w:val="1"/>
      <w:numFmt w:val="decimal"/>
      <w:lvlText w:val="%1.%2、%3.%4.%5.%6.%7.%8."/>
      <w:lvlJc w:val="left"/>
      <w:pPr>
        <w:ind w:left="4320" w:hanging="1800"/>
      </w:pPr>
      <w:rPr>
        <w:rFonts w:hint="default"/>
        <w:color w:val="000000"/>
        <w:sz w:val="22"/>
      </w:rPr>
    </w:lvl>
    <w:lvl w:ilvl="8" w:tentative="0">
      <w:start w:val="1"/>
      <w:numFmt w:val="decimal"/>
      <w:lvlText w:val="%1.%2、%3.%4.%5.%6.%7.%8.%9."/>
      <w:lvlJc w:val="left"/>
      <w:pPr>
        <w:ind w:left="5040" w:hanging="2160"/>
      </w:pPr>
      <w:rPr>
        <w:rFonts w:hint="default"/>
        <w:color w:val="000000"/>
        <w:sz w:val="22"/>
      </w:rPr>
    </w:lvl>
  </w:abstractNum>
  <w:abstractNum w:abstractNumId="1">
    <w:nsid w:val="04403079"/>
    <w:multiLevelType w:val="multilevel"/>
    <w:tmpl w:val="044030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802A2B"/>
    <w:multiLevelType w:val="multilevel"/>
    <w:tmpl w:val="14802A2B"/>
    <w:lvl w:ilvl="0" w:tentative="0">
      <w:start w:val="2"/>
      <w:numFmt w:val="decimal"/>
      <w:lvlText w:val="%1."/>
      <w:lvlJc w:val="left"/>
      <w:pPr>
        <w:ind w:left="585" w:hanging="585"/>
      </w:pPr>
      <w:rPr>
        <w:rFonts w:hint="default"/>
        <w:color w:val="000000"/>
        <w:sz w:val="22"/>
      </w:rPr>
    </w:lvl>
    <w:lvl w:ilvl="1" w:tentative="0">
      <w:start w:val="1"/>
      <w:numFmt w:val="decimal"/>
      <w:lvlText w:val="%1.%2、"/>
      <w:lvlJc w:val="left"/>
      <w:pPr>
        <w:ind w:left="1080" w:hanging="720"/>
      </w:pPr>
      <w:rPr>
        <w:rFonts w:hint="default"/>
        <w:color w:val="000000"/>
        <w:sz w:val="22"/>
      </w:rPr>
    </w:lvl>
    <w:lvl w:ilvl="2" w:tentative="0">
      <w:start w:val="1"/>
      <w:numFmt w:val="decimal"/>
      <w:lvlText w:val="%1.%2、%3."/>
      <w:lvlJc w:val="left"/>
      <w:pPr>
        <w:ind w:left="1800" w:hanging="1080"/>
      </w:pPr>
      <w:rPr>
        <w:rFonts w:hint="default"/>
        <w:color w:val="000000"/>
        <w:sz w:val="22"/>
      </w:rPr>
    </w:lvl>
    <w:lvl w:ilvl="3" w:tentative="0">
      <w:start w:val="1"/>
      <w:numFmt w:val="decimal"/>
      <w:lvlText w:val="%1.%2、%3.%4."/>
      <w:lvlJc w:val="left"/>
      <w:pPr>
        <w:ind w:left="2160" w:hanging="1080"/>
      </w:pPr>
      <w:rPr>
        <w:rFonts w:hint="default"/>
        <w:color w:val="000000"/>
        <w:sz w:val="22"/>
      </w:rPr>
    </w:lvl>
    <w:lvl w:ilvl="4" w:tentative="0">
      <w:start w:val="1"/>
      <w:numFmt w:val="decimal"/>
      <w:lvlText w:val="%1.%2、%3.%4.%5."/>
      <w:lvlJc w:val="left"/>
      <w:pPr>
        <w:ind w:left="2880" w:hanging="1440"/>
      </w:pPr>
      <w:rPr>
        <w:rFonts w:hint="default"/>
        <w:color w:val="000000"/>
        <w:sz w:val="22"/>
      </w:rPr>
    </w:lvl>
    <w:lvl w:ilvl="5" w:tentative="0">
      <w:start w:val="1"/>
      <w:numFmt w:val="decimal"/>
      <w:lvlText w:val="%1.%2、%3.%4.%5.%6."/>
      <w:lvlJc w:val="left"/>
      <w:pPr>
        <w:ind w:left="3240" w:hanging="1440"/>
      </w:pPr>
      <w:rPr>
        <w:rFonts w:hint="default"/>
        <w:color w:val="000000"/>
        <w:sz w:val="22"/>
      </w:rPr>
    </w:lvl>
    <w:lvl w:ilvl="6" w:tentative="0">
      <w:start w:val="1"/>
      <w:numFmt w:val="decimal"/>
      <w:lvlText w:val="%1.%2、%3.%4.%5.%6.%7."/>
      <w:lvlJc w:val="left"/>
      <w:pPr>
        <w:ind w:left="3960" w:hanging="1800"/>
      </w:pPr>
      <w:rPr>
        <w:rFonts w:hint="default"/>
        <w:color w:val="000000"/>
        <w:sz w:val="22"/>
      </w:rPr>
    </w:lvl>
    <w:lvl w:ilvl="7" w:tentative="0">
      <w:start w:val="1"/>
      <w:numFmt w:val="decimal"/>
      <w:lvlText w:val="%1.%2、%3.%4.%5.%6.%7.%8."/>
      <w:lvlJc w:val="left"/>
      <w:pPr>
        <w:ind w:left="4320" w:hanging="1800"/>
      </w:pPr>
      <w:rPr>
        <w:rFonts w:hint="default"/>
        <w:color w:val="000000"/>
        <w:sz w:val="22"/>
      </w:rPr>
    </w:lvl>
    <w:lvl w:ilvl="8" w:tentative="0">
      <w:start w:val="1"/>
      <w:numFmt w:val="decimal"/>
      <w:lvlText w:val="%1.%2、%3.%4.%5.%6.%7.%8.%9."/>
      <w:lvlJc w:val="left"/>
      <w:pPr>
        <w:ind w:left="5040" w:hanging="2160"/>
      </w:pPr>
      <w:rPr>
        <w:rFonts w:hint="default"/>
        <w:color w:val="000000"/>
        <w:sz w:val="22"/>
      </w:rPr>
    </w:lvl>
  </w:abstractNum>
  <w:abstractNum w:abstractNumId="3">
    <w:nsid w:val="1EE31E9E"/>
    <w:multiLevelType w:val="multilevel"/>
    <w:tmpl w:val="1EE31E9E"/>
    <w:lvl w:ilvl="0" w:tentative="0">
      <w:start w:val="1"/>
      <w:numFmt w:val="decimal"/>
      <w:lvlText w:val="%1、"/>
      <w:lvlJc w:val="left"/>
      <w:pPr>
        <w:ind w:left="360" w:hanging="360"/>
      </w:pPr>
      <w:rPr>
        <w:rFonts w:hint="default"/>
      </w:rPr>
    </w:lvl>
    <w:lvl w:ilvl="1" w:tentative="0">
      <w:start w:val="1"/>
      <w:numFmt w:val="japaneseCounting"/>
      <w:lvlText w:val="%2、"/>
      <w:lvlJc w:val="left"/>
      <w:pPr>
        <w:ind w:left="852" w:hanging="432"/>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E94FA8"/>
    <w:multiLevelType w:val="multilevel"/>
    <w:tmpl w:val="39E94F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E97331"/>
    <w:multiLevelType w:val="multilevel"/>
    <w:tmpl w:val="43E973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723737"/>
    <w:multiLevelType w:val="multilevel"/>
    <w:tmpl w:val="46723737"/>
    <w:lvl w:ilvl="0" w:tentative="0">
      <w:start w:val="2"/>
      <w:numFmt w:val="decimal"/>
      <w:lvlText w:val="%1."/>
      <w:lvlJc w:val="left"/>
      <w:pPr>
        <w:ind w:left="540" w:hanging="540"/>
      </w:pPr>
      <w:rPr>
        <w:rFonts w:hint="default"/>
      </w:rPr>
    </w:lvl>
    <w:lvl w:ilvl="1" w:tentative="0">
      <w:start w:val="1"/>
      <w:numFmt w:val="decimal"/>
      <w:lvlText w:val="%1.%2、"/>
      <w:lvlJc w:val="left"/>
      <w:pPr>
        <w:ind w:left="1146"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48A5325E"/>
    <w:multiLevelType w:val="multilevel"/>
    <w:tmpl w:val="48A532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A45885"/>
    <w:multiLevelType w:val="multilevel"/>
    <w:tmpl w:val="49A45885"/>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E6F4A4"/>
    <w:multiLevelType w:val="singleLevel"/>
    <w:tmpl w:val="59E6F4A4"/>
    <w:lvl w:ilvl="0" w:tentative="0">
      <w:start w:val="4"/>
      <w:numFmt w:val="chineseCounting"/>
      <w:suff w:val="space"/>
      <w:lvlText w:val="第%1章"/>
      <w:lvlJc w:val="left"/>
    </w:lvl>
  </w:abstractNum>
  <w:abstractNum w:abstractNumId="10">
    <w:nsid w:val="5AE13DA5"/>
    <w:multiLevelType w:val="multilevel"/>
    <w:tmpl w:val="5AE13DA5"/>
    <w:lvl w:ilvl="0" w:tentative="0">
      <w:start w:val="1"/>
      <w:numFmt w:val="japaneseCounting"/>
      <w:lvlText w:val="%1、"/>
      <w:lvlJc w:val="left"/>
      <w:pPr>
        <w:tabs>
          <w:tab w:val="left" w:pos="1050"/>
        </w:tabs>
        <w:ind w:left="1050" w:hanging="570"/>
      </w:pPr>
      <w:rPr>
        <w:rFonts w:hint="default" w:hAnsi="宋体"/>
        <w:sz w:val="24"/>
        <w:szCs w:val="24"/>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5C963F9A"/>
    <w:multiLevelType w:val="multilevel"/>
    <w:tmpl w:val="5C963F9A"/>
    <w:lvl w:ilvl="0" w:tentative="0">
      <w:start w:val="2"/>
      <w:numFmt w:val="decimal"/>
      <w:lvlText w:val="%1."/>
      <w:lvlJc w:val="left"/>
      <w:pPr>
        <w:ind w:left="540" w:hanging="54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2">
    <w:nsid w:val="6092188E"/>
    <w:multiLevelType w:val="multilevel"/>
    <w:tmpl w:val="609218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37F505F"/>
    <w:multiLevelType w:val="multilevel"/>
    <w:tmpl w:val="637F505F"/>
    <w:lvl w:ilvl="0" w:tentative="0">
      <w:start w:val="2"/>
      <w:numFmt w:val="decimal"/>
      <w:lvlText w:val="%1."/>
      <w:lvlJc w:val="left"/>
      <w:pPr>
        <w:ind w:left="540" w:hanging="54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6B752E8B"/>
    <w:multiLevelType w:val="multilevel"/>
    <w:tmpl w:val="6B752E8B"/>
    <w:lvl w:ilvl="0" w:tentative="0">
      <w:start w:val="2"/>
      <w:numFmt w:val="decimal"/>
      <w:lvlText w:val="%1."/>
      <w:lvlJc w:val="left"/>
      <w:pPr>
        <w:ind w:left="585" w:hanging="585"/>
      </w:pPr>
      <w:rPr>
        <w:rFonts w:hint="default"/>
        <w:color w:val="000000"/>
        <w:sz w:val="22"/>
      </w:rPr>
    </w:lvl>
    <w:lvl w:ilvl="1" w:tentative="0">
      <w:start w:val="1"/>
      <w:numFmt w:val="decimal"/>
      <w:lvlText w:val="%1.%2、"/>
      <w:lvlJc w:val="left"/>
      <w:pPr>
        <w:ind w:left="1080" w:hanging="720"/>
      </w:pPr>
      <w:rPr>
        <w:rFonts w:hint="default"/>
        <w:color w:val="000000"/>
        <w:sz w:val="22"/>
      </w:rPr>
    </w:lvl>
    <w:lvl w:ilvl="2" w:tentative="0">
      <w:start w:val="1"/>
      <w:numFmt w:val="decimal"/>
      <w:lvlText w:val="%1.%2、%3."/>
      <w:lvlJc w:val="left"/>
      <w:pPr>
        <w:ind w:left="1800" w:hanging="1080"/>
      </w:pPr>
      <w:rPr>
        <w:rFonts w:hint="default"/>
        <w:color w:val="000000"/>
        <w:sz w:val="22"/>
      </w:rPr>
    </w:lvl>
    <w:lvl w:ilvl="3" w:tentative="0">
      <w:start w:val="1"/>
      <w:numFmt w:val="decimal"/>
      <w:lvlText w:val="%1.%2、%3.%4."/>
      <w:lvlJc w:val="left"/>
      <w:pPr>
        <w:ind w:left="2160" w:hanging="1080"/>
      </w:pPr>
      <w:rPr>
        <w:rFonts w:hint="default"/>
        <w:color w:val="000000"/>
        <w:sz w:val="22"/>
      </w:rPr>
    </w:lvl>
    <w:lvl w:ilvl="4" w:tentative="0">
      <w:start w:val="1"/>
      <w:numFmt w:val="decimal"/>
      <w:lvlText w:val="%1.%2、%3.%4.%5."/>
      <w:lvlJc w:val="left"/>
      <w:pPr>
        <w:ind w:left="2880" w:hanging="1440"/>
      </w:pPr>
      <w:rPr>
        <w:rFonts w:hint="default"/>
        <w:color w:val="000000"/>
        <w:sz w:val="22"/>
      </w:rPr>
    </w:lvl>
    <w:lvl w:ilvl="5" w:tentative="0">
      <w:start w:val="1"/>
      <w:numFmt w:val="decimal"/>
      <w:lvlText w:val="%1.%2、%3.%4.%5.%6."/>
      <w:lvlJc w:val="left"/>
      <w:pPr>
        <w:ind w:left="3240" w:hanging="1440"/>
      </w:pPr>
      <w:rPr>
        <w:rFonts w:hint="default"/>
        <w:color w:val="000000"/>
        <w:sz w:val="22"/>
      </w:rPr>
    </w:lvl>
    <w:lvl w:ilvl="6" w:tentative="0">
      <w:start w:val="1"/>
      <w:numFmt w:val="decimal"/>
      <w:lvlText w:val="%1.%2、%3.%4.%5.%6.%7."/>
      <w:lvlJc w:val="left"/>
      <w:pPr>
        <w:ind w:left="3960" w:hanging="1800"/>
      </w:pPr>
      <w:rPr>
        <w:rFonts w:hint="default"/>
        <w:color w:val="000000"/>
        <w:sz w:val="22"/>
      </w:rPr>
    </w:lvl>
    <w:lvl w:ilvl="7" w:tentative="0">
      <w:start w:val="1"/>
      <w:numFmt w:val="decimal"/>
      <w:lvlText w:val="%1.%2、%3.%4.%5.%6.%7.%8."/>
      <w:lvlJc w:val="left"/>
      <w:pPr>
        <w:ind w:left="4320" w:hanging="1800"/>
      </w:pPr>
      <w:rPr>
        <w:rFonts w:hint="default"/>
        <w:color w:val="000000"/>
        <w:sz w:val="22"/>
      </w:rPr>
    </w:lvl>
    <w:lvl w:ilvl="8" w:tentative="0">
      <w:start w:val="1"/>
      <w:numFmt w:val="decimal"/>
      <w:lvlText w:val="%1.%2、%3.%4.%5.%6.%7.%8.%9."/>
      <w:lvlJc w:val="left"/>
      <w:pPr>
        <w:ind w:left="5040" w:hanging="2160"/>
      </w:pPr>
      <w:rPr>
        <w:rFonts w:hint="default"/>
        <w:color w:val="000000"/>
        <w:sz w:val="22"/>
      </w:rPr>
    </w:lvl>
  </w:abstractNum>
  <w:abstractNum w:abstractNumId="15">
    <w:nsid w:val="6E5D4553"/>
    <w:multiLevelType w:val="multilevel"/>
    <w:tmpl w:val="6E5D455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9"/>
  </w:num>
  <w:num w:numId="3">
    <w:abstractNumId w:val="15"/>
  </w:num>
  <w:num w:numId="4">
    <w:abstractNumId w:val="3"/>
  </w:num>
  <w:num w:numId="5">
    <w:abstractNumId w:val="14"/>
  </w:num>
  <w:num w:numId="6">
    <w:abstractNumId w:val="5"/>
  </w:num>
  <w:num w:numId="7">
    <w:abstractNumId w:val="2"/>
  </w:num>
  <w:num w:numId="8">
    <w:abstractNumId w:val="12"/>
  </w:num>
  <w:num w:numId="9">
    <w:abstractNumId w:val="0"/>
  </w:num>
  <w:num w:numId="10">
    <w:abstractNumId w:val="4"/>
  </w:num>
  <w:num w:numId="11">
    <w:abstractNumId w:val="11"/>
  </w:num>
  <w:num w:numId="12">
    <w:abstractNumId w:val="7"/>
  </w:num>
  <w:num w:numId="13">
    <w:abstractNumId w:val="6"/>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86"/>
    <w:rsid w:val="00004CF1"/>
    <w:rsid w:val="000106FF"/>
    <w:rsid w:val="0001472E"/>
    <w:rsid w:val="00016064"/>
    <w:rsid w:val="0002735A"/>
    <w:rsid w:val="0003799E"/>
    <w:rsid w:val="000404D4"/>
    <w:rsid w:val="00040DEF"/>
    <w:rsid w:val="00041035"/>
    <w:rsid w:val="000424D0"/>
    <w:rsid w:val="00044E3E"/>
    <w:rsid w:val="00047B9A"/>
    <w:rsid w:val="000550AC"/>
    <w:rsid w:val="00055C0A"/>
    <w:rsid w:val="00057EBE"/>
    <w:rsid w:val="0006536A"/>
    <w:rsid w:val="00067218"/>
    <w:rsid w:val="00071EE7"/>
    <w:rsid w:val="0007255F"/>
    <w:rsid w:val="00075475"/>
    <w:rsid w:val="000837C4"/>
    <w:rsid w:val="00084C3C"/>
    <w:rsid w:val="00084E1D"/>
    <w:rsid w:val="00093B04"/>
    <w:rsid w:val="000957BF"/>
    <w:rsid w:val="000972B0"/>
    <w:rsid w:val="000A1282"/>
    <w:rsid w:val="000A18E2"/>
    <w:rsid w:val="000A2713"/>
    <w:rsid w:val="000A5580"/>
    <w:rsid w:val="000A7F32"/>
    <w:rsid w:val="000B0CC7"/>
    <w:rsid w:val="000C19F0"/>
    <w:rsid w:val="000C41CA"/>
    <w:rsid w:val="000C48D2"/>
    <w:rsid w:val="000D2B05"/>
    <w:rsid w:val="000D6635"/>
    <w:rsid w:val="000E033A"/>
    <w:rsid w:val="000F0494"/>
    <w:rsid w:val="000F0BA2"/>
    <w:rsid w:val="00100CE2"/>
    <w:rsid w:val="00102CFE"/>
    <w:rsid w:val="00103969"/>
    <w:rsid w:val="001053F3"/>
    <w:rsid w:val="0010568D"/>
    <w:rsid w:val="00112E9C"/>
    <w:rsid w:val="00113330"/>
    <w:rsid w:val="00113C1D"/>
    <w:rsid w:val="001145EB"/>
    <w:rsid w:val="00116324"/>
    <w:rsid w:val="00117741"/>
    <w:rsid w:val="00121166"/>
    <w:rsid w:val="00122CEC"/>
    <w:rsid w:val="001262DA"/>
    <w:rsid w:val="0012683C"/>
    <w:rsid w:val="00131428"/>
    <w:rsid w:val="00133005"/>
    <w:rsid w:val="00133A9B"/>
    <w:rsid w:val="001348C7"/>
    <w:rsid w:val="00134AC0"/>
    <w:rsid w:val="00137097"/>
    <w:rsid w:val="00145753"/>
    <w:rsid w:val="001472F8"/>
    <w:rsid w:val="00147896"/>
    <w:rsid w:val="00150038"/>
    <w:rsid w:val="00150512"/>
    <w:rsid w:val="0015096D"/>
    <w:rsid w:val="00150DA1"/>
    <w:rsid w:val="00154413"/>
    <w:rsid w:val="001603E4"/>
    <w:rsid w:val="001638F4"/>
    <w:rsid w:val="001673DC"/>
    <w:rsid w:val="00170F99"/>
    <w:rsid w:val="001725A9"/>
    <w:rsid w:val="001727BD"/>
    <w:rsid w:val="00172A27"/>
    <w:rsid w:val="0017442F"/>
    <w:rsid w:val="00174877"/>
    <w:rsid w:val="00175F49"/>
    <w:rsid w:val="001774CC"/>
    <w:rsid w:val="0018631D"/>
    <w:rsid w:val="00190233"/>
    <w:rsid w:val="00192D1C"/>
    <w:rsid w:val="0019470A"/>
    <w:rsid w:val="00195C88"/>
    <w:rsid w:val="001A36E2"/>
    <w:rsid w:val="001A44F1"/>
    <w:rsid w:val="001A6962"/>
    <w:rsid w:val="001A6F5C"/>
    <w:rsid w:val="001B6AE2"/>
    <w:rsid w:val="001C1A22"/>
    <w:rsid w:val="001C6287"/>
    <w:rsid w:val="001C64CB"/>
    <w:rsid w:val="001D0BB1"/>
    <w:rsid w:val="001D2A83"/>
    <w:rsid w:val="001D5032"/>
    <w:rsid w:val="001D643D"/>
    <w:rsid w:val="001D65BC"/>
    <w:rsid w:val="001E256E"/>
    <w:rsid w:val="001E2973"/>
    <w:rsid w:val="001E60E7"/>
    <w:rsid w:val="001E6CC7"/>
    <w:rsid w:val="001F2D6C"/>
    <w:rsid w:val="001F3BE3"/>
    <w:rsid w:val="001F47E1"/>
    <w:rsid w:val="001F4EB3"/>
    <w:rsid w:val="001F6D4D"/>
    <w:rsid w:val="001F7790"/>
    <w:rsid w:val="001F7C2B"/>
    <w:rsid w:val="00202510"/>
    <w:rsid w:val="00204368"/>
    <w:rsid w:val="00205D01"/>
    <w:rsid w:val="00205DE7"/>
    <w:rsid w:val="00223E72"/>
    <w:rsid w:val="002252B6"/>
    <w:rsid w:val="00227790"/>
    <w:rsid w:val="00234AA5"/>
    <w:rsid w:val="00235DDE"/>
    <w:rsid w:val="00242823"/>
    <w:rsid w:val="00242FE5"/>
    <w:rsid w:val="00243009"/>
    <w:rsid w:val="00243A74"/>
    <w:rsid w:val="0024762D"/>
    <w:rsid w:val="002530BB"/>
    <w:rsid w:val="00253D6D"/>
    <w:rsid w:val="0025695A"/>
    <w:rsid w:val="00261828"/>
    <w:rsid w:val="00261AE4"/>
    <w:rsid w:val="00261C41"/>
    <w:rsid w:val="00263FE4"/>
    <w:rsid w:val="0026408F"/>
    <w:rsid w:val="002644AF"/>
    <w:rsid w:val="00264E0C"/>
    <w:rsid w:val="002755A5"/>
    <w:rsid w:val="00275BC8"/>
    <w:rsid w:val="002769C3"/>
    <w:rsid w:val="002779DC"/>
    <w:rsid w:val="00283CCB"/>
    <w:rsid w:val="00291F83"/>
    <w:rsid w:val="00293AF4"/>
    <w:rsid w:val="002978AB"/>
    <w:rsid w:val="002A02BD"/>
    <w:rsid w:val="002A1E84"/>
    <w:rsid w:val="002A1EEB"/>
    <w:rsid w:val="002A30C2"/>
    <w:rsid w:val="002A36A2"/>
    <w:rsid w:val="002A4A6D"/>
    <w:rsid w:val="002A4C5E"/>
    <w:rsid w:val="002A6594"/>
    <w:rsid w:val="002A73C5"/>
    <w:rsid w:val="002B199E"/>
    <w:rsid w:val="002B5240"/>
    <w:rsid w:val="002B7350"/>
    <w:rsid w:val="002C0FAB"/>
    <w:rsid w:val="002D2F3C"/>
    <w:rsid w:val="002D3D1C"/>
    <w:rsid w:val="002D45B5"/>
    <w:rsid w:val="002D4743"/>
    <w:rsid w:val="002E18F0"/>
    <w:rsid w:val="002F70F8"/>
    <w:rsid w:val="00304E86"/>
    <w:rsid w:val="003061D5"/>
    <w:rsid w:val="0031041E"/>
    <w:rsid w:val="00310B75"/>
    <w:rsid w:val="003118DD"/>
    <w:rsid w:val="00313976"/>
    <w:rsid w:val="00313BD1"/>
    <w:rsid w:val="00317559"/>
    <w:rsid w:val="0032217A"/>
    <w:rsid w:val="00323A88"/>
    <w:rsid w:val="0033007C"/>
    <w:rsid w:val="003337F8"/>
    <w:rsid w:val="0033594E"/>
    <w:rsid w:val="003363AC"/>
    <w:rsid w:val="00341456"/>
    <w:rsid w:val="00345BF5"/>
    <w:rsid w:val="003506B4"/>
    <w:rsid w:val="003509A1"/>
    <w:rsid w:val="00352911"/>
    <w:rsid w:val="00352E61"/>
    <w:rsid w:val="00356442"/>
    <w:rsid w:val="00356DD2"/>
    <w:rsid w:val="00357DF1"/>
    <w:rsid w:val="003654C1"/>
    <w:rsid w:val="00371497"/>
    <w:rsid w:val="003714C0"/>
    <w:rsid w:val="00375DCA"/>
    <w:rsid w:val="00383084"/>
    <w:rsid w:val="00383513"/>
    <w:rsid w:val="003858CB"/>
    <w:rsid w:val="0039377D"/>
    <w:rsid w:val="003977C6"/>
    <w:rsid w:val="003A0224"/>
    <w:rsid w:val="003A1137"/>
    <w:rsid w:val="003A5B1E"/>
    <w:rsid w:val="003A6BD8"/>
    <w:rsid w:val="003B35A6"/>
    <w:rsid w:val="003B4936"/>
    <w:rsid w:val="003B565D"/>
    <w:rsid w:val="003C0653"/>
    <w:rsid w:val="003C6123"/>
    <w:rsid w:val="003D270D"/>
    <w:rsid w:val="003D3339"/>
    <w:rsid w:val="003D3D7E"/>
    <w:rsid w:val="003D5783"/>
    <w:rsid w:val="003D6CA5"/>
    <w:rsid w:val="003F044B"/>
    <w:rsid w:val="003F6134"/>
    <w:rsid w:val="004045B4"/>
    <w:rsid w:val="00404FA3"/>
    <w:rsid w:val="0040751E"/>
    <w:rsid w:val="00411506"/>
    <w:rsid w:val="00413175"/>
    <w:rsid w:val="004147EE"/>
    <w:rsid w:val="004176E0"/>
    <w:rsid w:val="00420C3D"/>
    <w:rsid w:val="0042105E"/>
    <w:rsid w:val="00422715"/>
    <w:rsid w:val="0042379C"/>
    <w:rsid w:val="00430EA0"/>
    <w:rsid w:val="004325DB"/>
    <w:rsid w:val="00433376"/>
    <w:rsid w:val="004363EB"/>
    <w:rsid w:val="00443833"/>
    <w:rsid w:val="00445092"/>
    <w:rsid w:val="00452B8D"/>
    <w:rsid w:val="00452D9C"/>
    <w:rsid w:val="00461940"/>
    <w:rsid w:val="00462DED"/>
    <w:rsid w:val="00467E30"/>
    <w:rsid w:val="0047161B"/>
    <w:rsid w:val="004720F8"/>
    <w:rsid w:val="00482A5E"/>
    <w:rsid w:val="004846D0"/>
    <w:rsid w:val="00487502"/>
    <w:rsid w:val="00491C53"/>
    <w:rsid w:val="00493789"/>
    <w:rsid w:val="0049406D"/>
    <w:rsid w:val="0049552A"/>
    <w:rsid w:val="0049614E"/>
    <w:rsid w:val="0049640C"/>
    <w:rsid w:val="00497C5D"/>
    <w:rsid w:val="004A16AC"/>
    <w:rsid w:val="004A2A2C"/>
    <w:rsid w:val="004A2CC9"/>
    <w:rsid w:val="004A51ED"/>
    <w:rsid w:val="004A58BA"/>
    <w:rsid w:val="004B1D77"/>
    <w:rsid w:val="004B5DD3"/>
    <w:rsid w:val="004C16AD"/>
    <w:rsid w:val="004C2160"/>
    <w:rsid w:val="004C6F8D"/>
    <w:rsid w:val="004C70F2"/>
    <w:rsid w:val="004D426E"/>
    <w:rsid w:val="004D54C8"/>
    <w:rsid w:val="004E00C4"/>
    <w:rsid w:val="004E1DD1"/>
    <w:rsid w:val="004F027B"/>
    <w:rsid w:val="004F0FF5"/>
    <w:rsid w:val="004F1CE5"/>
    <w:rsid w:val="004F3EB3"/>
    <w:rsid w:val="004F7A39"/>
    <w:rsid w:val="005000E7"/>
    <w:rsid w:val="00500E3B"/>
    <w:rsid w:val="005033F8"/>
    <w:rsid w:val="005112C4"/>
    <w:rsid w:val="0051267B"/>
    <w:rsid w:val="005134C1"/>
    <w:rsid w:val="005169AE"/>
    <w:rsid w:val="00521667"/>
    <w:rsid w:val="005227A8"/>
    <w:rsid w:val="005240DE"/>
    <w:rsid w:val="00524EA8"/>
    <w:rsid w:val="00527DEF"/>
    <w:rsid w:val="005307CA"/>
    <w:rsid w:val="00531207"/>
    <w:rsid w:val="00532A90"/>
    <w:rsid w:val="00533C76"/>
    <w:rsid w:val="005340E5"/>
    <w:rsid w:val="00534A0E"/>
    <w:rsid w:val="005356A4"/>
    <w:rsid w:val="00535F7E"/>
    <w:rsid w:val="005365B5"/>
    <w:rsid w:val="00536BE2"/>
    <w:rsid w:val="005414E4"/>
    <w:rsid w:val="005438D4"/>
    <w:rsid w:val="0055145D"/>
    <w:rsid w:val="00551F78"/>
    <w:rsid w:val="00561CCA"/>
    <w:rsid w:val="00562DD0"/>
    <w:rsid w:val="005647C6"/>
    <w:rsid w:val="005672C9"/>
    <w:rsid w:val="00567334"/>
    <w:rsid w:val="005711AA"/>
    <w:rsid w:val="00573CE0"/>
    <w:rsid w:val="005777D6"/>
    <w:rsid w:val="00580ACC"/>
    <w:rsid w:val="00580C3F"/>
    <w:rsid w:val="00586706"/>
    <w:rsid w:val="00591361"/>
    <w:rsid w:val="00592894"/>
    <w:rsid w:val="00593AD0"/>
    <w:rsid w:val="00596E8C"/>
    <w:rsid w:val="0059774F"/>
    <w:rsid w:val="005A0B84"/>
    <w:rsid w:val="005A239C"/>
    <w:rsid w:val="005A4811"/>
    <w:rsid w:val="005A4F73"/>
    <w:rsid w:val="005A5641"/>
    <w:rsid w:val="005B0371"/>
    <w:rsid w:val="005B5CAF"/>
    <w:rsid w:val="005C0B1C"/>
    <w:rsid w:val="005C0DB7"/>
    <w:rsid w:val="005C2FCD"/>
    <w:rsid w:val="005C51BF"/>
    <w:rsid w:val="005C633E"/>
    <w:rsid w:val="005C64A9"/>
    <w:rsid w:val="005C6C16"/>
    <w:rsid w:val="005D11C1"/>
    <w:rsid w:val="005D289F"/>
    <w:rsid w:val="005D32F3"/>
    <w:rsid w:val="005D3BE0"/>
    <w:rsid w:val="005D44A5"/>
    <w:rsid w:val="005D5A97"/>
    <w:rsid w:val="005D776F"/>
    <w:rsid w:val="005E32BA"/>
    <w:rsid w:val="005E33AA"/>
    <w:rsid w:val="005E648B"/>
    <w:rsid w:val="005E7A87"/>
    <w:rsid w:val="005F0B23"/>
    <w:rsid w:val="005F6E04"/>
    <w:rsid w:val="005F6F90"/>
    <w:rsid w:val="005F72D8"/>
    <w:rsid w:val="006108E4"/>
    <w:rsid w:val="00611107"/>
    <w:rsid w:val="0061174B"/>
    <w:rsid w:val="00611A4F"/>
    <w:rsid w:val="006129DD"/>
    <w:rsid w:val="006141FA"/>
    <w:rsid w:val="00614782"/>
    <w:rsid w:val="00616E95"/>
    <w:rsid w:val="0061718C"/>
    <w:rsid w:val="0062063A"/>
    <w:rsid w:val="00622BE0"/>
    <w:rsid w:val="00623C2C"/>
    <w:rsid w:val="00623CC2"/>
    <w:rsid w:val="006244E9"/>
    <w:rsid w:val="0062519B"/>
    <w:rsid w:val="006379CB"/>
    <w:rsid w:val="00641418"/>
    <w:rsid w:val="006414E1"/>
    <w:rsid w:val="00642DBC"/>
    <w:rsid w:val="0065014A"/>
    <w:rsid w:val="006552B5"/>
    <w:rsid w:val="0065796F"/>
    <w:rsid w:val="006639C1"/>
    <w:rsid w:val="00663F9B"/>
    <w:rsid w:val="006662DA"/>
    <w:rsid w:val="0066650D"/>
    <w:rsid w:val="00667D8C"/>
    <w:rsid w:val="00671D73"/>
    <w:rsid w:val="0067356B"/>
    <w:rsid w:val="0067634C"/>
    <w:rsid w:val="006806F0"/>
    <w:rsid w:val="00683348"/>
    <w:rsid w:val="006860D7"/>
    <w:rsid w:val="006905F5"/>
    <w:rsid w:val="006941CE"/>
    <w:rsid w:val="006A7894"/>
    <w:rsid w:val="006B1142"/>
    <w:rsid w:val="006B1186"/>
    <w:rsid w:val="006B13D8"/>
    <w:rsid w:val="006B4E82"/>
    <w:rsid w:val="006B7313"/>
    <w:rsid w:val="006B7DEE"/>
    <w:rsid w:val="006C113D"/>
    <w:rsid w:val="006C1E80"/>
    <w:rsid w:val="006C44AB"/>
    <w:rsid w:val="006C4706"/>
    <w:rsid w:val="006C655E"/>
    <w:rsid w:val="006C6C66"/>
    <w:rsid w:val="006D6F2E"/>
    <w:rsid w:val="006E041E"/>
    <w:rsid w:val="006E3AC3"/>
    <w:rsid w:val="006E48E8"/>
    <w:rsid w:val="006F02E5"/>
    <w:rsid w:val="006F24ED"/>
    <w:rsid w:val="006F6077"/>
    <w:rsid w:val="00702C78"/>
    <w:rsid w:val="00704BFA"/>
    <w:rsid w:val="00710E64"/>
    <w:rsid w:val="007127B7"/>
    <w:rsid w:val="0071467C"/>
    <w:rsid w:val="00724508"/>
    <w:rsid w:val="007337AB"/>
    <w:rsid w:val="00735C52"/>
    <w:rsid w:val="00736013"/>
    <w:rsid w:val="007366FA"/>
    <w:rsid w:val="00742C78"/>
    <w:rsid w:val="007513E8"/>
    <w:rsid w:val="00756631"/>
    <w:rsid w:val="00757865"/>
    <w:rsid w:val="00760C5D"/>
    <w:rsid w:val="00761C1E"/>
    <w:rsid w:val="00762A0A"/>
    <w:rsid w:val="00762D48"/>
    <w:rsid w:val="00763291"/>
    <w:rsid w:val="007776CA"/>
    <w:rsid w:val="007822B2"/>
    <w:rsid w:val="0078550D"/>
    <w:rsid w:val="007865EB"/>
    <w:rsid w:val="00786D3A"/>
    <w:rsid w:val="00790F99"/>
    <w:rsid w:val="00792E57"/>
    <w:rsid w:val="00792EE4"/>
    <w:rsid w:val="00795FB4"/>
    <w:rsid w:val="007A6AC7"/>
    <w:rsid w:val="007B0505"/>
    <w:rsid w:val="007B3F1D"/>
    <w:rsid w:val="007B65FB"/>
    <w:rsid w:val="007C0A3C"/>
    <w:rsid w:val="007C2DB9"/>
    <w:rsid w:val="007D3447"/>
    <w:rsid w:val="007D6715"/>
    <w:rsid w:val="007D6D7C"/>
    <w:rsid w:val="007D6E34"/>
    <w:rsid w:val="007E16FE"/>
    <w:rsid w:val="007E228C"/>
    <w:rsid w:val="007E4FDB"/>
    <w:rsid w:val="007E5B32"/>
    <w:rsid w:val="007E67BE"/>
    <w:rsid w:val="007F260B"/>
    <w:rsid w:val="007F3676"/>
    <w:rsid w:val="007F44B4"/>
    <w:rsid w:val="00803026"/>
    <w:rsid w:val="0080410F"/>
    <w:rsid w:val="008046AE"/>
    <w:rsid w:val="0080613A"/>
    <w:rsid w:val="00807DBE"/>
    <w:rsid w:val="00810121"/>
    <w:rsid w:val="008141E0"/>
    <w:rsid w:val="0081462D"/>
    <w:rsid w:val="00814D1D"/>
    <w:rsid w:val="00815537"/>
    <w:rsid w:val="008207C7"/>
    <w:rsid w:val="0082662B"/>
    <w:rsid w:val="0082690E"/>
    <w:rsid w:val="00832C0B"/>
    <w:rsid w:val="008330CE"/>
    <w:rsid w:val="00833143"/>
    <w:rsid w:val="00833F76"/>
    <w:rsid w:val="00834D99"/>
    <w:rsid w:val="008365C2"/>
    <w:rsid w:val="008454FC"/>
    <w:rsid w:val="0085308D"/>
    <w:rsid w:val="00854F65"/>
    <w:rsid w:val="00855CDE"/>
    <w:rsid w:val="00861A69"/>
    <w:rsid w:val="00863DB0"/>
    <w:rsid w:val="00865667"/>
    <w:rsid w:val="008656EE"/>
    <w:rsid w:val="00871306"/>
    <w:rsid w:val="00876A3C"/>
    <w:rsid w:val="00885DAA"/>
    <w:rsid w:val="008914C8"/>
    <w:rsid w:val="00891E52"/>
    <w:rsid w:val="00896625"/>
    <w:rsid w:val="008969E9"/>
    <w:rsid w:val="008A0195"/>
    <w:rsid w:val="008A4A99"/>
    <w:rsid w:val="008A5FA2"/>
    <w:rsid w:val="008A73C4"/>
    <w:rsid w:val="008B267C"/>
    <w:rsid w:val="008B2A91"/>
    <w:rsid w:val="008B4A4C"/>
    <w:rsid w:val="008B5B21"/>
    <w:rsid w:val="008B63D1"/>
    <w:rsid w:val="008C56FD"/>
    <w:rsid w:val="008C77A1"/>
    <w:rsid w:val="008D160F"/>
    <w:rsid w:val="008E04C6"/>
    <w:rsid w:val="008E1612"/>
    <w:rsid w:val="008E33E2"/>
    <w:rsid w:val="008E38BF"/>
    <w:rsid w:val="008F0735"/>
    <w:rsid w:val="008F2043"/>
    <w:rsid w:val="008F2A12"/>
    <w:rsid w:val="00900912"/>
    <w:rsid w:val="009042B5"/>
    <w:rsid w:val="00906FDE"/>
    <w:rsid w:val="00907671"/>
    <w:rsid w:val="00910659"/>
    <w:rsid w:val="009112F9"/>
    <w:rsid w:val="00913A97"/>
    <w:rsid w:val="00917CA1"/>
    <w:rsid w:val="00920FB0"/>
    <w:rsid w:val="009216E0"/>
    <w:rsid w:val="00925888"/>
    <w:rsid w:val="00927A55"/>
    <w:rsid w:val="009331BE"/>
    <w:rsid w:val="00933409"/>
    <w:rsid w:val="00936060"/>
    <w:rsid w:val="009362FD"/>
    <w:rsid w:val="00937AFD"/>
    <w:rsid w:val="00937B38"/>
    <w:rsid w:val="0094042E"/>
    <w:rsid w:val="009429B0"/>
    <w:rsid w:val="009433FC"/>
    <w:rsid w:val="009453F2"/>
    <w:rsid w:val="009526E1"/>
    <w:rsid w:val="00957AA1"/>
    <w:rsid w:val="0096096B"/>
    <w:rsid w:val="00960D3E"/>
    <w:rsid w:val="0096142A"/>
    <w:rsid w:val="0096194C"/>
    <w:rsid w:val="00965BE9"/>
    <w:rsid w:val="009667A2"/>
    <w:rsid w:val="0097172B"/>
    <w:rsid w:val="00972774"/>
    <w:rsid w:val="0097394E"/>
    <w:rsid w:val="00973A0C"/>
    <w:rsid w:val="009827C6"/>
    <w:rsid w:val="00985314"/>
    <w:rsid w:val="00992BAD"/>
    <w:rsid w:val="00996883"/>
    <w:rsid w:val="009A2B02"/>
    <w:rsid w:val="009A35E1"/>
    <w:rsid w:val="009A3E0F"/>
    <w:rsid w:val="009A4408"/>
    <w:rsid w:val="009A4BC4"/>
    <w:rsid w:val="009A629B"/>
    <w:rsid w:val="009B5D09"/>
    <w:rsid w:val="009C04CA"/>
    <w:rsid w:val="009C0A40"/>
    <w:rsid w:val="009C0FED"/>
    <w:rsid w:val="009C2AE0"/>
    <w:rsid w:val="009D3FBF"/>
    <w:rsid w:val="009D5548"/>
    <w:rsid w:val="009D5A8B"/>
    <w:rsid w:val="009D6D29"/>
    <w:rsid w:val="009E25BE"/>
    <w:rsid w:val="009F232B"/>
    <w:rsid w:val="009F6930"/>
    <w:rsid w:val="009F737B"/>
    <w:rsid w:val="00A00A8B"/>
    <w:rsid w:val="00A03CC2"/>
    <w:rsid w:val="00A0438E"/>
    <w:rsid w:val="00A114C2"/>
    <w:rsid w:val="00A21EFA"/>
    <w:rsid w:val="00A31AEB"/>
    <w:rsid w:val="00A32107"/>
    <w:rsid w:val="00A350B4"/>
    <w:rsid w:val="00A36BE4"/>
    <w:rsid w:val="00A43F78"/>
    <w:rsid w:val="00A447F7"/>
    <w:rsid w:val="00A455E5"/>
    <w:rsid w:val="00A458D4"/>
    <w:rsid w:val="00A5196B"/>
    <w:rsid w:val="00A52381"/>
    <w:rsid w:val="00A548D7"/>
    <w:rsid w:val="00A5523B"/>
    <w:rsid w:val="00A6569A"/>
    <w:rsid w:val="00A73950"/>
    <w:rsid w:val="00A73F84"/>
    <w:rsid w:val="00A74A57"/>
    <w:rsid w:val="00A76465"/>
    <w:rsid w:val="00A8388E"/>
    <w:rsid w:val="00A8438C"/>
    <w:rsid w:val="00A8489C"/>
    <w:rsid w:val="00A87182"/>
    <w:rsid w:val="00A943F8"/>
    <w:rsid w:val="00A94A67"/>
    <w:rsid w:val="00A95A6C"/>
    <w:rsid w:val="00A97117"/>
    <w:rsid w:val="00A972ED"/>
    <w:rsid w:val="00A97491"/>
    <w:rsid w:val="00AA01DE"/>
    <w:rsid w:val="00AA244E"/>
    <w:rsid w:val="00AA668C"/>
    <w:rsid w:val="00AB0088"/>
    <w:rsid w:val="00AB1E31"/>
    <w:rsid w:val="00AB431B"/>
    <w:rsid w:val="00AB604F"/>
    <w:rsid w:val="00AC23B8"/>
    <w:rsid w:val="00AC3C00"/>
    <w:rsid w:val="00AC3F9E"/>
    <w:rsid w:val="00AC5D56"/>
    <w:rsid w:val="00AC5E78"/>
    <w:rsid w:val="00AC6323"/>
    <w:rsid w:val="00AD2391"/>
    <w:rsid w:val="00AD675B"/>
    <w:rsid w:val="00AD6A50"/>
    <w:rsid w:val="00AE2633"/>
    <w:rsid w:val="00AE506F"/>
    <w:rsid w:val="00AF0311"/>
    <w:rsid w:val="00AF045B"/>
    <w:rsid w:val="00AF051A"/>
    <w:rsid w:val="00AF054F"/>
    <w:rsid w:val="00AF1914"/>
    <w:rsid w:val="00AF2E22"/>
    <w:rsid w:val="00B0059C"/>
    <w:rsid w:val="00B01D5E"/>
    <w:rsid w:val="00B021AE"/>
    <w:rsid w:val="00B1069C"/>
    <w:rsid w:val="00B12792"/>
    <w:rsid w:val="00B128F6"/>
    <w:rsid w:val="00B16EC3"/>
    <w:rsid w:val="00B211AB"/>
    <w:rsid w:val="00B232EA"/>
    <w:rsid w:val="00B24F8E"/>
    <w:rsid w:val="00B27780"/>
    <w:rsid w:val="00B30244"/>
    <w:rsid w:val="00B3489C"/>
    <w:rsid w:val="00B352EE"/>
    <w:rsid w:val="00B378BD"/>
    <w:rsid w:val="00B4015A"/>
    <w:rsid w:val="00B433FA"/>
    <w:rsid w:val="00B44411"/>
    <w:rsid w:val="00B477B5"/>
    <w:rsid w:val="00B53E1A"/>
    <w:rsid w:val="00B55377"/>
    <w:rsid w:val="00B63DB9"/>
    <w:rsid w:val="00B65AB4"/>
    <w:rsid w:val="00B673A3"/>
    <w:rsid w:val="00B721E1"/>
    <w:rsid w:val="00B72763"/>
    <w:rsid w:val="00B7402C"/>
    <w:rsid w:val="00B74122"/>
    <w:rsid w:val="00B74359"/>
    <w:rsid w:val="00B754B6"/>
    <w:rsid w:val="00B75E05"/>
    <w:rsid w:val="00B77958"/>
    <w:rsid w:val="00B90929"/>
    <w:rsid w:val="00B91F20"/>
    <w:rsid w:val="00B924CB"/>
    <w:rsid w:val="00B92CC4"/>
    <w:rsid w:val="00B9366D"/>
    <w:rsid w:val="00B93DB7"/>
    <w:rsid w:val="00BA52AD"/>
    <w:rsid w:val="00BA655C"/>
    <w:rsid w:val="00BB5401"/>
    <w:rsid w:val="00BB6B58"/>
    <w:rsid w:val="00BC00DA"/>
    <w:rsid w:val="00BC0131"/>
    <w:rsid w:val="00BC2D05"/>
    <w:rsid w:val="00BD505F"/>
    <w:rsid w:val="00BD54EB"/>
    <w:rsid w:val="00BD58FD"/>
    <w:rsid w:val="00BD7077"/>
    <w:rsid w:val="00BE1B42"/>
    <w:rsid w:val="00BE2188"/>
    <w:rsid w:val="00BE274F"/>
    <w:rsid w:val="00BE5501"/>
    <w:rsid w:val="00BE6402"/>
    <w:rsid w:val="00BE6854"/>
    <w:rsid w:val="00BE7898"/>
    <w:rsid w:val="00BF12C9"/>
    <w:rsid w:val="00BF1BF7"/>
    <w:rsid w:val="00BF5EAB"/>
    <w:rsid w:val="00BF6087"/>
    <w:rsid w:val="00C009FB"/>
    <w:rsid w:val="00C143C8"/>
    <w:rsid w:val="00C20836"/>
    <w:rsid w:val="00C23B57"/>
    <w:rsid w:val="00C26348"/>
    <w:rsid w:val="00C26939"/>
    <w:rsid w:val="00C33734"/>
    <w:rsid w:val="00C41D3B"/>
    <w:rsid w:val="00C435D4"/>
    <w:rsid w:val="00C45691"/>
    <w:rsid w:val="00C464E9"/>
    <w:rsid w:val="00C47687"/>
    <w:rsid w:val="00C516D3"/>
    <w:rsid w:val="00C53960"/>
    <w:rsid w:val="00C55328"/>
    <w:rsid w:val="00C57EEA"/>
    <w:rsid w:val="00C607F1"/>
    <w:rsid w:val="00C6477E"/>
    <w:rsid w:val="00C64D79"/>
    <w:rsid w:val="00C664FD"/>
    <w:rsid w:val="00C67C6B"/>
    <w:rsid w:val="00C72313"/>
    <w:rsid w:val="00C82600"/>
    <w:rsid w:val="00C900AB"/>
    <w:rsid w:val="00C90BBA"/>
    <w:rsid w:val="00C92055"/>
    <w:rsid w:val="00C93286"/>
    <w:rsid w:val="00C94703"/>
    <w:rsid w:val="00C97FC6"/>
    <w:rsid w:val="00CA13F3"/>
    <w:rsid w:val="00CA1FA9"/>
    <w:rsid w:val="00CA2FC6"/>
    <w:rsid w:val="00CA6047"/>
    <w:rsid w:val="00CA6EAB"/>
    <w:rsid w:val="00CB414B"/>
    <w:rsid w:val="00CB69BD"/>
    <w:rsid w:val="00CC2E26"/>
    <w:rsid w:val="00CC441C"/>
    <w:rsid w:val="00CC4DA9"/>
    <w:rsid w:val="00CC65E2"/>
    <w:rsid w:val="00CD0E66"/>
    <w:rsid w:val="00CD1644"/>
    <w:rsid w:val="00CD1E0D"/>
    <w:rsid w:val="00CD3EC6"/>
    <w:rsid w:val="00CD4F58"/>
    <w:rsid w:val="00CD5A7E"/>
    <w:rsid w:val="00CE4A13"/>
    <w:rsid w:val="00CE74B3"/>
    <w:rsid w:val="00CF0E4A"/>
    <w:rsid w:val="00CF6776"/>
    <w:rsid w:val="00CF7590"/>
    <w:rsid w:val="00D014F3"/>
    <w:rsid w:val="00D01ADA"/>
    <w:rsid w:val="00D0357B"/>
    <w:rsid w:val="00D04946"/>
    <w:rsid w:val="00D12F1B"/>
    <w:rsid w:val="00D136CD"/>
    <w:rsid w:val="00D13826"/>
    <w:rsid w:val="00D16959"/>
    <w:rsid w:val="00D20B75"/>
    <w:rsid w:val="00D21085"/>
    <w:rsid w:val="00D21DC6"/>
    <w:rsid w:val="00D21F6B"/>
    <w:rsid w:val="00D24491"/>
    <w:rsid w:val="00D24EDB"/>
    <w:rsid w:val="00D27724"/>
    <w:rsid w:val="00D31633"/>
    <w:rsid w:val="00D32789"/>
    <w:rsid w:val="00D3619B"/>
    <w:rsid w:val="00D50AFC"/>
    <w:rsid w:val="00D51818"/>
    <w:rsid w:val="00D55FB1"/>
    <w:rsid w:val="00D570A1"/>
    <w:rsid w:val="00D6035D"/>
    <w:rsid w:val="00D61151"/>
    <w:rsid w:val="00D66734"/>
    <w:rsid w:val="00D66E2D"/>
    <w:rsid w:val="00D70300"/>
    <w:rsid w:val="00D719FA"/>
    <w:rsid w:val="00D73584"/>
    <w:rsid w:val="00D77816"/>
    <w:rsid w:val="00D804D1"/>
    <w:rsid w:val="00D81078"/>
    <w:rsid w:val="00D82D6E"/>
    <w:rsid w:val="00D85761"/>
    <w:rsid w:val="00D919AB"/>
    <w:rsid w:val="00D9545E"/>
    <w:rsid w:val="00D97F61"/>
    <w:rsid w:val="00DA04B3"/>
    <w:rsid w:val="00DA0BF7"/>
    <w:rsid w:val="00DA2236"/>
    <w:rsid w:val="00DA38E3"/>
    <w:rsid w:val="00DA4957"/>
    <w:rsid w:val="00DA58B4"/>
    <w:rsid w:val="00DB1E46"/>
    <w:rsid w:val="00DB33AF"/>
    <w:rsid w:val="00DB36F3"/>
    <w:rsid w:val="00DB4F06"/>
    <w:rsid w:val="00DB695D"/>
    <w:rsid w:val="00DC1F34"/>
    <w:rsid w:val="00DC2B90"/>
    <w:rsid w:val="00DC426E"/>
    <w:rsid w:val="00DC58E8"/>
    <w:rsid w:val="00DC5CBC"/>
    <w:rsid w:val="00DC634A"/>
    <w:rsid w:val="00DC6893"/>
    <w:rsid w:val="00DC7735"/>
    <w:rsid w:val="00DD0B02"/>
    <w:rsid w:val="00DD1CAD"/>
    <w:rsid w:val="00DD3501"/>
    <w:rsid w:val="00DD3530"/>
    <w:rsid w:val="00DD4219"/>
    <w:rsid w:val="00DD7FEA"/>
    <w:rsid w:val="00DE28CF"/>
    <w:rsid w:val="00DE30F8"/>
    <w:rsid w:val="00DE6367"/>
    <w:rsid w:val="00DF0D0C"/>
    <w:rsid w:val="00DF359B"/>
    <w:rsid w:val="00DF4730"/>
    <w:rsid w:val="00DF4751"/>
    <w:rsid w:val="00E00314"/>
    <w:rsid w:val="00E05272"/>
    <w:rsid w:val="00E12BC3"/>
    <w:rsid w:val="00E141F1"/>
    <w:rsid w:val="00E15077"/>
    <w:rsid w:val="00E1612D"/>
    <w:rsid w:val="00E16AAF"/>
    <w:rsid w:val="00E17872"/>
    <w:rsid w:val="00E20E23"/>
    <w:rsid w:val="00E22530"/>
    <w:rsid w:val="00E24C74"/>
    <w:rsid w:val="00E27B63"/>
    <w:rsid w:val="00E27E2E"/>
    <w:rsid w:val="00E31235"/>
    <w:rsid w:val="00E35CE9"/>
    <w:rsid w:val="00E3635B"/>
    <w:rsid w:val="00E3640A"/>
    <w:rsid w:val="00E4249D"/>
    <w:rsid w:val="00E44440"/>
    <w:rsid w:val="00E45410"/>
    <w:rsid w:val="00E50AFE"/>
    <w:rsid w:val="00E51FD2"/>
    <w:rsid w:val="00E527EE"/>
    <w:rsid w:val="00E541AB"/>
    <w:rsid w:val="00E55C5A"/>
    <w:rsid w:val="00E56B11"/>
    <w:rsid w:val="00E576E4"/>
    <w:rsid w:val="00E57B71"/>
    <w:rsid w:val="00E60E8A"/>
    <w:rsid w:val="00E624D3"/>
    <w:rsid w:val="00E6375C"/>
    <w:rsid w:val="00E63E3C"/>
    <w:rsid w:val="00E6402D"/>
    <w:rsid w:val="00E7218B"/>
    <w:rsid w:val="00E74267"/>
    <w:rsid w:val="00E76671"/>
    <w:rsid w:val="00E81666"/>
    <w:rsid w:val="00E81C95"/>
    <w:rsid w:val="00E827C8"/>
    <w:rsid w:val="00E86BBE"/>
    <w:rsid w:val="00E86D4F"/>
    <w:rsid w:val="00E87E7A"/>
    <w:rsid w:val="00E90ED4"/>
    <w:rsid w:val="00E9369D"/>
    <w:rsid w:val="00E95402"/>
    <w:rsid w:val="00E95F21"/>
    <w:rsid w:val="00E96D35"/>
    <w:rsid w:val="00EA2B70"/>
    <w:rsid w:val="00EA4544"/>
    <w:rsid w:val="00EB02DC"/>
    <w:rsid w:val="00EB15EA"/>
    <w:rsid w:val="00EB1650"/>
    <w:rsid w:val="00EB7990"/>
    <w:rsid w:val="00EC0A0E"/>
    <w:rsid w:val="00EC1C04"/>
    <w:rsid w:val="00EC520D"/>
    <w:rsid w:val="00EC5C31"/>
    <w:rsid w:val="00EC69CA"/>
    <w:rsid w:val="00EC6A01"/>
    <w:rsid w:val="00EC7922"/>
    <w:rsid w:val="00ED498F"/>
    <w:rsid w:val="00ED4DA9"/>
    <w:rsid w:val="00ED5C18"/>
    <w:rsid w:val="00ED6F72"/>
    <w:rsid w:val="00EE1317"/>
    <w:rsid w:val="00EE49A4"/>
    <w:rsid w:val="00EE62BB"/>
    <w:rsid w:val="00EE771D"/>
    <w:rsid w:val="00EF40FF"/>
    <w:rsid w:val="00EF4915"/>
    <w:rsid w:val="00EF629A"/>
    <w:rsid w:val="00F05D2A"/>
    <w:rsid w:val="00F06591"/>
    <w:rsid w:val="00F071EB"/>
    <w:rsid w:val="00F1040E"/>
    <w:rsid w:val="00F12A33"/>
    <w:rsid w:val="00F1447B"/>
    <w:rsid w:val="00F1543D"/>
    <w:rsid w:val="00F306D1"/>
    <w:rsid w:val="00F307DB"/>
    <w:rsid w:val="00F3092E"/>
    <w:rsid w:val="00F372BC"/>
    <w:rsid w:val="00F45938"/>
    <w:rsid w:val="00F516A7"/>
    <w:rsid w:val="00F5227C"/>
    <w:rsid w:val="00F53E29"/>
    <w:rsid w:val="00F54162"/>
    <w:rsid w:val="00F54F64"/>
    <w:rsid w:val="00F571DB"/>
    <w:rsid w:val="00F618FA"/>
    <w:rsid w:val="00F62644"/>
    <w:rsid w:val="00F62A37"/>
    <w:rsid w:val="00F63639"/>
    <w:rsid w:val="00F63B47"/>
    <w:rsid w:val="00F703D4"/>
    <w:rsid w:val="00F76681"/>
    <w:rsid w:val="00F806EB"/>
    <w:rsid w:val="00F90002"/>
    <w:rsid w:val="00F905F4"/>
    <w:rsid w:val="00F93234"/>
    <w:rsid w:val="00F97AEA"/>
    <w:rsid w:val="00FB2083"/>
    <w:rsid w:val="00FB23A2"/>
    <w:rsid w:val="00FB313B"/>
    <w:rsid w:val="00FB570D"/>
    <w:rsid w:val="00FB6E08"/>
    <w:rsid w:val="00FC06FD"/>
    <w:rsid w:val="00FC106C"/>
    <w:rsid w:val="00FC2B1B"/>
    <w:rsid w:val="00FC3EEA"/>
    <w:rsid w:val="00FC54BA"/>
    <w:rsid w:val="00FC56E8"/>
    <w:rsid w:val="00FC5F50"/>
    <w:rsid w:val="00FC6EAB"/>
    <w:rsid w:val="00FD2865"/>
    <w:rsid w:val="00FD6F24"/>
    <w:rsid w:val="00FE11FC"/>
    <w:rsid w:val="00FE17E6"/>
    <w:rsid w:val="00FE34BC"/>
    <w:rsid w:val="00FF0263"/>
    <w:rsid w:val="00FF1DE9"/>
    <w:rsid w:val="00FF1E90"/>
    <w:rsid w:val="00FF2E5F"/>
    <w:rsid w:val="00FF4487"/>
    <w:rsid w:val="01CD2836"/>
    <w:rsid w:val="035031D3"/>
    <w:rsid w:val="07B47BFF"/>
    <w:rsid w:val="07DF3B1C"/>
    <w:rsid w:val="09166504"/>
    <w:rsid w:val="0CA96C8B"/>
    <w:rsid w:val="0D6D221A"/>
    <w:rsid w:val="0DAD6C67"/>
    <w:rsid w:val="109367E2"/>
    <w:rsid w:val="143E37B5"/>
    <w:rsid w:val="1A334177"/>
    <w:rsid w:val="1CBA02CE"/>
    <w:rsid w:val="1D80626A"/>
    <w:rsid w:val="21862A8E"/>
    <w:rsid w:val="237D0B86"/>
    <w:rsid w:val="2F3F164C"/>
    <w:rsid w:val="2F6935DB"/>
    <w:rsid w:val="2F717A88"/>
    <w:rsid w:val="2FC42D91"/>
    <w:rsid w:val="389B5E44"/>
    <w:rsid w:val="3C94676F"/>
    <w:rsid w:val="3D927FAF"/>
    <w:rsid w:val="3E5B1750"/>
    <w:rsid w:val="3FBB7A32"/>
    <w:rsid w:val="3FF460CC"/>
    <w:rsid w:val="40AA033E"/>
    <w:rsid w:val="417631C1"/>
    <w:rsid w:val="4341270B"/>
    <w:rsid w:val="43BF4FBA"/>
    <w:rsid w:val="450E456D"/>
    <w:rsid w:val="460E6858"/>
    <w:rsid w:val="47E52074"/>
    <w:rsid w:val="4C4370BE"/>
    <w:rsid w:val="4E0F5F6C"/>
    <w:rsid w:val="57764A7A"/>
    <w:rsid w:val="5BCE29F7"/>
    <w:rsid w:val="5D1B4C22"/>
    <w:rsid w:val="5EDB0B63"/>
    <w:rsid w:val="60BE32B1"/>
    <w:rsid w:val="639C121C"/>
    <w:rsid w:val="647F0D32"/>
    <w:rsid w:val="65832CCB"/>
    <w:rsid w:val="65BF0B5F"/>
    <w:rsid w:val="6A6A11E6"/>
    <w:rsid w:val="6B497C30"/>
    <w:rsid w:val="6CD9076A"/>
    <w:rsid w:val="6FCC7226"/>
    <w:rsid w:val="740003DD"/>
    <w:rsid w:val="78FD60A6"/>
    <w:rsid w:val="7A175A83"/>
    <w:rsid w:val="7A7D14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autoSpaceDE w:val="0"/>
      <w:autoSpaceDN w:val="0"/>
      <w:adjustRightInd w:val="0"/>
      <w:spacing w:before="240" w:after="120" w:line="300" w:lineRule="auto"/>
      <w:jc w:val="center"/>
      <w:outlineLvl w:val="0"/>
    </w:pPr>
    <w:rPr>
      <w:b/>
      <w:bCs/>
      <w:kern w:val="44"/>
      <w:sz w:val="28"/>
      <w:szCs w:val="44"/>
      <w:lang w:val="zh-CN"/>
    </w:rPr>
  </w:style>
  <w:style w:type="paragraph" w:styleId="3">
    <w:name w:val="heading 2"/>
    <w:basedOn w:val="1"/>
    <w:next w:val="4"/>
    <w:link w:val="56"/>
    <w:qFormat/>
    <w:uiPriority w:val="0"/>
    <w:pPr>
      <w:keepNext/>
      <w:keepLines/>
      <w:autoSpaceDE w:val="0"/>
      <w:autoSpaceDN w:val="0"/>
      <w:adjustRightInd w:val="0"/>
      <w:spacing w:before="120" w:line="300" w:lineRule="auto"/>
      <w:jc w:val="center"/>
      <w:outlineLvl w:val="1"/>
    </w:pPr>
    <w:rPr>
      <w:rFonts w:ascii="Cambria" w:hAnsi="Cambria"/>
      <w:b/>
      <w:bCs/>
      <w:sz w:val="32"/>
      <w:szCs w:val="32"/>
      <w:lang w:val="zh-CN"/>
    </w:rPr>
  </w:style>
  <w:style w:type="paragraph" w:styleId="5">
    <w:name w:val="heading 3"/>
    <w:basedOn w:val="1"/>
    <w:next w:val="4"/>
    <w:link w:val="72"/>
    <w:qFormat/>
    <w:uiPriority w:val="0"/>
    <w:pPr>
      <w:keepNext/>
      <w:keepLines/>
      <w:autoSpaceDE w:val="0"/>
      <w:autoSpaceDN w:val="0"/>
      <w:adjustRightInd w:val="0"/>
      <w:spacing w:before="360" w:after="120"/>
      <w:jc w:val="left"/>
      <w:outlineLvl w:val="2"/>
    </w:pPr>
    <w:rPr>
      <w:rFonts w:hint="eastAsia" w:ascii="宋体" w:hAnsi="宋体"/>
      <w:kern w:val="0"/>
      <w:sz w:val="20"/>
      <w:szCs w:val="20"/>
      <w:lang w:val="zh-CN"/>
    </w:rPr>
  </w:style>
  <w:style w:type="paragraph" w:styleId="6">
    <w:name w:val="heading 4"/>
    <w:basedOn w:val="1"/>
    <w:next w:val="1"/>
    <w:link w:val="65"/>
    <w:qFormat/>
    <w:uiPriority w:val="0"/>
    <w:pPr>
      <w:keepNext/>
      <w:keepLines/>
      <w:spacing w:before="280" w:after="290" w:line="372" w:lineRule="auto"/>
      <w:outlineLvl w:val="3"/>
    </w:pPr>
    <w:rPr>
      <w:rFonts w:ascii="Cambria" w:hAnsi="Cambria"/>
      <w:b/>
      <w:bCs/>
      <w:sz w:val="28"/>
      <w:szCs w:val="28"/>
      <w:lang w:val="zh-CN"/>
    </w:rPr>
  </w:style>
  <w:style w:type="character" w:default="1" w:styleId="45">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108"/>
    <w:qFormat/>
    <w:uiPriority w:val="0"/>
    <w:pPr>
      <w:autoSpaceDE w:val="0"/>
      <w:autoSpaceDN w:val="0"/>
      <w:adjustRightInd w:val="0"/>
      <w:ind w:firstLine="420"/>
      <w:jc w:val="left"/>
    </w:pPr>
    <w:rPr>
      <w:rFonts w:ascii="宋体"/>
      <w:kern w:val="0"/>
      <w:sz w:val="24"/>
      <w:szCs w:val="20"/>
      <w:lang w:val="zh-CN"/>
    </w:rPr>
  </w:style>
  <w:style w:type="paragraph" w:styleId="7">
    <w:name w:val="annotation subject"/>
    <w:basedOn w:val="8"/>
    <w:next w:val="8"/>
    <w:link w:val="73"/>
    <w:qFormat/>
    <w:uiPriority w:val="0"/>
    <w:rPr>
      <w:b/>
      <w:bCs/>
    </w:rPr>
  </w:style>
  <w:style w:type="paragraph" w:styleId="8">
    <w:name w:val="annotation text"/>
    <w:basedOn w:val="1"/>
    <w:link w:val="74"/>
    <w:qFormat/>
    <w:uiPriority w:val="99"/>
    <w:pPr>
      <w:jc w:val="left"/>
    </w:pPr>
    <w:rPr>
      <w:lang w:val="zh-CN"/>
    </w:rPr>
  </w:style>
  <w:style w:type="paragraph" w:styleId="9">
    <w:name w:val="toc 7"/>
    <w:basedOn w:val="1"/>
    <w:next w:val="1"/>
    <w:qFormat/>
    <w:uiPriority w:val="39"/>
    <w:pPr>
      <w:ind w:left="1260"/>
      <w:jc w:val="left"/>
    </w:pPr>
    <w:rPr>
      <w:sz w:val="20"/>
      <w:szCs w:val="20"/>
    </w:rPr>
  </w:style>
  <w:style w:type="paragraph" w:styleId="10">
    <w:name w:val="Body Text First Indent"/>
    <w:basedOn w:val="11"/>
    <w:qFormat/>
    <w:uiPriority w:val="0"/>
    <w:pPr>
      <w:tabs>
        <w:tab w:val="left" w:pos="567"/>
      </w:tabs>
      <w:spacing w:before="0" w:after="120" w:line="240" w:lineRule="auto"/>
      <w:ind w:firstLine="420" w:firstLineChars="100"/>
    </w:pPr>
    <w:rPr>
      <w:sz w:val="21"/>
    </w:rPr>
  </w:style>
  <w:style w:type="paragraph" w:styleId="11">
    <w:name w:val="Body Text"/>
    <w:basedOn w:val="1"/>
    <w:link w:val="70"/>
    <w:qFormat/>
    <w:uiPriority w:val="0"/>
    <w:pPr>
      <w:tabs>
        <w:tab w:val="left" w:pos="567"/>
      </w:tabs>
      <w:spacing w:before="120" w:line="22" w:lineRule="atLeast"/>
    </w:pPr>
    <w:rPr>
      <w:sz w:val="24"/>
      <w:lang w:val="zh-CN"/>
    </w:rPr>
  </w:style>
  <w:style w:type="paragraph" w:styleId="12">
    <w:name w:val="index 8"/>
    <w:basedOn w:val="1"/>
    <w:next w:val="1"/>
    <w:qFormat/>
    <w:uiPriority w:val="0"/>
    <w:pPr>
      <w:ind w:left="1400" w:leftChars="1400"/>
    </w:pPr>
  </w:style>
  <w:style w:type="paragraph" w:styleId="13">
    <w:name w:val="index 5"/>
    <w:basedOn w:val="1"/>
    <w:next w:val="1"/>
    <w:qFormat/>
    <w:uiPriority w:val="0"/>
    <w:pPr>
      <w:ind w:left="800" w:leftChars="800"/>
    </w:pPr>
  </w:style>
  <w:style w:type="paragraph" w:styleId="14">
    <w:name w:val="Document Map"/>
    <w:basedOn w:val="1"/>
    <w:link w:val="60"/>
    <w:qFormat/>
    <w:uiPriority w:val="0"/>
    <w:pPr>
      <w:shd w:val="clear" w:color="auto" w:fill="000080"/>
    </w:pPr>
    <w:rPr>
      <w:kern w:val="0"/>
      <w:sz w:val="16"/>
      <w:szCs w:val="16"/>
      <w:lang w:val="zh-CN"/>
    </w:rPr>
  </w:style>
  <w:style w:type="paragraph" w:styleId="15">
    <w:name w:val="index 6"/>
    <w:basedOn w:val="1"/>
    <w:next w:val="1"/>
    <w:qFormat/>
    <w:uiPriority w:val="0"/>
    <w:pPr>
      <w:ind w:left="1000" w:leftChars="1000"/>
    </w:pPr>
  </w:style>
  <w:style w:type="paragraph" w:styleId="16">
    <w:name w:val="Body Text 3"/>
    <w:basedOn w:val="1"/>
    <w:unhideWhenUsed/>
    <w:qFormat/>
    <w:uiPriority w:val="99"/>
    <w:rPr>
      <w:rFonts w:ascii="宋体"/>
      <w:sz w:val="24"/>
      <w:szCs w:val="20"/>
    </w:rPr>
  </w:style>
  <w:style w:type="paragraph" w:styleId="17">
    <w:name w:val="Body Text Indent"/>
    <w:basedOn w:val="1"/>
    <w:link w:val="64"/>
    <w:qFormat/>
    <w:uiPriority w:val="0"/>
    <w:pPr>
      <w:tabs>
        <w:tab w:val="left" w:pos="5580"/>
      </w:tabs>
      <w:spacing w:before="120" w:line="360" w:lineRule="auto"/>
      <w:ind w:firstLine="454"/>
    </w:pPr>
    <w:rPr>
      <w:sz w:val="24"/>
      <w:lang w:val="zh-CN"/>
    </w:rPr>
  </w:style>
  <w:style w:type="paragraph" w:styleId="18">
    <w:name w:val="index 4"/>
    <w:basedOn w:val="1"/>
    <w:next w:val="1"/>
    <w:qFormat/>
    <w:uiPriority w:val="0"/>
    <w:pPr>
      <w:ind w:left="600" w:leftChars="600"/>
    </w:pPr>
  </w:style>
  <w:style w:type="paragraph" w:styleId="19">
    <w:name w:val="toc 5"/>
    <w:basedOn w:val="1"/>
    <w:next w:val="1"/>
    <w:qFormat/>
    <w:uiPriority w:val="39"/>
    <w:pPr>
      <w:ind w:left="840"/>
      <w:jc w:val="left"/>
    </w:pPr>
    <w:rPr>
      <w:sz w:val="20"/>
      <w:szCs w:val="20"/>
    </w:rPr>
  </w:style>
  <w:style w:type="paragraph" w:styleId="20">
    <w:name w:val="toc 3"/>
    <w:basedOn w:val="1"/>
    <w:next w:val="1"/>
    <w:qFormat/>
    <w:uiPriority w:val="39"/>
    <w:pPr>
      <w:tabs>
        <w:tab w:val="right" w:leader="dot" w:pos="8998"/>
      </w:tabs>
      <w:ind w:left="420"/>
      <w:jc w:val="left"/>
    </w:pPr>
    <w:rPr>
      <w:sz w:val="20"/>
      <w:szCs w:val="20"/>
    </w:rPr>
  </w:style>
  <w:style w:type="paragraph" w:styleId="21">
    <w:name w:val="Plain Text"/>
    <w:basedOn w:val="1"/>
    <w:link w:val="66"/>
    <w:qFormat/>
    <w:uiPriority w:val="0"/>
    <w:rPr>
      <w:rFonts w:ascii="宋体" w:hAnsi="Courier New"/>
      <w:szCs w:val="21"/>
      <w:lang w:val="zh-CN"/>
    </w:rPr>
  </w:style>
  <w:style w:type="paragraph" w:styleId="22">
    <w:name w:val="toc 8"/>
    <w:basedOn w:val="1"/>
    <w:next w:val="1"/>
    <w:qFormat/>
    <w:uiPriority w:val="39"/>
    <w:pPr>
      <w:ind w:left="1470"/>
      <w:jc w:val="left"/>
    </w:pPr>
    <w:rPr>
      <w:sz w:val="20"/>
      <w:szCs w:val="20"/>
    </w:rPr>
  </w:style>
  <w:style w:type="paragraph" w:styleId="23">
    <w:name w:val="index 3"/>
    <w:basedOn w:val="1"/>
    <w:next w:val="1"/>
    <w:qFormat/>
    <w:uiPriority w:val="0"/>
    <w:pPr>
      <w:ind w:left="400" w:leftChars="400"/>
    </w:pPr>
  </w:style>
  <w:style w:type="paragraph" w:styleId="24">
    <w:name w:val="Date"/>
    <w:basedOn w:val="1"/>
    <w:next w:val="1"/>
    <w:link w:val="62"/>
    <w:qFormat/>
    <w:uiPriority w:val="0"/>
    <w:pPr>
      <w:ind w:left="100" w:leftChars="2500"/>
    </w:pPr>
    <w:rPr>
      <w:sz w:val="24"/>
      <w:lang w:val="zh-CN"/>
    </w:rPr>
  </w:style>
  <w:style w:type="paragraph" w:styleId="25">
    <w:name w:val="Body Text Indent 2"/>
    <w:basedOn w:val="1"/>
    <w:link w:val="81"/>
    <w:qFormat/>
    <w:uiPriority w:val="0"/>
    <w:pPr>
      <w:ind w:firstLine="480" w:firstLineChars="200"/>
    </w:pPr>
    <w:rPr>
      <w:sz w:val="24"/>
      <w:lang w:val="zh-CN"/>
    </w:rPr>
  </w:style>
  <w:style w:type="paragraph" w:styleId="26">
    <w:name w:val="Balloon Text"/>
    <w:basedOn w:val="1"/>
    <w:link w:val="58"/>
    <w:qFormat/>
    <w:uiPriority w:val="0"/>
    <w:rPr>
      <w:szCs w:val="20"/>
      <w:lang w:val="zh-CN"/>
    </w:rPr>
  </w:style>
  <w:style w:type="paragraph" w:styleId="27">
    <w:name w:val="footer"/>
    <w:basedOn w:val="1"/>
    <w:link w:val="67"/>
    <w:qFormat/>
    <w:uiPriority w:val="99"/>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28">
    <w:name w:val="header"/>
    <w:basedOn w:val="1"/>
    <w:link w:val="63"/>
    <w:qFormat/>
    <w:uiPriority w:val="0"/>
    <w:pPr>
      <w:pBdr>
        <w:bottom w:val="single" w:color="auto" w:sz="6" w:space="1"/>
      </w:pBdr>
      <w:tabs>
        <w:tab w:val="center" w:pos="4153"/>
        <w:tab w:val="right" w:pos="8306"/>
      </w:tabs>
      <w:snapToGrid w:val="0"/>
      <w:jc w:val="center"/>
    </w:pPr>
    <w:rPr>
      <w:sz w:val="18"/>
      <w:szCs w:val="18"/>
      <w:lang w:val="zh-CN"/>
    </w:rPr>
  </w:style>
  <w:style w:type="paragraph" w:styleId="29">
    <w:name w:val="Signature"/>
    <w:basedOn w:val="1"/>
    <w:link w:val="61"/>
    <w:qFormat/>
    <w:uiPriority w:val="0"/>
    <w:pPr>
      <w:adjustRightInd w:val="0"/>
      <w:spacing w:after="600" w:line="312" w:lineRule="atLeast"/>
      <w:jc w:val="center"/>
      <w:textAlignment w:val="baseline"/>
    </w:pPr>
    <w:rPr>
      <w:rFonts w:eastAsia="仿宋_GB2312"/>
      <w:kern w:val="0"/>
      <w:sz w:val="24"/>
      <w:szCs w:val="20"/>
      <w:lang w:val="zh-CN"/>
    </w:rPr>
  </w:style>
  <w:style w:type="paragraph" w:styleId="30">
    <w:name w:val="toc 1"/>
    <w:basedOn w:val="1"/>
    <w:next w:val="1"/>
    <w:qFormat/>
    <w:uiPriority w:val="39"/>
    <w:pPr>
      <w:tabs>
        <w:tab w:val="right" w:leader="dot" w:pos="9061"/>
      </w:tabs>
      <w:spacing w:before="120"/>
      <w:jc w:val="center"/>
    </w:pPr>
    <w:rPr>
      <w:b/>
      <w:bCs/>
      <w:iCs/>
      <w:sz w:val="24"/>
    </w:rPr>
  </w:style>
  <w:style w:type="paragraph" w:styleId="31">
    <w:name w:val="toc 4"/>
    <w:basedOn w:val="1"/>
    <w:next w:val="1"/>
    <w:qFormat/>
    <w:uiPriority w:val="39"/>
    <w:pPr>
      <w:ind w:left="630"/>
      <w:jc w:val="left"/>
    </w:pPr>
    <w:rPr>
      <w:sz w:val="20"/>
      <w:szCs w:val="20"/>
    </w:rPr>
  </w:style>
  <w:style w:type="paragraph" w:styleId="32">
    <w:name w:val="index heading"/>
    <w:basedOn w:val="1"/>
    <w:next w:val="33"/>
    <w:qFormat/>
    <w:uiPriority w:val="0"/>
  </w:style>
  <w:style w:type="paragraph" w:styleId="33">
    <w:name w:val="index 1"/>
    <w:basedOn w:val="1"/>
    <w:next w:val="1"/>
    <w:qFormat/>
    <w:uiPriority w:val="0"/>
    <w:rPr>
      <w:szCs w:val="20"/>
    </w:rPr>
  </w:style>
  <w:style w:type="paragraph" w:styleId="34">
    <w:name w:val="toc 6"/>
    <w:basedOn w:val="1"/>
    <w:next w:val="1"/>
    <w:qFormat/>
    <w:uiPriority w:val="39"/>
    <w:pPr>
      <w:ind w:left="1050"/>
      <w:jc w:val="left"/>
    </w:pPr>
    <w:rPr>
      <w:sz w:val="20"/>
      <w:szCs w:val="20"/>
    </w:rPr>
  </w:style>
  <w:style w:type="paragraph" w:styleId="35">
    <w:name w:val="Body Text Indent 3"/>
    <w:basedOn w:val="1"/>
    <w:link w:val="71"/>
    <w:qFormat/>
    <w:uiPriority w:val="0"/>
    <w:pPr>
      <w:autoSpaceDE w:val="0"/>
      <w:autoSpaceDN w:val="0"/>
      <w:adjustRightInd w:val="0"/>
      <w:spacing w:before="120" w:line="22" w:lineRule="atLeast"/>
      <w:ind w:left="720" w:firstLine="480"/>
      <w:jc w:val="left"/>
    </w:pPr>
    <w:rPr>
      <w:sz w:val="16"/>
      <w:szCs w:val="16"/>
      <w:lang w:val="zh-CN"/>
    </w:rPr>
  </w:style>
  <w:style w:type="paragraph" w:styleId="36">
    <w:name w:val="index 7"/>
    <w:basedOn w:val="1"/>
    <w:next w:val="1"/>
    <w:qFormat/>
    <w:uiPriority w:val="0"/>
    <w:pPr>
      <w:ind w:left="1200" w:leftChars="1200"/>
    </w:pPr>
  </w:style>
  <w:style w:type="paragraph" w:styleId="37">
    <w:name w:val="index 9"/>
    <w:basedOn w:val="1"/>
    <w:next w:val="1"/>
    <w:qFormat/>
    <w:uiPriority w:val="0"/>
    <w:pPr>
      <w:ind w:left="1600" w:leftChars="1600"/>
    </w:pPr>
  </w:style>
  <w:style w:type="paragraph" w:styleId="38">
    <w:name w:val="table of figures"/>
    <w:basedOn w:val="1"/>
    <w:next w:val="1"/>
    <w:qFormat/>
    <w:uiPriority w:val="0"/>
    <w:pPr>
      <w:ind w:left="840" w:leftChars="200" w:hanging="420" w:hangingChars="200"/>
    </w:pPr>
  </w:style>
  <w:style w:type="paragraph" w:styleId="39">
    <w:name w:val="toc 2"/>
    <w:basedOn w:val="1"/>
    <w:next w:val="1"/>
    <w:qFormat/>
    <w:uiPriority w:val="39"/>
    <w:pPr>
      <w:tabs>
        <w:tab w:val="right" w:leader="underscore" w:pos="9061"/>
      </w:tabs>
      <w:spacing w:before="120"/>
    </w:pPr>
    <w:rPr>
      <w:rFonts w:ascii="宋体" w:hAnsi="宋体"/>
      <w:bCs/>
      <w:i/>
      <w:color w:val="000000"/>
      <w:kern w:val="44"/>
      <w:sz w:val="24"/>
    </w:rPr>
  </w:style>
  <w:style w:type="paragraph" w:styleId="40">
    <w:name w:val="toc 9"/>
    <w:basedOn w:val="1"/>
    <w:next w:val="1"/>
    <w:qFormat/>
    <w:uiPriority w:val="39"/>
    <w:pPr>
      <w:ind w:left="1680"/>
      <w:jc w:val="left"/>
    </w:pPr>
    <w:rPr>
      <w:sz w:val="20"/>
      <w:szCs w:val="20"/>
    </w:rPr>
  </w:style>
  <w:style w:type="paragraph" w:styleId="41">
    <w:name w:val="Body Text 2"/>
    <w:basedOn w:val="1"/>
    <w:link w:val="55"/>
    <w:qFormat/>
    <w:uiPriority w:val="0"/>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42">
    <w:name w:val="Message Header"/>
    <w:basedOn w:val="1"/>
    <w:link w:val="8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lang w:val="zh-CN"/>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2"/>
    <w:basedOn w:val="1"/>
    <w:next w:val="1"/>
    <w:qFormat/>
    <w:uiPriority w:val="0"/>
    <w:pPr>
      <w:ind w:left="200" w:leftChars="200"/>
    </w:pPr>
  </w:style>
  <w:style w:type="character" w:styleId="46">
    <w:name w:val="Strong"/>
    <w:qFormat/>
    <w:uiPriority w:val="0"/>
    <w:rPr>
      <w:b/>
      <w:bCs/>
    </w:rPr>
  </w:style>
  <w:style w:type="character" w:styleId="47">
    <w:name w:val="page number"/>
    <w:qFormat/>
    <w:uiPriority w:val="0"/>
    <w:rPr>
      <w:rFonts w:cs="Times New Roman"/>
    </w:rPr>
  </w:style>
  <w:style w:type="character" w:styleId="48">
    <w:name w:val="Hyperlink"/>
    <w:qFormat/>
    <w:uiPriority w:val="99"/>
    <w:rPr>
      <w:rFonts w:cs="Times New Roman"/>
      <w:color w:val="0000FF"/>
      <w:u w:val="single"/>
    </w:rPr>
  </w:style>
  <w:style w:type="character" w:styleId="49">
    <w:name w:val="annotation reference"/>
    <w:qFormat/>
    <w:uiPriority w:val="99"/>
    <w:rPr>
      <w:rFonts w:cs="Times New Roman"/>
      <w:sz w:val="21"/>
      <w:szCs w:val="21"/>
    </w:rPr>
  </w:style>
  <w:style w:type="table" w:styleId="51">
    <w:name w:val="Table Grid"/>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2">
    <w:name w:val="medium_text1"/>
    <w:qFormat/>
    <w:uiPriority w:val="0"/>
    <w:rPr>
      <w:sz w:val="24"/>
      <w:szCs w:val="24"/>
    </w:rPr>
  </w:style>
  <w:style w:type="character" w:customStyle="1" w:styleId="53">
    <w:name w:val="apple-converted-space"/>
    <w:basedOn w:val="45"/>
    <w:qFormat/>
    <w:uiPriority w:val="0"/>
  </w:style>
  <w:style w:type="character" w:customStyle="1" w:styleId="54">
    <w:name w:val="页眉 Char Char"/>
    <w:qFormat/>
    <w:uiPriority w:val="0"/>
    <w:rPr>
      <w:rFonts w:cs="Times New Roman"/>
      <w:kern w:val="2"/>
      <w:sz w:val="18"/>
      <w:szCs w:val="18"/>
    </w:rPr>
  </w:style>
  <w:style w:type="character" w:customStyle="1" w:styleId="55">
    <w:name w:val="正文文本 2 Char"/>
    <w:link w:val="41"/>
    <w:qFormat/>
    <w:uiPriority w:val="0"/>
    <w:rPr>
      <w:rFonts w:ascii="宋体"/>
      <w:color w:val="000000"/>
      <w:sz w:val="28"/>
      <w:lang w:val="en-GB"/>
    </w:rPr>
  </w:style>
  <w:style w:type="character" w:customStyle="1" w:styleId="56">
    <w:name w:val="标题 2 Char"/>
    <w:link w:val="3"/>
    <w:qFormat/>
    <w:uiPriority w:val="0"/>
    <w:rPr>
      <w:rFonts w:ascii="Cambria" w:hAnsi="Cambria" w:eastAsia="宋体" w:cs="Times New Roman"/>
      <w:b/>
      <w:bCs/>
      <w:kern w:val="2"/>
      <w:sz w:val="32"/>
      <w:szCs w:val="32"/>
    </w:rPr>
  </w:style>
  <w:style w:type="character" w:customStyle="1" w:styleId="57">
    <w:name w:val="short_text1"/>
    <w:qFormat/>
    <w:uiPriority w:val="0"/>
    <w:rPr>
      <w:sz w:val="26"/>
      <w:szCs w:val="26"/>
    </w:rPr>
  </w:style>
  <w:style w:type="character" w:customStyle="1" w:styleId="58">
    <w:name w:val="批注框文本 Char"/>
    <w:link w:val="26"/>
    <w:qFormat/>
    <w:uiPriority w:val="0"/>
    <w:rPr>
      <w:kern w:val="2"/>
      <w:sz w:val="21"/>
      <w:lang w:val="zh-CN" w:eastAsia="zh-CN"/>
    </w:rPr>
  </w:style>
  <w:style w:type="character" w:customStyle="1" w:styleId="59">
    <w:name w:val="标题 1 Char"/>
    <w:link w:val="2"/>
    <w:qFormat/>
    <w:uiPriority w:val="0"/>
    <w:rPr>
      <w:rFonts w:ascii="Times New Roman" w:hAnsi="Times New Roman" w:eastAsia="宋体" w:cs="Times New Roman"/>
      <w:b/>
      <w:bCs/>
      <w:kern w:val="44"/>
      <w:sz w:val="28"/>
      <w:szCs w:val="44"/>
    </w:rPr>
  </w:style>
  <w:style w:type="character" w:customStyle="1" w:styleId="60">
    <w:name w:val="文档结构图 Char"/>
    <w:link w:val="14"/>
    <w:qFormat/>
    <w:uiPriority w:val="0"/>
    <w:rPr>
      <w:sz w:val="16"/>
      <w:szCs w:val="0"/>
    </w:rPr>
  </w:style>
  <w:style w:type="character" w:customStyle="1" w:styleId="61">
    <w:name w:val="签名 Char"/>
    <w:link w:val="29"/>
    <w:qFormat/>
    <w:uiPriority w:val="0"/>
    <w:rPr>
      <w:rFonts w:eastAsia="仿宋_GB2312"/>
      <w:sz w:val="24"/>
    </w:rPr>
  </w:style>
  <w:style w:type="character" w:customStyle="1" w:styleId="62">
    <w:name w:val="日期 Char"/>
    <w:link w:val="24"/>
    <w:qFormat/>
    <w:uiPriority w:val="0"/>
    <w:rPr>
      <w:rFonts w:cs="Times New Roman"/>
      <w:kern w:val="2"/>
      <w:sz w:val="24"/>
      <w:szCs w:val="24"/>
    </w:rPr>
  </w:style>
  <w:style w:type="character" w:customStyle="1" w:styleId="63">
    <w:name w:val="页眉 Char"/>
    <w:link w:val="28"/>
    <w:qFormat/>
    <w:uiPriority w:val="0"/>
    <w:rPr>
      <w:kern w:val="2"/>
      <w:sz w:val="18"/>
      <w:szCs w:val="18"/>
    </w:rPr>
  </w:style>
  <w:style w:type="character" w:customStyle="1" w:styleId="64">
    <w:name w:val="正文文本缩进 Char"/>
    <w:link w:val="17"/>
    <w:qFormat/>
    <w:uiPriority w:val="0"/>
    <w:rPr>
      <w:rFonts w:cs="Times New Roman"/>
      <w:kern w:val="2"/>
      <w:sz w:val="24"/>
      <w:szCs w:val="24"/>
    </w:rPr>
  </w:style>
  <w:style w:type="character" w:customStyle="1" w:styleId="65">
    <w:name w:val="标题 4 Char"/>
    <w:link w:val="6"/>
    <w:qFormat/>
    <w:uiPriority w:val="0"/>
    <w:rPr>
      <w:rFonts w:ascii="Cambria" w:hAnsi="Cambria"/>
      <w:b/>
      <w:bCs/>
      <w:kern w:val="2"/>
      <w:sz w:val="28"/>
      <w:szCs w:val="28"/>
    </w:rPr>
  </w:style>
  <w:style w:type="character" w:customStyle="1" w:styleId="66">
    <w:name w:val="纯文本 Char1"/>
    <w:link w:val="21"/>
    <w:qFormat/>
    <w:uiPriority w:val="0"/>
    <w:rPr>
      <w:rFonts w:ascii="宋体" w:hAnsi="Courier New" w:cs="Courier New"/>
      <w:kern w:val="2"/>
      <w:sz w:val="21"/>
      <w:szCs w:val="21"/>
    </w:rPr>
  </w:style>
  <w:style w:type="character" w:customStyle="1" w:styleId="67">
    <w:name w:val="页脚 Char"/>
    <w:link w:val="27"/>
    <w:qFormat/>
    <w:uiPriority w:val="99"/>
    <w:rPr>
      <w:rFonts w:ascii="宋体" w:cs="Times New Roman"/>
      <w:sz w:val="18"/>
    </w:rPr>
  </w:style>
  <w:style w:type="character" w:customStyle="1" w:styleId="68">
    <w:name w:val="普通文字1 Char Char"/>
    <w:qFormat/>
    <w:uiPriority w:val="0"/>
    <w:rPr>
      <w:rFonts w:ascii="宋体" w:hAnsi="Courier New" w:eastAsia="宋体"/>
      <w:kern w:val="2"/>
      <w:sz w:val="21"/>
      <w:lang w:val="en-US" w:eastAsia="zh-CN" w:bidi="ar-SA"/>
    </w:rPr>
  </w:style>
  <w:style w:type="character" w:customStyle="1" w:styleId="69">
    <w:name w:val="标题2 Char"/>
    <w:qFormat/>
    <w:uiPriority w:val="0"/>
    <w:rPr>
      <w:rFonts w:ascii="Arial" w:hAnsi="Arial" w:eastAsia="黑体" w:cs="Times New Roman"/>
      <w:b/>
      <w:kern w:val="0"/>
      <w:sz w:val="30"/>
      <w:szCs w:val="20"/>
    </w:rPr>
  </w:style>
  <w:style w:type="character" w:customStyle="1" w:styleId="70">
    <w:name w:val="正文文本 Char"/>
    <w:link w:val="11"/>
    <w:qFormat/>
    <w:uiPriority w:val="0"/>
    <w:rPr>
      <w:rFonts w:cs="Times New Roman"/>
      <w:kern w:val="2"/>
      <w:sz w:val="24"/>
      <w:szCs w:val="24"/>
    </w:rPr>
  </w:style>
  <w:style w:type="character" w:customStyle="1" w:styleId="71">
    <w:name w:val="正文文本缩进 3 Char"/>
    <w:link w:val="35"/>
    <w:qFormat/>
    <w:uiPriority w:val="0"/>
    <w:rPr>
      <w:rFonts w:cs="Times New Roman"/>
      <w:kern w:val="2"/>
      <w:sz w:val="16"/>
      <w:szCs w:val="16"/>
    </w:rPr>
  </w:style>
  <w:style w:type="character" w:customStyle="1" w:styleId="72">
    <w:name w:val="标题 3 Char"/>
    <w:link w:val="5"/>
    <w:qFormat/>
    <w:uiPriority w:val="0"/>
    <w:rPr>
      <w:rFonts w:hint="eastAsia" w:ascii="宋体" w:hAnsi="宋体" w:eastAsia="宋体" w:cs="Arial"/>
    </w:rPr>
  </w:style>
  <w:style w:type="character" w:customStyle="1" w:styleId="73">
    <w:name w:val="批注主题 Char"/>
    <w:link w:val="7"/>
    <w:qFormat/>
    <w:uiPriority w:val="0"/>
    <w:rPr>
      <w:rFonts w:cs="Times New Roman"/>
      <w:b/>
      <w:bCs/>
      <w:kern w:val="2"/>
      <w:sz w:val="21"/>
      <w:szCs w:val="24"/>
    </w:rPr>
  </w:style>
  <w:style w:type="character" w:customStyle="1" w:styleId="74">
    <w:name w:val="批注文字 Char"/>
    <w:link w:val="8"/>
    <w:qFormat/>
    <w:uiPriority w:val="99"/>
    <w:rPr>
      <w:kern w:val="2"/>
      <w:sz w:val="21"/>
      <w:szCs w:val="24"/>
      <w:lang w:val="zh-CN" w:eastAsia="zh-CN"/>
    </w:rPr>
  </w:style>
  <w:style w:type="character" w:customStyle="1" w:styleId="75">
    <w:name w:val="标准文本 Char Char"/>
    <w:link w:val="76"/>
    <w:qFormat/>
    <w:uiPriority w:val="0"/>
    <w:rPr>
      <w:rFonts w:eastAsia="宋体" w:cs="宋体"/>
      <w:kern w:val="2"/>
      <w:sz w:val="24"/>
      <w:lang w:val="en-US" w:eastAsia="zh-CN" w:bidi="ar-SA"/>
    </w:rPr>
  </w:style>
  <w:style w:type="paragraph" w:customStyle="1" w:styleId="76">
    <w:name w:val="标准文本"/>
    <w:basedOn w:val="1"/>
    <w:link w:val="75"/>
    <w:qFormat/>
    <w:uiPriority w:val="0"/>
    <w:pPr>
      <w:spacing w:line="360" w:lineRule="auto"/>
      <w:ind w:firstLine="480" w:firstLineChars="200"/>
    </w:pPr>
    <w:rPr>
      <w:rFonts w:cs="宋体"/>
      <w:sz w:val="24"/>
      <w:szCs w:val="20"/>
    </w:rPr>
  </w:style>
  <w:style w:type="character" w:customStyle="1" w:styleId="77">
    <w:name w:val="纯文本 Char"/>
    <w:qFormat/>
    <w:uiPriority w:val="0"/>
    <w:rPr>
      <w:rFonts w:ascii="宋体" w:hAnsi="Courier New" w:eastAsia="宋体" w:cs="Courier New"/>
      <w:sz w:val="21"/>
      <w:szCs w:val="21"/>
      <w:u w:color="000000"/>
      <w:lang w:bidi="ar-SA"/>
    </w:rPr>
  </w:style>
  <w:style w:type="character" w:customStyle="1" w:styleId="78">
    <w:name w:val="ca-2"/>
    <w:basedOn w:val="45"/>
    <w:qFormat/>
    <w:uiPriority w:val="0"/>
  </w:style>
  <w:style w:type="character" w:customStyle="1" w:styleId="79">
    <w:name w:val="H1 Char"/>
    <w:qFormat/>
    <w:uiPriority w:val="0"/>
    <w:rPr>
      <w:rFonts w:ascii="宋体" w:hAnsi="Times New Roman" w:eastAsia="宋体" w:cs="Times New Roman"/>
      <w:b/>
      <w:kern w:val="44"/>
      <w:sz w:val="32"/>
      <w:szCs w:val="20"/>
    </w:rPr>
  </w:style>
  <w:style w:type="character" w:customStyle="1" w:styleId="80">
    <w:name w:val="信息标题 Char"/>
    <w:link w:val="42"/>
    <w:qFormat/>
    <w:uiPriority w:val="0"/>
    <w:rPr>
      <w:rFonts w:ascii="Cambria" w:hAnsi="Cambria"/>
      <w:kern w:val="2"/>
      <w:sz w:val="24"/>
      <w:szCs w:val="24"/>
      <w:shd w:val="pct20" w:color="auto" w:fill="auto"/>
    </w:rPr>
  </w:style>
  <w:style w:type="character" w:customStyle="1" w:styleId="81">
    <w:name w:val="正文文本缩进 2 Char"/>
    <w:link w:val="25"/>
    <w:qFormat/>
    <w:uiPriority w:val="0"/>
    <w:rPr>
      <w:rFonts w:cs="Times New Roman"/>
      <w:kern w:val="2"/>
      <w:sz w:val="24"/>
      <w:szCs w:val="24"/>
    </w:rPr>
  </w:style>
  <w:style w:type="character" w:customStyle="1" w:styleId="82">
    <w:name w:val="apple-style-span"/>
    <w:qFormat/>
    <w:uiPriority w:val="0"/>
    <w:rPr>
      <w:rFonts w:cs="Times New Roman"/>
    </w:rPr>
  </w:style>
  <w:style w:type="paragraph" w:customStyle="1" w:styleId="83">
    <w:name w:val="Default"/>
    <w:qFormat/>
    <w:uiPriority w:val="0"/>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customStyle="1" w:styleId="84">
    <w:name w:val="Pa9"/>
    <w:basedOn w:val="83"/>
    <w:next w:val="83"/>
    <w:qFormat/>
    <w:uiPriority w:val="0"/>
    <w:pPr>
      <w:spacing w:before="120" w:line="161" w:lineRule="atLeast"/>
    </w:pPr>
    <w:rPr>
      <w:rFonts w:cs="Times New Roman"/>
      <w:color w:val="auto"/>
    </w:rPr>
  </w:style>
  <w:style w:type="paragraph" w:customStyle="1" w:styleId="85">
    <w:name w:val="正文 + 小四"/>
    <w:basedOn w:val="1"/>
    <w:qFormat/>
    <w:uiPriority w:val="0"/>
    <w:pPr>
      <w:spacing w:line="360" w:lineRule="auto"/>
      <w:ind w:firstLine="480" w:firstLineChars="200"/>
    </w:pPr>
    <w:rPr>
      <w:sz w:val="24"/>
    </w:rPr>
  </w:style>
  <w:style w:type="paragraph" w:customStyle="1" w:styleId="86">
    <w:name w:val="Normal no space after"/>
    <w:basedOn w:val="1"/>
    <w:qFormat/>
    <w:uiPriority w:val="0"/>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87">
    <w:name w:val="Char3 Char Char Char"/>
    <w:basedOn w:val="1"/>
    <w:qFormat/>
    <w:uiPriority w:val="0"/>
  </w:style>
  <w:style w:type="paragraph" w:customStyle="1" w:styleId="88">
    <w:name w:val="Char1 Char Char Char Char Char Char"/>
    <w:basedOn w:val="1"/>
    <w:qFormat/>
    <w:uiPriority w:val="0"/>
    <w:rPr>
      <w:rFonts w:ascii="Tahoma" w:hAnsi="Tahoma"/>
      <w:sz w:val="24"/>
      <w:szCs w:val="20"/>
    </w:rPr>
  </w:style>
  <w:style w:type="paragraph" w:customStyle="1" w:styleId="89">
    <w:name w:val="pa-8"/>
    <w:basedOn w:val="1"/>
    <w:qFormat/>
    <w:uiPriority w:val="0"/>
    <w:pPr>
      <w:widowControl/>
      <w:spacing w:before="150" w:after="150"/>
      <w:jc w:val="left"/>
    </w:pPr>
    <w:rPr>
      <w:rFonts w:ascii="宋体" w:hAnsi="宋体" w:cs="宋体"/>
      <w:kern w:val="0"/>
      <w:sz w:val="24"/>
    </w:rPr>
  </w:style>
  <w:style w:type="paragraph" w:customStyle="1" w:styleId="90">
    <w:name w:val="Pa10"/>
    <w:basedOn w:val="83"/>
    <w:next w:val="83"/>
    <w:qFormat/>
    <w:uiPriority w:val="0"/>
    <w:pPr>
      <w:spacing w:line="161" w:lineRule="atLeast"/>
    </w:pPr>
    <w:rPr>
      <w:rFonts w:cs="Times New Roman"/>
      <w:color w:val="auto"/>
    </w:rPr>
  </w:style>
  <w:style w:type="paragraph" w:customStyle="1" w:styleId="9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pa-6"/>
    <w:basedOn w:val="1"/>
    <w:qFormat/>
    <w:uiPriority w:val="0"/>
    <w:pPr>
      <w:widowControl/>
      <w:spacing w:before="150" w:after="150"/>
      <w:jc w:val="left"/>
    </w:pPr>
    <w:rPr>
      <w:rFonts w:ascii="宋体" w:hAnsi="宋体" w:cs="宋体"/>
      <w:kern w:val="0"/>
      <w:sz w:val="24"/>
    </w:rPr>
  </w:style>
  <w:style w:type="paragraph" w:customStyle="1" w:styleId="93">
    <w:name w:val="Char Char Char"/>
    <w:basedOn w:val="1"/>
    <w:qFormat/>
    <w:uiPriority w:val="0"/>
    <w:rPr>
      <w:rFonts w:ascii="Tahoma" w:hAnsi="Tahoma"/>
      <w:sz w:val="24"/>
      <w:szCs w:val="20"/>
    </w:rPr>
  </w:style>
  <w:style w:type="paragraph" w:customStyle="1" w:styleId="94">
    <w:name w:val="修订1"/>
    <w:qFormat/>
    <w:uiPriority w:val="0"/>
    <w:rPr>
      <w:rFonts w:ascii="Times New Roman" w:hAnsi="Times New Roman" w:eastAsia="宋体" w:cs="Times New Roman"/>
      <w:kern w:val="2"/>
      <w:sz w:val="21"/>
      <w:szCs w:val="24"/>
      <w:lang w:val="en-US" w:eastAsia="zh-CN" w:bidi="ar-SA"/>
    </w:rPr>
  </w:style>
  <w:style w:type="paragraph" w:customStyle="1" w:styleId="95">
    <w:name w:val="p0"/>
    <w:basedOn w:val="1"/>
    <w:qFormat/>
    <w:uiPriority w:val="0"/>
    <w:pPr>
      <w:widowControl/>
    </w:pPr>
    <w:rPr>
      <w:kern w:val="0"/>
      <w:szCs w:val="20"/>
    </w:rPr>
  </w:style>
  <w:style w:type="paragraph" w:customStyle="1" w:styleId="96">
    <w:name w:val="列出段落1"/>
    <w:basedOn w:val="1"/>
    <w:qFormat/>
    <w:uiPriority w:val="34"/>
    <w:pPr>
      <w:ind w:firstLine="420" w:firstLineChars="200"/>
    </w:pPr>
    <w:rPr>
      <w:rFonts w:ascii="Calibri" w:hAnsi="Calibri"/>
      <w:szCs w:val="22"/>
    </w:rPr>
  </w:style>
  <w:style w:type="paragraph" w:customStyle="1" w:styleId="97">
    <w:name w:val="Char Char Char1 Char Char Char Char"/>
    <w:basedOn w:val="1"/>
    <w:qFormat/>
    <w:uiPriority w:val="0"/>
    <w:rPr>
      <w:rFonts w:ascii="Tahoma" w:hAnsi="Tahoma"/>
      <w:sz w:val="24"/>
      <w:szCs w:val="20"/>
    </w:rPr>
  </w:style>
  <w:style w:type="paragraph" w:customStyle="1" w:styleId="98">
    <w:name w:val="正文2"/>
    <w:basedOn w:val="1"/>
    <w:qFormat/>
    <w:uiPriority w:val="0"/>
    <w:pPr>
      <w:spacing w:before="156" w:line="360" w:lineRule="auto"/>
      <w:ind w:firstLine="510" w:firstLineChars="200"/>
    </w:pPr>
    <w:rPr>
      <w:sz w:val="24"/>
      <w:szCs w:val="20"/>
    </w:rPr>
  </w:style>
  <w:style w:type="paragraph" w:customStyle="1" w:styleId="99">
    <w:name w:val="样式1"/>
    <w:basedOn w:val="2"/>
    <w:qFormat/>
    <w:uiPriority w:val="0"/>
    <w:pPr>
      <w:spacing w:line="360" w:lineRule="auto"/>
    </w:pPr>
    <w:rPr>
      <w:rFonts w:hAnsi="宋体"/>
      <w:sz w:val="24"/>
      <w:szCs w:val="24"/>
    </w:rPr>
  </w:style>
  <w:style w:type="paragraph" w:customStyle="1" w:styleId="100">
    <w:name w:val="文档正文"/>
    <w:basedOn w:val="1"/>
    <w:qFormat/>
    <w:uiPriority w:val="0"/>
    <w:pPr>
      <w:adjustRightInd w:val="0"/>
      <w:spacing w:line="480" w:lineRule="atLeast"/>
      <w:ind w:firstLine="567"/>
      <w:textAlignment w:val="baseline"/>
    </w:pPr>
    <w:rPr>
      <w:kern w:val="0"/>
      <w:sz w:val="24"/>
      <w:szCs w:val="20"/>
    </w:rPr>
  </w:style>
  <w:style w:type="paragraph" w:customStyle="1" w:styleId="101">
    <w:name w:val="Char1"/>
    <w:basedOn w:val="1"/>
    <w:qFormat/>
    <w:uiPriority w:val="0"/>
    <w:rPr>
      <w:rFonts w:ascii="Tahoma" w:hAnsi="Tahoma" w:cs="仿宋_GB2312"/>
      <w:sz w:val="24"/>
      <w:szCs w:val="28"/>
    </w:rPr>
  </w:style>
  <w:style w:type="paragraph" w:customStyle="1" w:styleId="102">
    <w:name w:val="Char2"/>
    <w:basedOn w:val="1"/>
    <w:qFormat/>
    <w:uiPriority w:val="0"/>
    <w:pPr>
      <w:spacing w:line="360" w:lineRule="auto"/>
      <w:ind w:firstLine="200" w:firstLineChars="200"/>
    </w:pPr>
    <w:rPr>
      <w:rFonts w:ascii="宋体" w:hAnsi="宋体" w:cs="宋体"/>
      <w:sz w:val="24"/>
    </w:rPr>
  </w:style>
  <w:style w:type="paragraph" w:customStyle="1" w:styleId="103">
    <w:name w:val="列出段落11"/>
    <w:basedOn w:val="1"/>
    <w:qFormat/>
    <w:uiPriority w:val="34"/>
    <w:pPr>
      <w:ind w:firstLine="420" w:firstLineChars="200"/>
    </w:pPr>
    <w:rPr>
      <w:rFonts w:ascii="Calibri" w:hAnsi="Calibri"/>
      <w:szCs w:val="22"/>
    </w:rPr>
  </w:style>
  <w:style w:type="paragraph" w:customStyle="1" w:styleId="1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05">
    <w:name w:val="段"/>
    <w:qFormat/>
    <w:uiPriority w:val="0"/>
    <w:pPr>
      <w:autoSpaceDE w:val="0"/>
      <w:autoSpaceDN w:val="0"/>
      <w:ind w:firstLine="200" w:firstLineChars="200"/>
      <w:jc w:val="both"/>
    </w:pPr>
    <w:rPr>
      <w:rFonts w:ascii="宋体" w:hAnsi="宋体" w:eastAsia="宋体" w:cs="Times New Roman"/>
      <w:sz w:val="21"/>
      <w:szCs w:val="28"/>
      <w:lang w:val="en-US" w:eastAsia="zh-CN" w:bidi="ar-SA"/>
    </w:rPr>
  </w:style>
  <w:style w:type="paragraph" w:customStyle="1" w:styleId="106">
    <w:name w:val="列出段落2"/>
    <w:basedOn w:val="1"/>
    <w:qFormat/>
    <w:uiPriority w:val="0"/>
    <w:pPr>
      <w:ind w:firstLine="420" w:firstLineChars="200"/>
    </w:pPr>
    <w:rPr>
      <w:szCs w:val="20"/>
    </w:rPr>
  </w:style>
  <w:style w:type="paragraph" w:customStyle="1" w:styleId="107">
    <w:name w:val="样式 标题 2 + 宋体 小四"/>
    <w:basedOn w:val="3"/>
    <w:qFormat/>
    <w:uiPriority w:val="99"/>
    <w:pPr>
      <w:autoSpaceDE/>
      <w:autoSpaceDN/>
      <w:adjustRightInd/>
      <w:spacing w:before="0" w:line="360" w:lineRule="auto"/>
      <w:jc w:val="both"/>
    </w:pPr>
    <w:rPr>
      <w:rFonts w:ascii="Times New Roman" w:hAnsi="Times New Roman"/>
      <w:sz w:val="28"/>
      <w:szCs w:val="28"/>
    </w:rPr>
  </w:style>
  <w:style w:type="character" w:customStyle="1" w:styleId="108">
    <w:name w:val="正文缩进 Char"/>
    <w:link w:val="4"/>
    <w:qFormat/>
    <w:uiPriority w:val="0"/>
    <w:rPr>
      <w:rFonts w:ascii="宋体"/>
      <w:sz w:val="24"/>
    </w:rPr>
  </w:style>
  <w:style w:type="paragraph" w:customStyle="1" w:styleId="109">
    <w:name w:val="Char21"/>
    <w:basedOn w:val="1"/>
    <w:qFormat/>
    <w:uiPriority w:val="0"/>
    <w:rPr>
      <w:rFonts w:ascii="Tahoma" w:hAnsi="Tahoma"/>
      <w:sz w:val="24"/>
      <w:szCs w:val="20"/>
    </w:rPr>
  </w:style>
  <w:style w:type="paragraph" w:customStyle="1" w:styleId="11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样式 首行缩进:  0.74 厘米"/>
    <w:basedOn w:val="1"/>
    <w:qFormat/>
    <w:uiPriority w:val="0"/>
    <w:pPr>
      <w:ind w:firstLine="420"/>
    </w:pPr>
    <w:rPr>
      <w:rFonts w:ascii="Arial" w:hAnsi="Arial" w:eastAsia="仿宋_GB2312" w:cs="Arial"/>
      <w:bCs/>
      <w:sz w:val="28"/>
      <w:szCs w:val="28"/>
    </w:rPr>
  </w:style>
  <w:style w:type="paragraph" w:customStyle="1" w:styleId="112">
    <w:name w:val="列出段落3"/>
    <w:basedOn w:val="1"/>
    <w:unhideWhenUsed/>
    <w:qFormat/>
    <w:uiPriority w:val="99"/>
    <w:pPr>
      <w:ind w:firstLine="420" w:firstLineChars="200"/>
    </w:pPr>
  </w:style>
  <w:style w:type="paragraph" w:customStyle="1" w:styleId="113">
    <w:name w:val="列出段落4"/>
    <w:basedOn w:val="1"/>
    <w:qFormat/>
    <w:uiPriority w:val="34"/>
    <w:pPr>
      <w:ind w:firstLine="420" w:firstLineChars="200"/>
    </w:pPr>
  </w:style>
  <w:style w:type="paragraph" w:customStyle="1" w:styleId="11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1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16">
    <w:name w:val="列出段落5"/>
    <w:basedOn w:val="1"/>
    <w:unhideWhenUsed/>
    <w:qFormat/>
    <w:uiPriority w:val="99"/>
    <w:pPr>
      <w:ind w:firstLine="420" w:firstLineChars="200"/>
    </w:pPr>
  </w:style>
  <w:style w:type="paragraph" w:customStyle="1" w:styleId="117">
    <w:name w:val="无间隔2"/>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8">
    <w:name w:val="列出段落6"/>
    <w:basedOn w:val="1"/>
    <w:link w:val="119"/>
    <w:unhideWhenUsed/>
    <w:qFormat/>
    <w:uiPriority w:val="99"/>
    <w:pPr>
      <w:ind w:firstLine="420" w:firstLineChars="200"/>
    </w:pPr>
  </w:style>
  <w:style w:type="character" w:customStyle="1" w:styleId="119">
    <w:name w:val="列出段落 Char"/>
    <w:link w:val="118"/>
    <w:qFormat/>
    <w:locked/>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757FC-C6A6-4DFC-B6C3-306BCE6254E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6921</Words>
  <Characters>39451</Characters>
  <Lines>328</Lines>
  <Paragraphs>92</Paragraphs>
  <ScaleCrop>false</ScaleCrop>
  <LinksUpToDate>false</LinksUpToDate>
  <CharactersWithSpaces>46280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2017-11-07T08:21:00Z</dcterms:created>
  <dc:creator>swallow</dc:creator>
  <cp:lastModifiedBy>zui丶唯一</cp:lastModifiedBy>
  <cp:lastPrinted>2015-09-17T02:13:00Z</cp:lastPrinted>
  <dcterms:modified xsi:type="dcterms:W3CDTF">2017-11-22T02:20:00Z</dcterms:modified>
  <dc:subject>范本</dc:subject>
  <dc:title>北京市政府采购</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