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1377B5">
      <w:pPr>
        <w:spacing w:line="276" w:lineRule="auto"/>
        <w:jc w:val="center"/>
        <w:rPr>
          <w:rFonts w:ascii="宋体" w:hAnsi="宋体" w:cs="宋体"/>
          <w:b/>
          <w:bCs/>
          <w:color w:val="auto"/>
          <w:sz w:val="72"/>
          <w:szCs w:val="60"/>
          <w:highlight w:val="none"/>
        </w:rPr>
      </w:pPr>
      <w:r>
        <w:rPr>
          <w:rFonts w:hint="eastAsia" w:ascii="宋体" w:hAnsi="宋体" w:cs="宋体"/>
          <w:b/>
          <w:bCs/>
          <w:color w:val="auto"/>
          <w:sz w:val="72"/>
          <w:szCs w:val="60"/>
          <w:highlight w:val="none"/>
        </w:rPr>
        <w:t>北京市政府采购项目</w:t>
      </w:r>
    </w:p>
    <w:p w14:paraId="7477BB76">
      <w:pPr>
        <w:spacing w:line="276" w:lineRule="auto"/>
        <w:jc w:val="center"/>
        <w:rPr>
          <w:rFonts w:ascii="宋体" w:hAnsi="宋体" w:cs="宋体"/>
          <w:b/>
          <w:bCs/>
          <w:color w:val="auto"/>
          <w:sz w:val="60"/>
          <w:szCs w:val="60"/>
          <w:highlight w:val="none"/>
        </w:rPr>
      </w:pPr>
      <w:r>
        <w:rPr>
          <w:rFonts w:hint="eastAsia" w:ascii="宋体" w:hAnsi="宋体" w:cs="宋体"/>
          <w:b/>
          <w:bCs/>
          <w:color w:val="auto"/>
          <w:sz w:val="72"/>
          <w:szCs w:val="60"/>
          <w:highlight w:val="none"/>
        </w:rPr>
        <w:t>公开招标文件</w:t>
      </w:r>
    </w:p>
    <w:p w14:paraId="086073DD">
      <w:pPr>
        <w:jc w:val="center"/>
        <w:rPr>
          <w:rFonts w:ascii="宋体" w:hAnsi="宋体"/>
          <w:b/>
          <w:color w:val="auto"/>
          <w:sz w:val="30"/>
          <w:szCs w:val="30"/>
          <w:highlight w:val="none"/>
        </w:rPr>
      </w:pPr>
    </w:p>
    <w:p w14:paraId="6ED7E73E">
      <w:pPr>
        <w:spacing w:line="360" w:lineRule="auto"/>
        <w:jc w:val="center"/>
        <w:rPr>
          <w:rFonts w:ascii="宋体" w:hAnsi="宋体" w:cs="宋体"/>
          <w:b/>
          <w:color w:val="auto"/>
          <w:sz w:val="30"/>
          <w:szCs w:val="30"/>
          <w:highlight w:val="none"/>
        </w:rPr>
      </w:pPr>
      <w:r>
        <w:rPr>
          <w:color w:val="auto"/>
          <w:highlight w:val="none"/>
        </w:rPr>
        <w:drawing>
          <wp:inline distT="0" distB="0" distL="114300" distR="114300">
            <wp:extent cx="4488180" cy="3368040"/>
            <wp:effectExtent l="0" t="0" r="762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3"/>
                    <a:stretch>
                      <a:fillRect/>
                    </a:stretch>
                  </pic:blipFill>
                  <pic:spPr>
                    <a:xfrm>
                      <a:off x="0" y="0"/>
                      <a:ext cx="4488180" cy="3368040"/>
                    </a:xfrm>
                    <a:prstGeom prst="rect">
                      <a:avLst/>
                    </a:prstGeom>
                    <a:noFill/>
                    <a:ln>
                      <a:noFill/>
                    </a:ln>
                  </pic:spPr>
                </pic:pic>
              </a:graphicData>
            </a:graphic>
          </wp:inline>
        </w:drawing>
      </w:r>
    </w:p>
    <w:p w14:paraId="4FA75824">
      <w:pPr>
        <w:pStyle w:val="56"/>
        <w:rPr>
          <w:rFonts w:ascii="宋体" w:hAnsi="宋体" w:cs="宋体"/>
          <w:b/>
          <w:color w:val="auto"/>
          <w:sz w:val="30"/>
          <w:szCs w:val="30"/>
          <w:highlight w:val="none"/>
        </w:rPr>
      </w:pPr>
    </w:p>
    <w:p w14:paraId="1161CF7B">
      <w:pPr>
        <w:pStyle w:val="56"/>
        <w:rPr>
          <w:rFonts w:ascii="宋体" w:hAnsi="宋体" w:cs="宋体"/>
          <w:b/>
          <w:color w:val="auto"/>
          <w:sz w:val="30"/>
          <w:szCs w:val="30"/>
          <w:highlight w:val="none"/>
        </w:rPr>
      </w:pPr>
    </w:p>
    <w:p w14:paraId="1BEC6D10">
      <w:pPr>
        <w:tabs>
          <w:tab w:val="left" w:pos="3240"/>
          <w:tab w:val="left" w:pos="3420"/>
        </w:tabs>
        <w:spacing w:line="360" w:lineRule="auto"/>
        <w:ind w:left="1807" w:hanging="1807" w:hangingChars="500"/>
        <w:jc w:val="left"/>
        <w:rPr>
          <w:rFonts w:hint="eastAsia" w:eastAsia="宋体"/>
          <w:color w:val="auto"/>
          <w:highlight w:val="none"/>
          <w:lang w:eastAsia="zh-CN"/>
        </w:rPr>
      </w:pPr>
      <w:r>
        <w:rPr>
          <w:rFonts w:ascii="宋体" w:hAnsi="宋体"/>
          <w:b/>
          <w:color w:val="auto"/>
          <w:sz w:val="36"/>
          <w:szCs w:val="36"/>
          <w:highlight w:val="none"/>
        </w:rPr>
        <w:t>项目名称：</w:t>
      </w:r>
      <w:r>
        <w:rPr>
          <w:rFonts w:hint="eastAsia" w:ascii="宋体" w:hAnsi="宋体"/>
          <w:b/>
          <w:color w:val="auto"/>
          <w:sz w:val="36"/>
          <w:szCs w:val="36"/>
          <w:highlight w:val="none"/>
          <w:lang w:eastAsia="zh-CN"/>
        </w:rPr>
        <w:t>农业全产业链数字管理平台项目</w:t>
      </w:r>
    </w:p>
    <w:p w14:paraId="329E0CBF">
      <w:pPr>
        <w:tabs>
          <w:tab w:val="left" w:pos="3240"/>
          <w:tab w:val="left" w:pos="3420"/>
        </w:tabs>
        <w:spacing w:line="360" w:lineRule="auto"/>
        <w:jc w:val="left"/>
        <w:rPr>
          <w:rFonts w:hint="eastAsia" w:ascii="宋体" w:hAnsi="宋体" w:eastAsia="宋体"/>
          <w:b/>
          <w:color w:val="auto"/>
          <w:sz w:val="36"/>
          <w:szCs w:val="36"/>
          <w:highlight w:val="none"/>
          <w:lang w:val="en-US" w:eastAsia="zh-CN"/>
        </w:rPr>
      </w:pPr>
      <w:r>
        <w:rPr>
          <w:rFonts w:hint="eastAsia" w:ascii="宋体" w:hAnsi="宋体"/>
          <w:b/>
          <w:color w:val="auto"/>
          <w:sz w:val="36"/>
          <w:szCs w:val="36"/>
          <w:highlight w:val="none"/>
        </w:rPr>
        <w:t>项目代理编号：</w:t>
      </w:r>
      <w:r>
        <w:rPr>
          <w:rFonts w:hint="eastAsia" w:ascii="宋体" w:hAnsi="宋体"/>
          <w:b/>
          <w:color w:val="auto"/>
          <w:sz w:val="36"/>
          <w:szCs w:val="36"/>
          <w:highlight w:val="none"/>
          <w:lang w:eastAsia="zh-CN"/>
        </w:rPr>
        <w:t>HYZB-2024-12-74</w:t>
      </w:r>
    </w:p>
    <w:p w14:paraId="1872A507">
      <w:pPr>
        <w:tabs>
          <w:tab w:val="left" w:pos="3240"/>
          <w:tab w:val="left" w:pos="3420"/>
        </w:tabs>
        <w:spacing w:line="360" w:lineRule="auto"/>
        <w:jc w:val="left"/>
        <w:rPr>
          <w:rFonts w:ascii="宋体" w:hAnsi="宋体"/>
          <w:b/>
          <w:color w:val="auto"/>
          <w:sz w:val="36"/>
          <w:szCs w:val="36"/>
          <w:highlight w:val="none"/>
        </w:rPr>
      </w:pPr>
      <w:r>
        <w:rPr>
          <w:rFonts w:ascii="宋体" w:hAnsi="宋体"/>
          <w:b/>
          <w:color w:val="auto"/>
          <w:sz w:val="36"/>
          <w:szCs w:val="36"/>
          <w:highlight w:val="none"/>
        </w:rPr>
        <w:t>采 购 人：北京市通州区于家务回族乡人民政府</w:t>
      </w:r>
    </w:p>
    <w:p w14:paraId="27B93AD4">
      <w:pPr>
        <w:spacing w:line="360" w:lineRule="auto"/>
        <w:rPr>
          <w:rFonts w:ascii="宋体" w:hAnsi="宋体" w:cs="宋体"/>
          <w:b/>
          <w:color w:val="auto"/>
          <w:sz w:val="44"/>
          <w:szCs w:val="44"/>
          <w:highlight w:val="none"/>
        </w:rPr>
      </w:pPr>
      <w:r>
        <w:rPr>
          <w:rFonts w:hint="eastAsia" w:ascii="宋体" w:hAnsi="宋体"/>
          <w:b/>
          <w:color w:val="auto"/>
          <w:sz w:val="36"/>
          <w:szCs w:val="36"/>
          <w:highlight w:val="none"/>
        </w:rPr>
        <w:t>采购</w:t>
      </w:r>
      <w:r>
        <w:rPr>
          <w:rFonts w:ascii="宋体" w:hAnsi="宋体"/>
          <w:b/>
          <w:color w:val="auto"/>
          <w:sz w:val="36"/>
          <w:szCs w:val="36"/>
          <w:highlight w:val="none"/>
        </w:rPr>
        <w:t>代理机构：</w:t>
      </w:r>
      <w:r>
        <w:rPr>
          <w:rFonts w:hint="eastAsia" w:ascii="宋体" w:hAnsi="宋体"/>
          <w:b/>
          <w:color w:val="auto"/>
          <w:sz w:val="36"/>
          <w:szCs w:val="36"/>
          <w:highlight w:val="none"/>
        </w:rPr>
        <w:t>北京环宇祥吉工程咨询有限公司</w:t>
      </w:r>
    </w:p>
    <w:p w14:paraId="3AFC84E4">
      <w:pPr>
        <w:pStyle w:val="5"/>
        <w:rPr>
          <w:rFonts w:hAnsi="宋体" w:cs="宋体"/>
          <w:color w:val="auto"/>
          <w:highlight w:val="none"/>
        </w:rPr>
        <w:sectPr>
          <w:headerReference r:id="rId3" w:type="first"/>
          <w:footerReference r:id="rId4" w:type="default"/>
          <w:type w:val="nextColumn"/>
          <w:pgSz w:w="11907" w:h="16840"/>
          <w:pgMar w:top="1418" w:right="1134" w:bottom="1418" w:left="1701" w:header="851" w:footer="851" w:gutter="0"/>
          <w:pgNumType w:start="0"/>
          <w:cols w:space="720" w:num="1"/>
          <w:titlePg/>
          <w:docGrid w:linePitch="462" w:charSpace="0"/>
        </w:sectPr>
      </w:pPr>
    </w:p>
    <w:p w14:paraId="50E20B3D">
      <w:pPr>
        <w:spacing w:line="360" w:lineRule="auto"/>
        <w:jc w:val="center"/>
        <w:rPr>
          <w:rFonts w:ascii="宋体" w:hAnsi="宋体" w:cs="宋体"/>
          <w:b/>
          <w:color w:val="auto"/>
          <w:sz w:val="44"/>
          <w:szCs w:val="44"/>
          <w:highlight w:val="none"/>
        </w:rPr>
      </w:pPr>
    </w:p>
    <w:p w14:paraId="4B975396">
      <w:pPr>
        <w:pStyle w:val="33"/>
        <w:spacing w:line="480" w:lineRule="auto"/>
        <w:jc w:val="center"/>
        <w:rPr>
          <w:rFonts w:cs="宋体"/>
          <w:b w:val="0"/>
          <w:color w:val="auto"/>
          <w:sz w:val="28"/>
          <w:szCs w:val="28"/>
          <w:highlight w:val="none"/>
        </w:rPr>
      </w:pPr>
      <w:bookmarkStart w:id="0" w:name="_Toc99301418"/>
      <w:r>
        <w:rPr>
          <w:rFonts w:hint="eastAsia" w:cs="宋体"/>
          <w:color w:val="auto"/>
          <w:sz w:val="36"/>
          <w:szCs w:val="36"/>
          <w:highlight w:val="none"/>
        </w:rPr>
        <w:t>目      录</w:t>
      </w:r>
      <w:bookmarkEnd w:id="0"/>
      <w:r>
        <w:rPr>
          <w:rFonts w:hint="eastAsia" w:cs="宋体"/>
          <w:color w:val="auto"/>
          <w:sz w:val="28"/>
          <w:szCs w:val="28"/>
          <w:highlight w:val="none"/>
        </w:rPr>
        <w:fldChar w:fldCharType="begin"/>
      </w:r>
      <w:r>
        <w:rPr>
          <w:rFonts w:hint="eastAsia" w:cs="宋体"/>
          <w:color w:val="auto"/>
          <w:sz w:val="28"/>
          <w:szCs w:val="28"/>
          <w:highlight w:val="none"/>
        </w:rPr>
        <w:instrText xml:space="preserve"> TOC \o "1-1" \h \z \u </w:instrText>
      </w:r>
      <w:r>
        <w:rPr>
          <w:rFonts w:hint="eastAsia" w:cs="宋体"/>
          <w:color w:val="auto"/>
          <w:sz w:val="28"/>
          <w:szCs w:val="28"/>
          <w:highlight w:val="none"/>
        </w:rPr>
        <w:fldChar w:fldCharType="separate"/>
      </w:r>
    </w:p>
    <w:p w14:paraId="257ED1EF">
      <w:pPr>
        <w:pStyle w:val="33"/>
        <w:tabs>
          <w:tab w:val="right" w:leader="dot" w:pos="9072"/>
          <w:tab w:val="clear" w:pos="1050"/>
          <w:tab w:val="clear" w:pos="8937"/>
        </w:tabs>
        <w:spacing w:line="480" w:lineRule="auto"/>
        <w:rPr>
          <w:rFonts w:cs="宋体"/>
          <w:color w:val="auto"/>
          <w:sz w:val="28"/>
          <w:szCs w:val="28"/>
          <w:highlight w:val="none"/>
        </w:rPr>
      </w:pPr>
      <w:r>
        <w:rPr>
          <w:color w:val="auto"/>
          <w:highlight w:val="none"/>
        </w:rPr>
        <w:fldChar w:fldCharType="begin"/>
      </w:r>
      <w:r>
        <w:rPr>
          <w:color w:val="auto"/>
          <w:highlight w:val="none"/>
        </w:rPr>
        <w:instrText xml:space="preserve"> HYPERLINK \l "_Toc31523" </w:instrText>
      </w:r>
      <w:r>
        <w:rPr>
          <w:color w:val="auto"/>
          <w:highlight w:val="none"/>
        </w:rPr>
        <w:fldChar w:fldCharType="separate"/>
      </w:r>
      <w:r>
        <w:rPr>
          <w:rFonts w:hint="eastAsia" w:cs="宋体"/>
          <w:color w:val="auto"/>
          <w:sz w:val="28"/>
          <w:szCs w:val="28"/>
          <w:highlight w:val="none"/>
        </w:rPr>
        <w:t>第一章   投标邀请</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_Toc31523 \h </w:instrText>
      </w:r>
      <w:r>
        <w:rPr>
          <w:rFonts w:hint="eastAsia" w:cs="宋体"/>
          <w:color w:val="auto"/>
          <w:sz w:val="28"/>
          <w:szCs w:val="28"/>
          <w:highlight w:val="none"/>
        </w:rPr>
        <w:fldChar w:fldCharType="separate"/>
      </w:r>
      <w:r>
        <w:rPr>
          <w:rFonts w:hint="eastAsia" w:cs="宋体"/>
          <w:color w:val="auto"/>
          <w:sz w:val="28"/>
          <w:szCs w:val="28"/>
          <w:highlight w:val="none"/>
        </w:rPr>
        <w:t>1</w:t>
      </w:r>
      <w:r>
        <w:rPr>
          <w:rFonts w:hint="eastAsia" w:cs="宋体"/>
          <w:color w:val="auto"/>
          <w:sz w:val="28"/>
          <w:szCs w:val="28"/>
          <w:highlight w:val="none"/>
        </w:rPr>
        <w:fldChar w:fldCharType="end"/>
      </w:r>
      <w:r>
        <w:rPr>
          <w:rFonts w:hint="eastAsia" w:cs="宋体"/>
          <w:color w:val="auto"/>
          <w:sz w:val="28"/>
          <w:szCs w:val="28"/>
          <w:highlight w:val="none"/>
        </w:rPr>
        <w:fldChar w:fldCharType="end"/>
      </w:r>
    </w:p>
    <w:p w14:paraId="7915F1CC">
      <w:pPr>
        <w:pStyle w:val="33"/>
        <w:tabs>
          <w:tab w:val="right" w:leader="dot" w:pos="9072"/>
          <w:tab w:val="clear" w:pos="1050"/>
          <w:tab w:val="clear" w:pos="8937"/>
        </w:tabs>
        <w:spacing w:line="480" w:lineRule="auto"/>
        <w:rPr>
          <w:rFonts w:cs="宋体"/>
          <w:color w:val="auto"/>
          <w:sz w:val="28"/>
          <w:szCs w:val="28"/>
          <w:highlight w:val="none"/>
        </w:rPr>
      </w:pPr>
      <w:r>
        <w:rPr>
          <w:color w:val="auto"/>
          <w:highlight w:val="none"/>
        </w:rPr>
        <w:fldChar w:fldCharType="begin"/>
      </w:r>
      <w:r>
        <w:rPr>
          <w:color w:val="auto"/>
          <w:highlight w:val="none"/>
        </w:rPr>
        <w:instrText xml:space="preserve"> HYPERLINK \l "_Toc32608" </w:instrText>
      </w:r>
      <w:r>
        <w:rPr>
          <w:color w:val="auto"/>
          <w:highlight w:val="none"/>
        </w:rPr>
        <w:fldChar w:fldCharType="separate"/>
      </w:r>
      <w:r>
        <w:rPr>
          <w:rFonts w:hint="eastAsia" w:cs="宋体"/>
          <w:color w:val="auto"/>
          <w:sz w:val="28"/>
          <w:szCs w:val="28"/>
          <w:highlight w:val="none"/>
        </w:rPr>
        <w:t>第二章   投标人须知</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_Toc32608 \h </w:instrText>
      </w:r>
      <w:r>
        <w:rPr>
          <w:rFonts w:hint="eastAsia" w:cs="宋体"/>
          <w:color w:val="auto"/>
          <w:sz w:val="28"/>
          <w:szCs w:val="28"/>
          <w:highlight w:val="none"/>
        </w:rPr>
        <w:fldChar w:fldCharType="separate"/>
      </w:r>
      <w:r>
        <w:rPr>
          <w:rFonts w:hint="eastAsia" w:cs="宋体"/>
          <w:color w:val="auto"/>
          <w:sz w:val="28"/>
          <w:szCs w:val="28"/>
          <w:highlight w:val="none"/>
        </w:rPr>
        <w:t>5</w:t>
      </w:r>
      <w:r>
        <w:rPr>
          <w:rFonts w:hint="eastAsia" w:cs="宋体"/>
          <w:color w:val="auto"/>
          <w:sz w:val="28"/>
          <w:szCs w:val="28"/>
          <w:highlight w:val="none"/>
        </w:rPr>
        <w:fldChar w:fldCharType="end"/>
      </w:r>
      <w:r>
        <w:rPr>
          <w:rFonts w:hint="eastAsia" w:cs="宋体"/>
          <w:color w:val="auto"/>
          <w:sz w:val="28"/>
          <w:szCs w:val="28"/>
          <w:highlight w:val="none"/>
        </w:rPr>
        <w:fldChar w:fldCharType="end"/>
      </w:r>
    </w:p>
    <w:p w14:paraId="46A3E7AF">
      <w:pPr>
        <w:pStyle w:val="33"/>
        <w:tabs>
          <w:tab w:val="right" w:leader="dot" w:pos="9072"/>
          <w:tab w:val="clear" w:pos="1050"/>
          <w:tab w:val="clear" w:pos="8937"/>
        </w:tabs>
        <w:spacing w:line="480" w:lineRule="auto"/>
        <w:rPr>
          <w:rFonts w:cs="宋体"/>
          <w:color w:val="auto"/>
          <w:sz w:val="28"/>
          <w:szCs w:val="28"/>
          <w:highlight w:val="none"/>
        </w:rPr>
      </w:pPr>
      <w:r>
        <w:rPr>
          <w:color w:val="auto"/>
          <w:highlight w:val="none"/>
        </w:rPr>
        <w:fldChar w:fldCharType="begin"/>
      </w:r>
      <w:r>
        <w:rPr>
          <w:color w:val="auto"/>
          <w:highlight w:val="none"/>
        </w:rPr>
        <w:instrText xml:space="preserve"> HYPERLINK \l "_Toc12817" </w:instrText>
      </w:r>
      <w:r>
        <w:rPr>
          <w:color w:val="auto"/>
          <w:highlight w:val="none"/>
        </w:rPr>
        <w:fldChar w:fldCharType="separate"/>
      </w:r>
      <w:r>
        <w:rPr>
          <w:rFonts w:hint="eastAsia" w:cs="宋体"/>
          <w:color w:val="auto"/>
          <w:sz w:val="28"/>
          <w:szCs w:val="28"/>
          <w:highlight w:val="none"/>
        </w:rPr>
        <w:t>第三章   资格审查</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_Toc12817 \h </w:instrText>
      </w:r>
      <w:r>
        <w:rPr>
          <w:rFonts w:hint="eastAsia" w:cs="宋体"/>
          <w:color w:val="auto"/>
          <w:sz w:val="28"/>
          <w:szCs w:val="28"/>
          <w:highlight w:val="none"/>
        </w:rPr>
        <w:fldChar w:fldCharType="separate"/>
      </w:r>
      <w:r>
        <w:rPr>
          <w:rFonts w:hint="eastAsia" w:cs="宋体"/>
          <w:color w:val="auto"/>
          <w:sz w:val="28"/>
          <w:szCs w:val="28"/>
          <w:highlight w:val="none"/>
        </w:rPr>
        <w:t>21</w:t>
      </w:r>
      <w:r>
        <w:rPr>
          <w:rFonts w:hint="eastAsia" w:cs="宋体"/>
          <w:color w:val="auto"/>
          <w:sz w:val="28"/>
          <w:szCs w:val="28"/>
          <w:highlight w:val="none"/>
        </w:rPr>
        <w:fldChar w:fldCharType="end"/>
      </w:r>
      <w:r>
        <w:rPr>
          <w:rFonts w:hint="eastAsia" w:cs="宋体"/>
          <w:color w:val="auto"/>
          <w:sz w:val="28"/>
          <w:szCs w:val="28"/>
          <w:highlight w:val="none"/>
        </w:rPr>
        <w:fldChar w:fldCharType="end"/>
      </w:r>
    </w:p>
    <w:p w14:paraId="09934C5B">
      <w:pPr>
        <w:pStyle w:val="33"/>
        <w:tabs>
          <w:tab w:val="right" w:leader="dot" w:pos="9072"/>
          <w:tab w:val="clear" w:pos="1050"/>
          <w:tab w:val="clear" w:pos="8937"/>
        </w:tabs>
        <w:spacing w:line="480" w:lineRule="auto"/>
        <w:rPr>
          <w:rFonts w:cs="宋体"/>
          <w:color w:val="auto"/>
          <w:sz w:val="28"/>
          <w:szCs w:val="28"/>
          <w:highlight w:val="none"/>
        </w:rPr>
      </w:pPr>
      <w:r>
        <w:rPr>
          <w:color w:val="auto"/>
          <w:highlight w:val="none"/>
        </w:rPr>
        <w:fldChar w:fldCharType="begin"/>
      </w:r>
      <w:r>
        <w:rPr>
          <w:color w:val="auto"/>
          <w:highlight w:val="none"/>
        </w:rPr>
        <w:instrText xml:space="preserve"> HYPERLINK \l "_Toc14321" </w:instrText>
      </w:r>
      <w:r>
        <w:rPr>
          <w:color w:val="auto"/>
          <w:highlight w:val="none"/>
        </w:rPr>
        <w:fldChar w:fldCharType="separate"/>
      </w:r>
      <w:r>
        <w:rPr>
          <w:rFonts w:hint="eastAsia" w:cs="宋体"/>
          <w:color w:val="auto"/>
          <w:sz w:val="28"/>
          <w:szCs w:val="28"/>
          <w:highlight w:val="none"/>
        </w:rPr>
        <w:t>第四章   评标程序、评标方法和评标标准</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_Toc14321 \h </w:instrText>
      </w:r>
      <w:r>
        <w:rPr>
          <w:rFonts w:hint="eastAsia" w:cs="宋体"/>
          <w:color w:val="auto"/>
          <w:sz w:val="28"/>
          <w:szCs w:val="28"/>
          <w:highlight w:val="none"/>
        </w:rPr>
        <w:fldChar w:fldCharType="separate"/>
      </w:r>
      <w:r>
        <w:rPr>
          <w:rFonts w:hint="eastAsia" w:cs="宋体"/>
          <w:color w:val="auto"/>
          <w:sz w:val="28"/>
          <w:szCs w:val="28"/>
          <w:highlight w:val="none"/>
        </w:rPr>
        <w:t>24</w:t>
      </w:r>
      <w:r>
        <w:rPr>
          <w:rFonts w:hint="eastAsia" w:cs="宋体"/>
          <w:color w:val="auto"/>
          <w:sz w:val="28"/>
          <w:szCs w:val="28"/>
          <w:highlight w:val="none"/>
        </w:rPr>
        <w:fldChar w:fldCharType="end"/>
      </w:r>
      <w:r>
        <w:rPr>
          <w:rFonts w:hint="eastAsia" w:cs="宋体"/>
          <w:color w:val="auto"/>
          <w:sz w:val="28"/>
          <w:szCs w:val="28"/>
          <w:highlight w:val="none"/>
        </w:rPr>
        <w:fldChar w:fldCharType="end"/>
      </w:r>
    </w:p>
    <w:p w14:paraId="08EC1772">
      <w:pPr>
        <w:pStyle w:val="33"/>
        <w:tabs>
          <w:tab w:val="right" w:leader="dot" w:pos="9072"/>
          <w:tab w:val="clear" w:pos="1050"/>
          <w:tab w:val="clear" w:pos="8937"/>
        </w:tabs>
        <w:spacing w:line="480" w:lineRule="auto"/>
        <w:rPr>
          <w:rFonts w:cs="宋体"/>
          <w:color w:val="auto"/>
          <w:sz w:val="28"/>
          <w:szCs w:val="28"/>
          <w:highlight w:val="none"/>
        </w:rPr>
      </w:pPr>
      <w:r>
        <w:rPr>
          <w:color w:val="auto"/>
          <w:highlight w:val="none"/>
        </w:rPr>
        <w:fldChar w:fldCharType="begin"/>
      </w:r>
      <w:r>
        <w:rPr>
          <w:color w:val="auto"/>
          <w:highlight w:val="none"/>
        </w:rPr>
        <w:instrText xml:space="preserve"> HYPERLINK \l "_Toc30693" </w:instrText>
      </w:r>
      <w:r>
        <w:rPr>
          <w:color w:val="auto"/>
          <w:highlight w:val="none"/>
        </w:rPr>
        <w:fldChar w:fldCharType="separate"/>
      </w:r>
      <w:r>
        <w:rPr>
          <w:rFonts w:hint="eastAsia" w:cs="宋体"/>
          <w:color w:val="auto"/>
          <w:sz w:val="28"/>
          <w:szCs w:val="28"/>
          <w:highlight w:val="none"/>
        </w:rPr>
        <w:t>第五章   采购需求</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_Toc30693 \h </w:instrText>
      </w:r>
      <w:r>
        <w:rPr>
          <w:rFonts w:hint="eastAsia" w:cs="宋体"/>
          <w:color w:val="auto"/>
          <w:sz w:val="28"/>
          <w:szCs w:val="28"/>
          <w:highlight w:val="none"/>
        </w:rPr>
        <w:fldChar w:fldCharType="separate"/>
      </w:r>
      <w:r>
        <w:rPr>
          <w:rFonts w:hint="eastAsia" w:cs="宋体"/>
          <w:color w:val="auto"/>
          <w:sz w:val="28"/>
          <w:szCs w:val="28"/>
          <w:highlight w:val="none"/>
        </w:rPr>
        <w:t>33</w:t>
      </w:r>
      <w:r>
        <w:rPr>
          <w:rFonts w:hint="eastAsia" w:cs="宋体"/>
          <w:color w:val="auto"/>
          <w:sz w:val="28"/>
          <w:szCs w:val="28"/>
          <w:highlight w:val="none"/>
        </w:rPr>
        <w:fldChar w:fldCharType="end"/>
      </w:r>
      <w:r>
        <w:rPr>
          <w:rFonts w:hint="eastAsia" w:cs="宋体"/>
          <w:color w:val="auto"/>
          <w:sz w:val="28"/>
          <w:szCs w:val="28"/>
          <w:highlight w:val="none"/>
        </w:rPr>
        <w:fldChar w:fldCharType="end"/>
      </w:r>
    </w:p>
    <w:p w14:paraId="5471AB31">
      <w:pPr>
        <w:pStyle w:val="33"/>
        <w:tabs>
          <w:tab w:val="right" w:leader="dot" w:pos="9072"/>
          <w:tab w:val="clear" w:pos="1050"/>
          <w:tab w:val="clear" w:pos="8937"/>
        </w:tabs>
        <w:spacing w:line="480" w:lineRule="auto"/>
        <w:rPr>
          <w:rFonts w:cs="宋体"/>
          <w:color w:val="auto"/>
          <w:sz w:val="28"/>
          <w:szCs w:val="28"/>
          <w:highlight w:val="none"/>
        </w:rPr>
      </w:pPr>
      <w:r>
        <w:rPr>
          <w:color w:val="auto"/>
          <w:highlight w:val="none"/>
        </w:rPr>
        <w:fldChar w:fldCharType="begin"/>
      </w:r>
      <w:r>
        <w:rPr>
          <w:color w:val="auto"/>
          <w:highlight w:val="none"/>
        </w:rPr>
        <w:instrText xml:space="preserve"> HYPERLINK \l "_Toc256" </w:instrText>
      </w:r>
      <w:r>
        <w:rPr>
          <w:color w:val="auto"/>
          <w:highlight w:val="none"/>
        </w:rPr>
        <w:fldChar w:fldCharType="separate"/>
      </w:r>
      <w:r>
        <w:rPr>
          <w:rFonts w:hint="eastAsia" w:cs="宋体"/>
          <w:color w:val="auto"/>
          <w:sz w:val="28"/>
          <w:szCs w:val="28"/>
          <w:highlight w:val="none"/>
        </w:rPr>
        <w:t>第六章   拟签订的合同文本</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_Toc256 \h </w:instrText>
      </w:r>
      <w:r>
        <w:rPr>
          <w:rFonts w:hint="eastAsia" w:cs="宋体"/>
          <w:color w:val="auto"/>
          <w:sz w:val="28"/>
          <w:szCs w:val="28"/>
          <w:highlight w:val="none"/>
        </w:rPr>
        <w:fldChar w:fldCharType="separate"/>
      </w:r>
      <w:r>
        <w:rPr>
          <w:rFonts w:hint="eastAsia" w:cs="宋体"/>
          <w:color w:val="auto"/>
          <w:sz w:val="28"/>
          <w:szCs w:val="28"/>
          <w:highlight w:val="none"/>
        </w:rPr>
        <w:t>58</w:t>
      </w:r>
      <w:r>
        <w:rPr>
          <w:rFonts w:hint="eastAsia" w:cs="宋体"/>
          <w:color w:val="auto"/>
          <w:sz w:val="28"/>
          <w:szCs w:val="28"/>
          <w:highlight w:val="none"/>
        </w:rPr>
        <w:fldChar w:fldCharType="end"/>
      </w:r>
      <w:r>
        <w:rPr>
          <w:rFonts w:hint="eastAsia" w:cs="宋体"/>
          <w:color w:val="auto"/>
          <w:sz w:val="28"/>
          <w:szCs w:val="28"/>
          <w:highlight w:val="none"/>
        </w:rPr>
        <w:fldChar w:fldCharType="end"/>
      </w:r>
    </w:p>
    <w:p w14:paraId="14121EB2">
      <w:pPr>
        <w:pStyle w:val="33"/>
        <w:tabs>
          <w:tab w:val="right" w:leader="dot" w:pos="9072"/>
          <w:tab w:val="clear" w:pos="1050"/>
          <w:tab w:val="clear" w:pos="8937"/>
        </w:tabs>
        <w:spacing w:line="480" w:lineRule="auto"/>
        <w:rPr>
          <w:rFonts w:cs="宋体"/>
          <w:color w:val="auto"/>
          <w:sz w:val="28"/>
          <w:szCs w:val="28"/>
          <w:highlight w:val="none"/>
        </w:rPr>
      </w:pPr>
      <w:r>
        <w:rPr>
          <w:color w:val="auto"/>
          <w:highlight w:val="none"/>
        </w:rPr>
        <w:fldChar w:fldCharType="begin"/>
      </w:r>
      <w:r>
        <w:rPr>
          <w:color w:val="auto"/>
          <w:highlight w:val="none"/>
        </w:rPr>
        <w:instrText xml:space="preserve"> HYPERLINK \l "_Toc4544" </w:instrText>
      </w:r>
      <w:r>
        <w:rPr>
          <w:color w:val="auto"/>
          <w:highlight w:val="none"/>
        </w:rPr>
        <w:fldChar w:fldCharType="separate"/>
      </w:r>
      <w:r>
        <w:rPr>
          <w:rFonts w:hint="eastAsia" w:cs="宋体"/>
          <w:color w:val="auto"/>
          <w:sz w:val="28"/>
          <w:szCs w:val="28"/>
          <w:highlight w:val="none"/>
        </w:rPr>
        <w:t>第七章   投标文件格式</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_Toc4544 \h </w:instrText>
      </w:r>
      <w:r>
        <w:rPr>
          <w:rFonts w:hint="eastAsia" w:cs="宋体"/>
          <w:color w:val="auto"/>
          <w:sz w:val="28"/>
          <w:szCs w:val="28"/>
          <w:highlight w:val="none"/>
        </w:rPr>
        <w:fldChar w:fldCharType="separate"/>
      </w:r>
      <w:r>
        <w:rPr>
          <w:rFonts w:hint="eastAsia" w:cs="宋体"/>
          <w:color w:val="auto"/>
          <w:sz w:val="28"/>
          <w:szCs w:val="28"/>
          <w:highlight w:val="none"/>
        </w:rPr>
        <w:t>65</w:t>
      </w:r>
      <w:r>
        <w:rPr>
          <w:rFonts w:hint="eastAsia" w:cs="宋体"/>
          <w:color w:val="auto"/>
          <w:sz w:val="28"/>
          <w:szCs w:val="28"/>
          <w:highlight w:val="none"/>
        </w:rPr>
        <w:fldChar w:fldCharType="end"/>
      </w:r>
      <w:r>
        <w:rPr>
          <w:rFonts w:hint="eastAsia" w:cs="宋体"/>
          <w:color w:val="auto"/>
          <w:sz w:val="28"/>
          <w:szCs w:val="28"/>
          <w:highlight w:val="none"/>
        </w:rPr>
        <w:fldChar w:fldCharType="end"/>
      </w:r>
    </w:p>
    <w:p w14:paraId="1ECB0A6D">
      <w:pPr>
        <w:tabs>
          <w:tab w:val="left" w:pos="1050"/>
          <w:tab w:val="right" w:leader="dot" w:pos="8937"/>
        </w:tabs>
        <w:spacing w:line="480" w:lineRule="auto"/>
        <w:jc w:val="center"/>
        <w:outlineLvl w:val="0"/>
        <w:rPr>
          <w:rFonts w:ascii="宋体" w:hAnsi="宋体" w:cs="宋体"/>
          <w:color w:val="auto"/>
          <w:sz w:val="28"/>
          <w:szCs w:val="28"/>
          <w:highlight w:val="none"/>
        </w:rPr>
      </w:pPr>
      <w:r>
        <w:rPr>
          <w:rFonts w:hint="eastAsia" w:ascii="宋体" w:hAnsi="宋体" w:cs="宋体"/>
          <w:color w:val="auto"/>
          <w:sz w:val="28"/>
          <w:szCs w:val="28"/>
          <w:highlight w:val="none"/>
        </w:rPr>
        <w:fldChar w:fldCharType="end"/>
      </w:r>
    </w:p>
    <w:p w14:paraId="084F11CB">
      <w:pPr>
        <w:rPr>
          <w:rFonts w:ascii="宋体" w:hAnsi="宋体" w:cs="宋体"/>
          <w:color w:val="auto"/>
          <w:sz w:val="28"/>
          <w:szCs w:val="28"/>
          <w:highlight w:val="none"/>
        </w:rPr>
      </w:pPr>
      <w:r>
        <w:rPr>
          <w:rFonts w:hint="eastAsia" w:ascii="宋体" w:hAnsi="宋体" w:cs="宋体"/>
          <w:color w:val="auto"/>
          <w:sz w:val="28"/>
          <w:szCs w:val="28"/>
          <w:highlight w:val="none"/>
        </w:rPr>
        <w:br w:type="page"/>
      </w:r>
    </w:p>
    <w:p w14:paraId="24DCC897">
      <w:pPr>
        <w:spacing w:before="240" w:beforeLines="100" w:line="360" w:lineRule="auto"/>
        <w:jc w:val="center"/>
        <w:outlineLvl w:val="0"/>
        <w:rPr>
          <w:rFonts w:ascii="宋体" w:hAnsi="宋体" w:cs="宋体"/>
          <w:b/>
          <w:color w:val="auto"/>
          <w:sz w:val="36"/>
          <w:szCs w:val="36"/>
          <w:highlight w:val="none"/>
        </w:rPr>
      </w:pPr>
      <w:bookmarkStart w:id="1" w:name="_Toc31523"/>
      <w:r>
        <w:rPr>
          <w:rFonts w:hint="eastAsia" w:ascii="宋体" w:hAnsi="宋体" w:cs="宋体"/>
          <w:b/>
          <w:color w:val="auto"/>
          <w:sz w:val="36"/>
          <w:szCs w:val="36"/>
          <w:highlight w:val="none"/>
        </w:rPr>
        <w:t>第一章   投标邀请</w:t>
      </w:r>
      <w:bookmarkEnd w:id="1"/>
    </w:p>
    <w:p w14:paraId="6FA237C4">
      <w:pPr>
        <w:pStyle w:val="3"/>
        <w:spacing w:before="0" w:line="360" w:lineRule="auto"/>
        <w:jc w:val="left"/>
        <w:rPr>
          <w:rFonts w:ascii="宋体" w:hAnsi="宋体" w:eastAsia="宋体" w:cs="宋体"/>
          <w:b w:val="0"/>
          <w:color w:val="auto"/>
          <w:kern w:val="2"/>
          <w:sz w:val="24"/>
          <w:szCs w:val="24"/>
          <w:highlight w:val="none"/>
        </w:rPr>
      </w:pPr>
      <w:bookmarkStart w:id="2" w:name="_Toc28359079"/>
      <w:bookmarkStart w:id="3" w:name="_Toc35393621"/>
      <w:bookmarkStart w:id="4" w:name="_Toc28359002"/>
      <w:bookmarkStart w:id="5" w:name="_Toc35393790"/>
      <w:bookmarkStart w:id="6" w:name="_Hlk24379207"/>
      <w:r>
        <w:rPr>
          <w:rFonts w:hint="eastAsia" w:ascii="宋体" w:hAnsi="宋体" w:eastAsia="宋体" w:cs="宋体"/>
          <w:color w:val="auto"/>
          <w:sz w:val="24"/>
          <w:szCs w:val="24"/>
          <w:highlight w:val="none"/>
        </w:rPr>
        <w:t>一、项目基本情况</w:t>
      </w:r>
      <w:bookmarkEnd w:id="2"/>
      <w:bookmarkEnd w:id="3"/>
      <w:bookmarkEnd w:id="4"/>
      <w:bookmarkEnd w:id="5"/>
    </w:p>
    <w:p w14:paraId="7E45DD0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1.项目编号：</w:t>
      </w:r>
      <w:r>
        <w:rPr>
          <w:rFonts w:hint="eastAsia" w:ascii="宋体" w:hAnsi="宋体" w:cs="宋体"/>
          <w:color w:val="auto"/>
          <w:sz w:val="24"/>
          <w:highlight w:val="none"/>
          <w:lang w:eastAsia="zh-CN"/>
        </w:rPr>
        <w:t>HYZB-2024-12-74</w:t>
      </w:r>
    </w:p>
    <w:p w14:paraId="6ABBF541">
      <w:pPr>
        <w:spacing w:line="360" w:lineRule="auto"/>
        <w:ind w:left="1679" w:leftChars="228" w:hanging="1200" w:hangingChars="5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农业全产业链数字管理平台项目</w:t>
      </w:r>
    </w:p>
    <w:bookmarkEnd w:id="6"/>
    <w:p w14:paraId="1C2546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3.项目预算金额：501.064258万元、项目最高限价：</w:t>
      </w:r>
      <w:r>
        <w:rPr>
          <w:rFonts w:hint="eastAsia" w:ascii="宋体" w:hAnsi="宋体" w:cs="宋体"/>
          <w:color w:val="auto"/>
          <w:sz w:val="24"/>
          <w:highlight w:val="none"/>
          <w:lang w:val="en-US" w:eastAsia="zh-CN"/>
        </w:rPr>
        <w:t>501.064258</w:t>
      </w:r>
      <w:r>
        <w:rPr>
          <w:rFonts w:hint="eastAsia" w:ascii="宋体" w:hAnsi="宋体" w:cs="宋体"/>
          <w:color w:val="auto"/>
          <w:sz w:val="24"/>
          <w:highlight w:val="none"/>
        </w:rPr>
        <w:t>万元</w:t>
      </w:r>
    </w:p>
    <w:p w14:paraId="3629FE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4.采购需求：</w:t>
      </w:r>
    </w:p>
    <w:tbl>
      <w:tblPr>
        <w:tblStyle w:val="45"/>
        <w:tblW w:w="4727"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375"/>
        <w:gridCol w:w="1285"/>
        <w:gridCol w:w="781"/>
        <w:gridCol w:w="4858"/>
      </w:tblGrid>
      <w:tr w14:paraId="732F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 w:type="pct"/>
            <w:vAlign w:val="center"/>
          </w:tcPr>
          <w:p w14:paraId="4EBD9565">
            <w:pPr>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783" w:type="pct"/>
            <w:vAlign w:val="center"/>
          </w:tcPr>
          <w:p w14:paraId="4EAA3971">
            <w:pPr>
              <w:jc w:val="center"/>
              <w:rPr>
                <w:rFonts w:ascii="宋体" w:hAnsi="宋体" w:cs="宋体"/>
                <w:bCs/>
                <w:color w:val="auto"/>
                <w:szCs w:val="21"/>
                <w:highlight w:val="none"/>
              </w:rPr>
            </w:pPr>
            <w:r>
              <w:rPr>
                <w:rFonts w:hint="eastAsia" w:ascii="宋体" w:hAnsi="宋体" w:cs="宋体"/>
                <w:bCs/>
                <w:color w:val="auto"/>
                <w:szCs w:val="21"/>
                <w:highlight w:val="none"/>
              </w:rPr>
              <w:t>标的名称</w:t>
            </w:r>
          </w:p>
        </w:tc>
        <w:tc>
          <w:tcPr>
            <w:tcW w:w="731" w:type="pct"/>
            <w:vAlign w:val="center"/>
          </w:tcPr>
          <w:p w14:paraId="2232428C">
            <w:pPr>
              <w:jc w:val="center"/>
              <w:rPr>
                <w:rFonts w:ascii="宋体" w:hAnsi="宋体" w:cs="宋体"/>
                <w:bCs/>
                <w:color w:val="auto"/>
                <w:szCs w:val="21"/>
                <w:highlight w:val="none"/>
              </w:rPr>
            </w:pPr>
            <w:r>
              <w:rPr>
                <w:rFonts w:hint="eastAsia" w:ascii="宋体" w:hAnsi="宋体" w:cs="宋体"/>
                <w:bCs/>
                <w:color w:val="auto"/>
                <w:szCs w:val="21"/>
                <w:highlight w:val="none"/>
              </w:rPr>
              <w:t>采购包</w:t>
            </w:r>
          </w:p>
          <w:p w14:paraId="416DE22E">
            <w:pPr>
              <w:jc w:val="center"/>
              <w:rPr>
                <w:rFonts w:ascii="宋体" w:hAnsi="宋体" w:cs="宋体"/>
                <w:bCs/>
                <w:color w:val="auto"/>
                <w:szCs w:val="21"/>
                <w:highlight w:val="none"/>
              </w:rPr>
            </w:pPr>
            <w:r>
              <w:rPr>
                <w:rFonts w:hint="eastAsia" w:ascii="宋体" w:hAnsi="宋体" w:cs="宋体"/>
                <w:bCs/>
                <w:color w:val="auto"/>
                <w:szCs w:val="21"/>
                <w:highlight w:val="none"/>
              </w:rPr>
              <w:t>预算金额</w:t>
            </w:r>
          </w:p>
          <w:p w14:paraId="549201CF">
            <w:pPr>
              <w:jc w:val="center"/>
              <w:rPr>
                <w:rFonts w:ascii="宋体" w:hAnsi="宋体" w:cs="宋体"/>
                <w:bCs/>
                <w:color w:val="auto"/>
                <w:szCs w:val="21"/>
                <w:highlight w:val="none"/>
              </w:rPr>
            </w:pPr>
            <w:r>
              <w:rPr>
                <w:rFonts w:hint="eastAsia" w:ascii="宋体" w:hAnsi="宋体" w:cs="宋体"/>
                <w:bCs/>
                <w:color w:val="auto"/>
                <w:szCs w:val="21"/>
                <w:highlight w:val="none"/>
              </w:rPr>
              <w:t>（万元）</w:t>
            </w:r>
          </w:p>
        </w:tc>
        <w:tc>
          <w:tcPr>
            <w:tcW w:w="444" w:type="pct"/>
            <w:vAlign w:val="center"/>
          </w:tcPr>
          <w:p w14:paraId="3BD68723">
            <w:pPr>
              <w:jc w:val="center"/>
              <w:rPr>
                <w:rFonts w:ascii="宋体" w:hAnsi="宋体" w:cs="宋体"/>
                <w:bCs/>
                <w:color w:val="auto"/>
                <w:szCs w:val="21"/>
                <w:highlight w:val="none"/>
              </w:rPr>
            </w:pPr>
            <w:r>
              <w:rPr>
                <w:rFonts w:hint="eastAsia" w:ascii="宋体" w:hAnsi="宋体" w:cs="宋体"/>
                <w:bCs/>
                <w:color w:val="auto"/>
                <w:szCs w:val="21"/>
                <w:highlight w:val="none"/>
              </w:rPr>
              <w:t>数量</w:t>
            </w:r>
          </w:p>
        </w:tc>
        <w:tc>
          <w:tcPr>
            <w:tcW w:w="2766" w:type="pct"/>
            <w:vAlign w:val="center"/>
          </w:tcPr>
          <w:p w14:paraId="324DFD88">
            <w:pPr>
              <w:jc w:val="center"/>
              <w:rPr>
                <w:rFonts w:ascii="宋体" w:hAnsi="宋体" w:cs="宋体"/>
                <w:color w:val="auto"/>
                <w:szCs w:val="21"/>
                <w:highlight w:val="none"/>
              </w:rPr>
            </w:pPr>
            <w:r>
              <w:rPr>
                <w:rFonts w:hint="eastAsia" w:ascii="宋体" w:hAnsi="宋体" w:cs="宋体"/>
                <w:color w:val="auto"/>
                <w:szCs w:val="21"/>
                <w:highlight w:val="none"/>
              </w:rPr>
              <w:t>简要技术需求或服务要求</w:t>
            </w:r>
          </w:p>
        </w:tc>
      </w:tr>
      <w:tr w14:paraId="2BCD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 w:type="pct"/>
            <w:vAlign w:val="center"/>
          </w:tcPr>
          <w:p w14:paraId="1DDB800A">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83" w:type="pct"/>
            <w:vAlign w:val="center"/>
          </w:tcPr>
          <w:p w14:paraId="4FFEFEEB">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农业全产业链数字管理平台项目</w:t>
            </w:r>
          </w:p>
        </w:tc>
        <w:tc>
          <w:tcPr>
            <w:tcW w:w="731" w:type="pct"/>
            <w:vAlign w:val="center"/>
          </w:tcPr>
          <w:p w14:paraId="4FCDF8B7">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501.064258</w:t>
            </w:r>
          </w:p>
        </w:tc>
        <w:tc>
          <w:tcPr>
            <w:tcW w:w="444" w:type="pct"/>
            <w:vAlign w:val="center"/>
          </w:tcPr>
          <w:p w14:paraId="063BC76C">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2766" w:type="pct"/>
            <w:vAlign w:val="center"/>
          </w:tcPr>
          <w:p w14:paraId="5FBC5ACD">
            <w:pPr>
              <w:spacing w:line="320" w:lineRule="exact"/>
              <w:jc w:val="center"/>
              <w:rPr>
                <w:rFonts w:ascii="宋体" w:hAnsi="宋体" w:cs="宋体"/>
                <w:color w:val="auto"/>
                <w:szCs w:val="21"/>
                <w:highlight w:val="none"/>
              </w:rPr>
            </w:pPr>
            <w:r>
              <w:rPr>
                <w:rFonts w:hint="eastAsia" w:ascii="宋体" w:hAnsi="宋体" w:cs="宋体"/>
                <w:color w:val="auto"/>
                <w:szCs w:val="21"/>
                <w:highlight w:val="none"/>
                <w:lang w:eastAsia="zh-CN"/>
              </w:rPr>
              <w:t>开发农业全产业链数字管理平台，配备智能数字化专项设备，提升蔬菜产业生产加工、销售流通、产品溯源的数字化水平和生产效率。</w:t>
            </w:r>
            <w:r>
              <w:rPr>
                <w:rFonts w:hint="eastAsia" w:ascii="宋体" w:hAnsi="宋体" w:cs="宋体"/>
                <w:color w:val="auto"/>
                <w:szCs w:val="21"/>
                <w:highlight w:val="none"/>
              </w:rPr>
              <w:t>详见招标文件第五章采购需求。</w:t>
            </w:r>
          </w:p>
        </w:tc>
      </w:tr>
    </w:tbl>
    <w:p w14:paraId="0258B0ED">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5.合同履行期限：合同签订后</w:t>
      </w:r>
      <w:r>
        <w:rPr>
          <w:rFonts w:hint="eastAsia" w:ascii="宋体" w:hAnsi="宋体" w:cs="宋体"/>
          <w:color w:val="auto"/>
          <w:sz w:val="24"/>
          <w:highlight w:val="none"/>
          <w:lang w:val="en-US" w:eastAsia="zh-CN"/>
        </w:rPr>
        <w:t>50日历天。</w:t>
      </w:r>
    </w:p>
    <w:p w14:paraId="7BCB43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6.本项目是否接受联合体投标：</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是  </w:t>
      </w:r>
      <w:r>
        <w:rPr>
          <w:rFonts w:hint="eastAsia" w:ascii="宋体" w:hAnsi="宋体" w:cs="宋体"/>
          <w:color w:val="auto"/>
          <w:sz w:val="32"/>
          <w:szCs w:val="32"/>
          <w:highlight w:val="none"/>
        </w:rPr>
        <w:t>■</w:t>
      </w:r>
      <w:r>
        <w:rPr>
          <w:rFonts w:hint="eastAsia" w:ascii="宋体" w:hAnsi="宋体" w:cs="宋体"/>
          <w:color w:val="auto"/>
          <w:sz w:val="24"/>
          <w:highlight w:val="none"/>
        </w:rPr>
        <w:t>否。</w:t>
      </w:r>
    </w:p>
    <w:p w14:paraId="42B3AE07">
      <w:pPr>
        <w:pStyle w:val="3"/>
        <w:spacing w:before="0" w:line="360" w:lineRule="auto"/>
        <w:jc w:val="left"/>
        <w:rPr>
          <w:rFonts w:ascii="宋体" w:hAnsi="宋体" w:eastAsia="宋体" w:cs="宋体"/>
          <w:color w:val="auto"/>
          <w:sz w:val="24"/>
          <w:szCs w:val="24"/>
          <w:highlight w:val="none"/>
        </w:rPr>
      </w:pPr>
      <w:bookmarkStart w:id="7" w:name="_Toc28359080"/>
      <w:bookmarkStart w:id="8" w:name="_Toc35393622"/>
      <w:bookmarkStart w:id="9" w:name="_Toc35393791"/>
      <w:bookmarkStart w:id="10" w:name="_Toc28359003"/>
      <w:r>
        <w:rPr>
          <w:rFonts w:hint="eastAsia" w:ascii="宋体" w:hAnsi="宋体" w:eastAsia="宋体" w:cs="宋体"/>
          <w:color w:val="auto"/>
          <w:sz w:val="24"/>
          <w:szCs w:val="24"/>
          <w:highlight w:val="none"/>
        </w:rPr>
        <w:t>二、申请人的资格要求（须同时满足）</w:t>
      </w:r>
      <w:bookmarkEnd w:id="7"/>
      <w:bookmarkEnd w:id="8"/>
      <w:bookmarkEnd w:id="9"/>
      <w:bookmarkEnd w:id="10"/>
    </w:p>
    <w:p w14:paraId="68F08531">
      <w:pPr>
        <w:spacing w:line="360" w:lineRule="auto"/>
        <w:ind w:firstLine="480" w:firstLineChars="200"/>
        <w:rPr>
          <w:rFonts w:ascii="宋体" w:hAnsi="宋体"/>
          <w:color w:val="auto"/>
          <w:sz w:val="24"/>
          <w:highlight w:val="none"/>
        </w:rPr>
      </w:pPr>
      <w:bookmarkStart w:id="11" w:name="_Toc28359004"/>
      <w:bookmarkStart w:id="12" w:name="_Toc28359081"/>
      <w:r>
        <w:rPr>
          <w:rFonts w:hint="eastAsia" w:ascii="宋体" w:hAnsi="宋体"/>
          <w:color w:val="auto"/>
          <w:sz w:val="24"/>
          <w:highlight w:val="none"/>
        </w:rPr>
        <w:t>1.满足«中华人民共和国政府采购法»第二十二条规定：</w:t>
      </w:r>
    </w:p>
    <w:p w14:paraId="7DE893C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2.落实政府采购政策需满足的资格要求：</w:t>
      </w:r>
    </w:p>
    <w:p w14:paraId="7E369F1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ascii="宋体" w:hAnsi="宋体"/>
          <w:color w:val="auto"/>
          <w:sz w:val="24"/>
          <w:highlight w:val="none"/>
        </w:rPr>
        <w:t>本项目不专门面向中小企业预留采购份额。</w:t>
      </w:r>
    </w:p>
    <w:p w14:paraId="08995619">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ascii="宋体" w:hAnsi="宋体"/>
          <w:color w:val="auto"/>
          <w:sz w:val="24"/>
          <w:highlight w:val="none"/>
        </w:rPr>
        <w:t xml:space="preserve">本项目专门面向  </w:t>
      </w:r>
      <w:r>
        <w:rPr>
          <w:rFonts w:ascii="宋体" w:hAnsi="宋体"/>
          <w:b/>
          <w:color w:val="auto"/>
          <w:sz w:val="24"/>
          <w:highlight w:val="none"/>
        </w:rPr>
        <w:t>■</w:t>
      </w:r>
      <w:r>
        <w:rPr>
          <w:rFonts w:ascii="宋体" w:hAnsi="宋体"/>
          <w:color w:val="auto"/>
          <w:sz w:val="24"/>
          <w:highlight w:val="none"/>
        </w:rPr>
        <w:t xml:space="preserve">中小 </w:t>
      </w:r>
      <w:r>
        <w:rPr>
          <w:rFonts w:hint="eastAsia" w:ascii="宋体" w:hAnsi="宋体"/>
          <w:color w:val="auto"/>
          <w:sz w:val="24"/>
          <w:highlight w:val="none"/>
          <w:lang w:eastAsia="zh-CN"/>
        </w:rPr>
        <w:t>□</w:t>
      </w:r>
      <w:r>
        <w:rPr>
          <w:rFonts w:ascii="宋体" w:hAnsi="宋体"/>
          <w:color w:val="auto"/>
          <w:sz w:val="24"/>
          <w:highlight w:val="none"/>
        </w:rPr>
        <w:t>小微企业采购。即：提供的货物全部由符合政策要求的中小/小微企业制造、服务全</w:t>
      </w:r>
      <w:r>
        <w:rPr>
          <w:rFonts w:hint="eastAsia" w:ascii="宋体" w:hAnsi="宋体"/>
          <w:color w:val="auto"/>
          <w:sz w:val="24"/>
          <w:highlight w:val="none"/>
          <w:lang w:val="en-US" w:eastAsia="zh-CN"/>
        </w:rPr>
        <w:t>·</w:t>
      </w:r>
      <w:r>
        <w:rPr>
          <w:rFonts w:ascii="宋体" w:hAnsi="宋体"/>
          <w:color w:val="auto"/>
          <w:sz w:val="24"/>
          <w:highlight w:val="none"/>
        </w:rPr>
        <w:t>部由符合政策要求的中小/小微企业承接。</w:t>
      </w:r>
    </w:p>
    <w:p w14:paraId="66245E79">
      <w:pPr>
        <w:spacing w:line="360" w:lineRule="auto"/>
        <w:ind w:firstLine="480" w:firstLineChars="200"/>
        <w:rPr>
          <w:rFonts w:ascii="宋体" w:hAnsi="宋体"/>
          <w:color w:val="auto"/>
          <w:sz w:val="24"/>
          <w:highlight w:val="none"/>
        </w:rPr>
      </w:pPr>
      <w:r>
        <w:rPr>
          <w:rFonts w:ascii="宋体" w:hAnsi="宋体"/>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color w:val="auto"/>
          <w:sz w:val="24"/>
          <w:highlight w:val="none"/>
          <w:u w:val="single"/>
        </w:rPr>
        <w:t xml:space="preserve"> / </w:t>
      </w:r>
      <w:r>
        <w:rPr>
          <w:rFonts w:hint="eastAsia" w:ascii="宋体" w:hAnsi="宋体"/>
          <w:color w:val="auto"/>
          <w:sz w:val="24"/>
          <w:highlight w:val="none"/>
        </w:rPr>
        <w:t>。</w:t>
      </w:r>
    </w:p>
    <w:p w14:paraId="1CB595D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节能产品强制采购；节能产品、环境标志产品优先采购；扶持不发达地区和少数民族地区；政府采购促进中小企业发展；政府采购支持监狱企业、戒毒企业发展；政府采购促进残疾人就业；政府采购信用担保；进口产品管理等。</w:t>
      </w:r>
    </w:p>
    <w:p w14:paraId="1B12972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（3）被列入失信被执行人、重大税收违法案件当事人名单、政府采购严重违法失信行为记录名单的，不得参加本次采购。</w:t>
      </w:r>
    </w:p>
    <w:p w14:paraId="5439A2FD">
      <w:pPr>
        <w:spacing w:line="360" w:lineRule="auto"/>
        <w:ind w:firstLine="480" w:firstLineChars="200"/>
        <w:rPr>
          <w:rFonts w:ascii="宋体" w:hAnsi="宋体"/>
          <w:i/>
          <w:iCs/>
          <w:color w:val="auto"/>
          <w:sz w:val="24"/>
          <w:highlight w:val="none"/>
          <w:u w:val="single"/>
        </w:rPr>
      </w:pPr>
      <w:r>
        <w:rPr>
          <w:rFonts w:ascii="宋体" w:hAnsi="宋体"/>
          <w:color w:val="auto"/>
          <w:sz w:val="24"/>
          <w:highlight w:val="none"/>
        </w:rPr>
        <w:t>3.本项目的特定资格要求：</w:t>
      </w:r>
    </w:p>
    <w:p w14:paraId="4FDEB9C9">
      <w:pPr>
        <w:tabs>
          <w:tab w:val="left" w:pos="900"/>
          <w:tab w:val="left" w:pos="1134"/>
          <w:tab w:val="left" w:pos="1589"/>
          <w:tab w:val="left" w:pos="5521"/>
        </w:tabs>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3.1本项目是否属于政府购买服务：</w:t>
      </w:r>
    </w:p>
    <w:p w14:paraId="72E0E0F3">
      <w:pPr>
        <w:tabs>
          <w:tab w:val="left" w:pos="900"/>
          <w:tab w:val="left" w:pos="1134"/>
          <w:tab w:val="left" w:pos="1589"/>
          <w:tab w:val="left" w:pos="5521"/>
        </w:tabs>
        <w:snapToGrid w:val="0"/>
        <w:spacing w:line="360" w:lineRule="auto"/>
        <w:ind w:firstLine="482" w:firstLineChars="200"/>
        <w:rPr>
          <w:rFonts w:ascii="宋体" w:hAnsi="宋体"/>
          <w:color w:val="auto"/>
          <w:sz w:val="24"/>
          <w:highlight w:val="none"/>
        </w:rPr>
      </w:pPr>
      <w:r>
        <w:rPr>
          <w:rFonts w:ascii="宋体" w:hAnsi="宋体"/>
          <w:b/>
          <w:color w:val="auto"/>
          <w:sz w:val="24"/>
          <w:highlight w:val="none"/>
        </w:rPr>
        <w:t>■</w:t>
      </w:r>
      <w:r>
        <w:rPr>
          <w:rFonts w:ascii="宋体" w:hAnsi="宋体"/>
          <w:color w:val="auto"/>
          <w:sz w:val="24"/>
          <w:highlight w:val="none"/>
        </w:rPr>
        <w:t>否</w:t>
      </w:r>
    </w:p>
    <w:p w14:paraId="25FE7FF7">
      <w:pPr>
        <w:tabs>
          <w:tab w:val="left" w:pos="900"/>
          <w:tab w:val="left" w:pos="1134"/>
          <w:tab w:val="left" w:pos="1589"/>
          <w:tab w:val="left" w:pos="5521"/>
        </w:tabs>
        <w:snapToGrid w:val="0"/>
        <w:spacing w:line="360" w:lineRule="auto"/>
        <w:ind w:firstLine="480" w:firstLineChars="200"/>
        <w:rPr>
          <w:rFonts w:ascii="宋体" w:hAnsi="宋体"/>
          <w:b/>
          <w:color w:val="auto"/>
          <w:sz w:val="24"/>
          <w:highlight w:val="none"/>
        </w:rPr>
      </w:pPr>
      <w:r>
        <w:rPr>
          <w:rFonts w:ascii="宋体" w:hAnsi="宋体"/>
          <w:bCs/>
          <w:color w:val="auto"/>
          <w:sz w:val="24"/>
          <w:highlight w:val="none"/>
        </w:rPr>
        <w:t>□</w:t>
      </w:r>
      <w:r>
        <w:rPr>
          <w:rFonts w:hint="eastAsia" w:ascii="宋体" w:hAnsi="宋体"/>
          <w:bCs/>
          <w:color w:val="auto"/>
          <w:sz w:val="24"/>
          <w:highlight w:val="none"/>
        </w:rPr>
        <w:t>是，公益一类事业单位、使用事业编制且由财政拨款保障的群团组织，不得作为承接主体；</w:t>
      </w:r>
    </w:p>
    <w:p w14:paraId="7281E463">
      <w:pPr>
        <w:tabs>
          <w:tab w:val="left" w:pos="900"/>
          <w:tab w:val="left" w:pos="1134"/>
          <w:tab w:val="left" w:pos="1589"/>
          <w:tab w:val="left" w:pos="5521"/>
        </w:tabs>
        <w:snapToGrid w:val="0"/>
        <w:spacing w:line="360" w:lineRule="auto"/>
        <w:ind w:firstLine="480" w:firstLineChars="200"/>
        <w:rPr>
          <w:rFonts w:ascii="宋体" w:hAnsi="宋体" w:cs="宋体"/>
          <w:color w:val="auto"/>
          <w:sz w:val="24"/>
          <w:highlight w:val="none"/>
        </w:rPr>
      </w:pPr>
      <w:r>
        <w:rPr>
          <w:rFonts w:ascii="宋体" w:hAnsi="宋体"/>
          <w:color w:val="auto"/>
          <w:sz w:val="24"/>
          <w:highlight w:val="none"/>
        </w:rPr>
        <w:t>3.2其他特定资格要求：</w:t>
      </w:r>
      <w:r>
        <w:rPr>
          <w:rFonts w:hint="eastAsia" w:ascii="宋体" w:hAnsi="宋体" w:cs="宋体"/>
          <w:color w:val="auto"/>
          <w:kern w:val="0"/>
          <w:sz w:val="24"/>
          <w:highlight w:val="none"/>
          <w:lang w:bidi="ar"/>
        </w:rPr>
        <w:t>无。</w:t>
      </w:r>
    </w:p>
    <w:bookmarkEnd w:id="11"/>
    <w:bookmarkEnd w:id="12"/>
    <w:p w14:paraId="52184760">
      <w:pPr>
        <w:pStyle w:val="3"/>
        <w:widowControl/>
        <w:spacing w:before="0" w:line="360" w:lineRule="auto"/>
        <w:jc w:val="left"/>
        <w:rPr>
          <w:rFonts w:ascii="宋体" w:hAnsi="宋体" w:eastAsia="宋体" w:cs="宋体"/>
          <w:color w:val="auto"/>
          <w:sz w:val="24"/>
          <w:szCs w:val="24"/>
          <w:highlight w:val="none"/>
        </w:rPr>
      </w:pPr>
      <w:bookmarkStart w:id="13" w:name="_Toc35393623"/>
      <w:bookmarkStart w:id="14" w:name="_Toc35393792"/>
      <w:r>
        <w:rPr>
          <w:rFonts w:hint="eastAsia" w:ascii="宋体" w:hAnsi="宋体" w:eastAsia="宋体" w:cs="宋体"/>
          <w:color w:val="auto"/>
          <w:sz w:val="24"/>
          <w:szCs w:val="24"/>
          <w:highlight w:val="none"/>
        </w:rPr>
        <w:t>三、获取招标文件</w:t>
      </w:r>
      <w:bookmarkEnd w:id="13"/>
      <w:bookmarkEnd w:id="14"/>
    </w:p>
    <w:p w14:paraId="45EE7FF3">
      <w:pPr>
        <w:adjustRightInd w:val="0"/>
        <w:snapToGrid w:val="0"/>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1.时间：2024年</w:t>
      </w:r>
      <w:r>
        <w:rPr>
          <w:rFonts w:hint="eastAsia" w:ascii="宋体" w:hAnsi="宋体" w:cs="宋体"/>
          <w:color w:val="auto"/>
          <w:sz w:val="24"/>
          <w:highlight w:val="none"/>
          <w:lang w:val="en-US" w:eastAsia="zh-CN" w:bidi="ar"/>
        </w:rPr>
        <w:t>12</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日至2024年</w:t>
      </w:r>
      <w:r>
        <w:rPr>
          <w:rFonts w:hint="eastAsia" w:ascii="宋体" w:hAnsi="宋体" w:cs="宋体"/>
          <w:color w:val="auto"/>
          <w:sz w:val="24"/>
          <w:highlight w:val="none"/>
          <w:lang w:val="en-US" w:eastAsia="zh-CN" w:bidi="ar"/>
        </w:rPr>
        <w:t>12</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10</w:t>
      </w:r>
      <w:r>
        <w:rPr>
          <w:rFonts w:hint="eastAsia" w:ascii="宋体" w:hAnsi="宋体" w:cs="宋体"/>
          <w:color w:val="auto"/>
          <w:sz w:val="24"/>
          <w:highlight w:val="none"/>
          <w:lang w:bidi="ar"/>
        </w:rPr>
        <w:t>日，每天上午09：00至12：00，下午12：00至1</w:t>
      </w:r>
      <w:r>
        <w:rPr>
          <w:rFonts w:hint="eastAsia" w:ascii="宋体" w:hAnsi="宋体" w:cs="宋体"/>
          <w:color w:val="auto"/>
          <w:sz w:val="24"/>
          <w:highlight w:val="none"/>
          <w:lang w:val="en-US" w:eastAsia="zh-CN" w:bidi="ar"/>
        </w:rPr>
        <w:t>7</w:t>
      </w:r>
      <w:r>
        <w:rPr>
          <w:rFonts w:hint="eastAsia" w:ascii="宋体" w:hAnsi="宋体" w:cs="宋体"/>
          <w:color w:val="auto"/>
          <w:sz w:val="24"/>
          <w:highlight w:val="none"/>
          <w:lang w:bidi="ar"/>
        </w:rPr>
        <w:t>：00（北京时间，法定节假日除外）。</w:t>
      </w:r>
    </w:p>
    <w:p w14:paraId="025AB31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2.地点：北京市政府采购电子交易平台</w:t>
      </w:r>
    </w:p>
    <w:p w14:paraId="76E9C9F7">
      <w:pPr>
        <w:widowControl/>
        <w:adjustRightInd w:val="0"/>
        <w:snapToGrid w:val="0"/>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3.方式：供应商持CA数字认证证书登录北京市政府采购电子交易平台（http://zbcg-bjzc.zhongcy.com/bjczj-portal-site/index.html#/home）获取电子版招标文件。</w:t>
      </w:r>
    </w:p>
    <w:p w14:paraId="6BC3C90A">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4.售价：0元。</w:t>
      </w:r>
    </w:p>
    <w:p w14:paraId="6C60B6FD">
      <w:pPr>
        <w:pStyle w:val="3"/>
        <w:widowControl/>
        <w:spacing w:before="0" w:line="360" w:lineRule="auto"/>
        <w:jc w:val="left"/>
        <w:rPr>
          <w:rFonts w:ascii="宋体" w:hAnsi="宋体" w:eastAsia="宋体" w:cs="宋体"/>
          <w:color w:val="auto"/>
          <w:sz w:val="24"/>
          <w:szCs w:val="24"/>
          <w:highlight w:val="none"/>
        </w:rPr>
      </w:pPr>
      <w:bookmarkStart w:id="15" w:name="_Toc28359082"/>
      <w:bookmarkStart w:id="16" w:name="_Toc28359005"/>
      <w:bookmarkStart w:id="17" w:name="_Toc35393793"/>
      <w:bookmarkStart w:id="18" w:name="_Toc35393624"/>
      <w:r>
        <w:rPr>
          <w:rFonts w:hint="eastAsia" w:ascii="宋体" w:hAnsi="宋体" w:eastAsia="宋体" w:cs="宋体"/>
          <w:color w:val="auto"/>
          <w:sz w:val="24"/>
          <w:szCs w:val="24"/>
          <w:highlight w:val="none"/>
        </w:rPr>
        <w:t>四、提交投标文件</w:t>
      </w:r>
      <w:bookmarkEnd w:id="15"/>
      <w:bookmarkEnd w:id="16"/>
      <w:r>
        <w:rPr>
          <w:rFonts w:hint="eastAsia" w:ascii="宋体" w:hAnsi="宋体" w:eastAsia="宋体" w:cs="宋体"/>
          <w:color w:val="auto"/>
          <w:sz w:val="24"/>
          <w:szCs w:val="24"/>
          <w:highlight w:val="none"/>
        </w:rPr>
        <w:t>截止时间、开标时间和地点</w:t>
      </w:r>
      <w:bookmarkEnd w:id="17"/>
      <w:bookmarkEnd w:id="18"/>
    </w:p>
    <w:p w14:paraId="322C2C94">
      <w:pPr>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lang w:bidi="ar"/>
        </w:rPr>
        <w:t>投标截止时间、开标时间：2024年</w:t>
      </w:r>
      <w:r>
        <w:rPr>
          <w:rFonts w:hint="eastAsia" w:ascii="宋体" w:hAnsi="宋体" w:cs="宋体"/>
          <w:color w:val="auto"/>
          <w:sz w:val="24"/>
          <w:highlight w:val="none"/>
          <w:lang w:val="en-US" w:eastAsia="zh-CN" w:bidi="ar"/>
        </w:rPr>
        <w:t>12</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25</w:t>
      </w:r>
      <w:r>
        <w:rPr>
          <w:rFonts w:hint="eastAsia" w:ascii="宋体" w:hAnsi="宋体" w:cs="宋体"/>
          <w:color w:val="auto"/>
          <w:sz w:val="24"/>
          <w:highlight w:val="none"/>
          <w:lang w:bidi="ar"/>
        </w:rPr>
        <w:t>日09点30分</w:t>
      </w:r>
      <w:r>
        <w:rPr>
          <w:rFonts w:hint="eastAsia" w:ascii="宋体" w:hAnsi="宋体" w:cs="宋体"/>
          <w:bCs/>
          <w:color w:val="auto"/>
          <w:sz w:val="24"/>
          <w:highlight w:val="none"/>
          <w:lang w:bidi="ar"/>
        </w:rPr>
        <w:t>（北京时间）</w:t>
      </w:r>
      <w:r>
        <w:rPr>
          <w:rFonts w:hint="eastAsia" w:ascii="宋体" w:hAnsi="宋体" w:cs="宋体"/>
          <w:iCs/>
          <w:color w:val="auto"/>
          <w:sz w:val="24"/>
          <w:highlight w:val="none"/>
          <w:lang w:bidi="ar"/>
        </w:rPr>
        <w:t>。</w:t>
      </w:r>
    </w:p>
    <w:p w14:paraId="1228C707">
      <w:pPr>
        <w:spacing w:line="360" w:lineRule="auto"/>
        <w:ind w:firstLine="480" w:firstLineChars="200"/>
        <w:rPr>
          <w:rFonts w:hint="eastAsia" w:eastAsia="宋体"/>
          <w:color w:val="auto"/>
          <w:highlight w:val="none"/>
          <w:lang w:val="en-US" w:eastAsia="zh-CN"/>
        </w:rPr>
      </w:pPr>
      <w:r>
        <w:rPr>
          <w:rFonts w:hint="eastAsia" w:ascii="宋体" w:hAnsi="宋体" w:cs="宋体"/>
          <w:color w:val="auto"/>
          <w:sz w:val="24"/>
          <w:highlight w:val="none"/>
          <w:lang w:bidi="ar"/>
        </w:rPr>
        <w:t>地点：</w:t>
      </w:r>
      <w:r>
        <w:rPr>
          <w:rFonts w:hint="eastAsia" w:hAnsi="宋体"/>
          <w:color w:val="auto"/>
          <w:sz w:val="24"/>
          <w:highlight w:val="none"/>
        </w:rPr>
        <w:t>北京市丰台区和义文化产业园F座地下一层电子评标室</w:t>
      </w:r>
      <w:r>
        <w:rPr>
          <w:rFonts w:hint="eastAsia" w:ascii="宋体" w:hAnsi="宋体" w:cs="宋体"/>
          <w:color w:val="auto"/>
          <w:sz w:val="24"/>
          <w:highlight w:val="none"/>
          <w:lang w:val="zh-TW" w:bidi="ar"/>
        </w:rPr>
        <w:t>。</w:t>
      </w:r>
      <w:r>
        <w:rPr>
          <w:rFonts w:hint="eastAsia" w:ascii="宋体" w:hAnsi="宋体" w:cs="宋体"/>
          <w:color w:val="auto"/>
          <w:sz w:val="24"/>
          <w:highlight w:val="none"/>
          <w:lang w:val="zh-TW" w:eastAsia="zh-CN" w:bidi="ar"/>
        </w:rPr>
        <w:t>（</w:t>
      </w:r>
      <w:r>
        <w:rPr>
          <w:rFonts w:hint="eastAsia" w:ascii="宋体" w:hAnsi="宋体" w:cs="宋体"/>
          <w:color w:val="auto"/>
          <w:sz w:val="24"/>
          <w:highlight w:val="none"/>
          <w:lang w:val="en-US" w:eastAsia="zh-CN" w:bidi="ar"/>
        </w:rPr>
        <w:t>电子标可不到达现场参加</w:t>
      </w:r>
      <w:r>
        <w:rPr>
          <w:rFonts w:hint="eastAsia" w:ascii="宋体" w:hAnsi="宋体" w:cs="宋体"/>
          <w:color w:val="auto"/>
          <w:sz w:val="24"/>
          <w:highlight w:val="none"/>
          <w:lang w:val="zh-TW" w:eastAsia="zh-CN" w:bidi="ar"/>
        </w:rPr>
        <w:t>）</w:t>
      </w:r>
    </w:p>
    <w:p w14:paraId="62173ACA">
      <w:pPr>
        <w:pStyle w:val="3"/>
        <w:spacing w:before="0" w:line="360" w:lineRule="auto"/>
        <w:jc w:val="left"/>
        <w:rPr>
          <w:rFonts w:ascii="宋体" w:hAnsi="宋体" w:eastAsia="宋体" w:cs="宋体"/>
          <w:color w:val="auto"/>
          <w:sz w:val="24"/>
          <w:szCs w:val="24"/>
          <w:highlight w:val="none"/>
        </w:rPr>
      </w:pPr>
      <w:bookmarkStart w:id="19" w:name="_Toc28359084"/>
      <w:bookmarkStart w:id="20" w:name="_Toc35393794"/>
      <w:bookmarkStart w:id="21" w:name="_Toc28359007"/>
      <w:bookmarkStart w:id="22" w:name="_Toc35393625"/>
      <w:r>
        <w:rPr>
          <w:rFonts w:hint="eastAsia" w:ascii="宋体" w:hAnsi="宋体" w:eastAsia="宋体" w:cs="宋体"/>
          <w:color w:val="auto"/>
          <w:sz w:val="24"/>
          <w:szCs w:val="24"/>
          <w:highlight w:val="none"/>
        </w:rPr>
        <w:t>五、公告期限</w:t>
      </w:r>
      <w:bookmarkEnd w:id="19"/>
      <w:bookmarkEnd w:id="20"/>
      <w:bookmarkEnd w:id="21"/>
      <w:bookmarkEnd w:id="22"/>
    </w:p>
    <w:p w14:paraId="4057F38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29179D9F">
      <w:pPr>
        <w:pStyle w:val="3"/>
        <w:spacing w:before="0" w:line="360" w:lineRule="auto"/>
        <w:jc w:val="left"/>
        <w:rPr>
          <w:rFonts w:ascii="宋体" w:hAnsi="宋体" w:eastAsia="宋体" w:cs="宋体"/>
          <w:color w:val="auto"/>
          <w:sz w:val="24"/>
          <w:szCs w:val="24"/>
          <w:highlight w:val="none"/>
        </w:rPr>
      </w:pPr>
      <w:bookmarkStart w:id="23" w:name="_Toc35393795"/>
      <w:bookmarkStart w:id="24" w:name="_Toc35393626"/>
      <w:r>
        <w:rPr>
          <w:rFonts w:hint="eastAsia" w:ascii="宋体" w:hAnsi="宋体" w:eastAsia="宋体" w:cs="宋体"/>
          <w:color w:val="auto"/>
          <w:sz w:val="24"/>
          <w:szCs w:val="24"/>
          <w:highlight w:val="none"/>
        </w:rPr>
        <w:t>六、其他补充事宜</w:t>
      </w:r>
      <w:bookmarkEnd w:id="23"/>
      <w:bookmarkEnd w:id="24"/>
    </w:p>
    <w:p w14:paraId="1BEEF051">
      <w:pPr>
        <w:pStyle w:val="253"/>
        <w:ind w:left="105" w:leftChars="50" w:firstLine="480"/>
        <w:rPr>
          <w:rFonts w:ascii="宋体" w:hAnsi="宋体" w:cs="宋体"/>
          <w:color w:val="auto"/>
          <w:highlight w:val="none"/>
        </w:rPr>
      </w:pPr>
      <w:r>
        <w:rPr>
          <w:rFonts w:hint="eastAsia" w:ascii="宋体" w:hAnsi="宋体" w:cs="宋体"/>
          <w:color w:val="auto"/>
          <w:highlight w:val="none"/>
        </w:rPr>
        <w:t>1.本项目需要落实的政府采购政策：</w:t>
      </w:r>
    </w:p>
    <w:p w14:paraId="3AA17322">
      <w:pPr>
        <w:widowControl/>
        <w:adjustRightInd w:val="0"/>
        <w:snapToGrid w:val="0"/>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rPr>
        <w:t>《中华人民共和国政府采购法》、《中华人民共和国政府采购法实施条例》、《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 号）、《关于印发环境标志产品政府采购品目清单的通知》（财库[2019]18号）、《财政部 发展改革委关于印发节能产品政府采购品目清单的通知》（财库[2019]19号）及其它相关法律法规</w:t>
      </w:r>
      <w:r>
        <w:rPr>
          <w:rFonts w:hint="eastAsia" w:ascii="宋体" w:hAnsi="宋体" w:cs="宋体"/>
          <w:color w:val="auto"/>
          <w:sz w:val="24"/>
          <w:highlight w:val="none"/>
          <w:lang w:bidi="ar"/>
        </w:rPr>
        <w:t>。</w:t>
      </w:r>
    </w:p>
    <w:p w14:paraId="5011E857">
      <w:pPr>
        <w:widowControl/>
        <w:adjustRightInd w:val="0"/>
        <w:snapToGrid w:val="0"/>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2.本项目采用全流程电子化采购方式，请供应商认真学习北京市政府采购电子交易平台发布的相关操作手册（供应商可在交易平台下载相关手册），办理CA 数字证书或电子营业执照、进行北京市政府采购电子交易平台注册绑定，并认真核实 CA 数字证书</w:t>
      </w:r>
    </w:p>
    <w:p w14:paraId="706B1D83">
      <w:pPr>
        <w:widowControl/>
        <w:adjustRightInd w:val="0"/>
        <w:snapToGrid w:val="0"/>
        <w:spacing w:line="360" w:lineRule="auto"/>
        <w:jc w:val="left"/>
        <w:rPr>
          <w:rFonts w:ascii="宋体" w:hAnsi="宋体" w:cs="宋体"/>
          <w:bCs/>
          <w:color w:val="auto"/>
          <w:sz w:val="24"/>
          <w:highlight w:val="none"/>
          <w:lang w:bidi="ar"/>
        </w:rPr>
      </w:pPr>
      <w:r>
        <w:rPr>
          <w:rFonts w:hint="eastAsia" w:ascii="宋体" w:hAnsi="宋体" w:cs="宋体"/>
          <w:color w:val="auto"/>
          <w:sz w:val="24"/>
          <w:highlight w:val="none"/>
          <w:lang w:bidi="ar"/>
        </w:rPr>
        <w:t>或电子营业执照情况确认是否符合本项目电子化采购流程要求。</w:t>
      </w:r>
    </w:p>
    <w:p w14:paraId="4702F35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CA数字证书服务热线   010-58511086</w:t>
      </w:r>
    </w:p>
    <w:p w14:paraId="76705C4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电子营业执照服务热线  400-699-7000</w:t>
      </w:r>
    </w:p>
    <w:p w14:paraId="59DE681D">
      <w:pPr>
        <w:widowControl/>
        <w:adjustRightInd w:val="0"/>
        <w:snapToGrid w:val="0"/>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技术支持服务热线      010-86483801</w:t>
      </w:r>
    </w:p>
    <w:p w14:paraId="19EDA9F9">
      <w:pPr>
        <w:widowControl/>
        <w:tabs>
          <w:tab w:val="left" w:pos="6765"/>
        </w:tabs>
        <w:adjustRightInd w:val="0"/>
        <w:snapToGrid w:val="0"/>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2.1 办理 CA 数字证书或电子营业执照</w:t>
      </w:r>
      <w:r>
        <w:rPr>
          <w:rFonts w:hint="eastAsia" w:ascii="宋体" w:hAnsi="宋体" w:cs="宋体"/>
          <w:color w:val="auto"/>
          <w:sz w:val="24"/>
          <w:highlight w:val="none"/>
          <w:lang w:bidi="ar"/>
        </w:rPr>
        <w:tab/>
      </w:r>
    </w:p>
    <w:p w14:paraId="4A40383C">
      <w:pPr>
        <w:widowControl/>
        <w:adjustRightInd w:val="0"/>
        <w:snapToGrid w:val="0"/>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 xml:space="preserve">供应商登录北京市政府采购电子交易平台查阅 “用户指南”—“操作指南”—“市场主体 CA 办理操作流程指引”/“电子营业执照使用指南 ”，按照程序要求办理。 </w:t>
      </w:r>
    </w:p>
    <w:p w14:paraId="4BC2B5D6">
      <w:pPr>
        <w:adjustRightInd w:val="0"/>
        <w:snapToGrid w:val="0"/>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2.2 注册</w:t>
      </w:r>
    </w:p>
    <w:p w14:paraId="604E211D">
      <w:pPr>
        <w:adjustRightInd w:val="0"/>
        <w:snapToGrid w:val="0"/>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供应商登录北京市政府采购电子交易平台“用户指南”—“操作指南” —“市场主体注册入库操作流程指引”进行自助注册绑定。</w:t>
      </w:r>
    </w:p>
    <w:p w14:paraId="2EEC76D8">
      <w:pPr>
        <w:widowControl/>
        <w:adjustRightInd w:val="0"/>
        <w:snapToGrid w:val="0"/>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2.3 驱动、客户端下载</w:t>
      </w:r>
    </w:p>
    <w:p w14:paraId="63A4E0D9">
      <w:pPr>
        <w:widowControl/>
        <w:adjustRightInd w:val="0"/>
        <w:snapToGrid w:val="0"/>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供应商登录北京市政府采购电子交易平台“用户指南”—“工具下载”—“招标采购系统文件驱动安装包”下载相关驱动。</w:t>
      </w:r>
    </w:p>
    <w:p w14:paraId="5A04C0B1">
      <w:pPr>
        <w:widowControl/>
        <w:adjustRightInd w:val="0"/>
        <w:snapToGrid w:val="0"/>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供应商登录北京市政府采购电子交易平台“用户指南”—“工具下载”— “投标文件编制工具”下载相关客户端。</w:t>
      </w:r>
    </w:p>
    <w:p w14:paraId="59AA8217">
      <w:pPr>
        <w:adjustRightInd w:val="0"/>
        <w:snapToGrid w:val="0"/>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2.4 获取电子招标文件</w:t>
      </w:r>
    </w:p>
    <w:p w14:paraId="4CCACC18">
      <w:pPr>
        <w:adjustRightInd w:val="0"/>
        <w:snapToGrid w:val="0"/>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供应商使用 CA 数字证书或电子营业执照登录北京市政府采购电子交易平台获取电子招标文件。</w:t>
      </w:r>
    </w:p>
    <w:p w14:paraId="3694E992">
      <w:pPr>
        <w:adjustRightInd w:val="0"/>
        <w:snapToGrid w:val="0"/>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在【我的项目】栏目依次选择对应采购包，进入项目工作台招标/采购文件环节分别按采购包下载招标文件电子版。未在规定期限内按上述操作获取文件的采购包，供应商无法提交相应包的电子投标文件。</w:t>
      </w:r>
    </w:p>
    <w:p w14:paraId="3A78E20B">
      <w:pPr>
        <w:pStyle w:val="5"/>
        <w:spacing w:line="360" w:lineRule="auto"/>
        <w:rPr>
          <w:rFonts w:hAnsi="宋体" w:cs="宋体"/>
          <w:color w:val="auto"/>
          <w:highlight w:val="none"/>
          <w:lang w:bidi="ar"/>
        </w:rPr>
      </w:pPr>
      <w:r>
        <w:rPr>
          <w:rFonts w:hint="eastAsia" w:hAnsi="宋体" w:cs="宋体"/>
          <w:color w:val="auto"/>
          <w:highlight w:val="none"/>
          <w:lang w:bidi="ar"/>
        </w:rPr>
        <w:t>2.5 编制电子投标文件</w:t>
      </w:r>
    </w:p>
    <w:p w14:paraId="19BB660D">
      <w:pPr>
        <w:pStyle w:val="5"/>
        <w:spacing w:line="360" w:lineRule="auto"/>
        <w:ind w:firstLine="480" w:firstLineChars="200"/>
        <w:rPr>
          <w:rFonts w:hAnsi="宋体" w:cs="宋体"/>
          <w:color w:val="auto"/>
          <w:highlight w:val="none"/>
          <w:lang w:bidi="ar"/>
        </w:rPr>
      </w:pPr>
      <w:r>
        <w:rPr>
          <w:rFonts w:hint="eastAsia" w:hAnsi="宋体" w:cs="宋体"/>
          <w:color w:val="auto"/>
          <w:highlight w:val="none"/>
          <w:lang w:bidi="ar"/>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06197911">
      <w:pPr>
        <w:pStyle w:val="5"/>
        <w:spacing w:line="360" w:lineRule="auto"/>
        <w:rPr>
          <w:rFonts w:hAnsi="宋体" w:cs="宋体"/>
          <w:color w:val="auto"/>
          <w:highlight w:val="none"/>
          <w:lang w:bidi="ar"/>
        </w:rPr>
      </w:pPr>
      <w:r>
        <w:rPr>
          <w:rFonts w:hint="eastAsia" w:hAnsi="宋体" w:cs="宋体"/>
          <w:color w:val="auto"/>
          <w:highlight w:val="none"/>
          <w:lang w:bidi="ar"/>
        </w:rPr>
        <w:t>2.6 提交电子投标文件</w:t>
      </w:r>
    </w:p>
    <w:p w14:paraId="6BC90CFD">
      <w:pPr>
        <w:pStyle w:val="5"/>
        <w:spacing w:line="360" w:lineRule="auto"/>
        <w:rPr>
          <w:rFonts w:hAnsi="宋体" w:cs="宋体"/>
          <w:color w:val="auto"/>
          <w:highlight w:val="none"/>
          <w:lang w:bidi="ar"/>
        </w:rPr>
      </w:pPr>
      <w:r>
        <w:rPr>
          <w:rFonts w:hint="eastAsia" w:hAnsi="宋体" w:cs="宋体"/>
          <w:color w:val="auto"/>
          <w:highlight w:val="none"/>
          <w:lang w:bidi="ar"/>
        </w:rPr>
        <w:t>供应商应于投标截止时间前在北京市政府采购电子交易平台提交电子投标文件，上传电子投标文件过程中请保持与互联网的连接畅通。</w:t>
      </w:r>
    </w:p>
    <w:p w14:paraId="032FEA53">
      <w:pPr>
        <w:pStyle w:val="5"/>
        <w:spacing w:line="360" w:lineRule="auto"/>
        <w:rPr>
          <w:rFonts w:hAnsi="宋体" w:cs="宋体"/>
          <w:color w:val="auto"/>
          <w:highlight w:val="none"/>
          <w:lang w:bidi="ar"/>
        </w:rPr>
      </w:pPr>
      <w:r>
        <w:rPr>
          <w:rFonts w:hint="eastAsia" w:hAnsi="宋体" w:cs="宋体"/>
          <w:color w:val="auto"/>
          <w:highlight w:val="none"/>
          <w:lang w:bidi="ar"/>
        </w:rPr>
        <w:t>2.7 电子开标</w:t>
      </w:r>
    </w:p>
    <w:p w14:paraId="171B41D6">
      <w:pPr>
        <w:pStyle w:val="5"/>
        <w:spacing w:line="360" w:lineRule="auto"/>
        <w:rPr>
          <w:rFonts w:hAnsi="宋体" w:cs="宋体"/>
          <w:color w:val="auto"/>
          <w:highlight w:val="none"/>
          <w:lang w:bidi="ar"/>
        </w:rPr>
      </w:pPr>
      <w:r>
        <w:rPr>
          <w:rFonts w:hint="eastAsia" w:hAnsi="宋体" w:cs="宋体"/>
          <w:color w:val="auto"/>
          <w:highlight w:val="none"/>
          <w:lang w:bidi="ar"/>
        </w:rPr>
        <w:t>供应商在电子交易平台使用 CA 数字证书或电子营业执照登录北京市政府采购电子交易平台进行现场电子开标。</w:t>
      </w:r>
    </w:p>
    <w:p w14:paraId="0C186697">
      <w:pPr>
        <w:pStyle w:val="5"/>
        <w:spacing w:line="360" w:lineRule="auto"/>
        <w:rPr>
          <w:rFonts w:hAnsi="宋体" w:cs="宋体"/>
          <w:b/>
          <w:bCs/>
          <w:color w:val="auto"/>
          <w:highlight w:val="none"/>
          <w:lang w:bidi="ar"/>
        </w:rPr>
      </w:pPr>
      <w:r>
        <w:rPr>
          <w:rFonts w:hint="eastAsia" w:hAnsi="宋体" w:cs="宋体"/>
          <w:color w:val="auto"/>
          <w:highlight w:val="none"/>
          <w:lang w:bidi="ar"/>
        </w:rPr>
        <w:t>在开标当天供应商签到完成且开标时间到达之后对已在系统中递交且完成签到的供应商的投标文件进行解密。</w:t>
      </w:r>
      <w:r>
        <w:rPr>
          <w:rFonts w:hint="eastAsia" w:hAnsi="宋体" w:cs="宋体"/>
          <w:b/>
          <w:bCs/>
          <w:color w:val="auto"/>
          <w:highlight w:val="none"/>
          <w:lang w:bidi="ar"/>
        </w:rPr>
        <w:t>注：考虑到网络问题，请各位投标人提前准备解锁，提前1个半小时准备。</w:t>
      </w:r>
    </w:p>
    <w:p w14:paraId="32002459">
      <w:pPr>
        <w:pStyle w:val="5"/>
        <w:spacing w:line="360" w:lineRule="auto"/>
        <w:rPr>
          <w:rFonts w:hAnsi="宋体" w:cs="宋体"/>
          <w:color w:val="auto"/>
          <w:highlight w:val="none"/>
          <w:lang w:bidi="ar"/>
        </w:rPr>
      </w:pPr>
      <w:r>
        <w:rPr>
          <w:rFonts w:hint="eastAsia" w:hAnsi="宋体" w:cs="宋体"/>
          <w:color w:val="auto"/>
          <w:highlight w:val="none"/>
          <w:lang w:bidi="ar"/>
        </w:rPr>
        <w:t>因供应商忘记数字证书登陆密码、解密数字证书发生故障或用错、故意不在要求时限内完成解密等自身原因，导致投标文件在规定时间内未能解密、解密失败或解密超时，视为供应商放弃投标，由供应商自身承担一切后果。</w:t>
      </w:r>
    </w:p>
    <w:p w14:paraId="56A33358">
      <w:pPr>
        <w:pStyle w:val="5"/>
        <w:spacing w:line="360" w:lineRule="auto"/>
        <w:rPr>
          <w:rFonts w:hAnsi="宋体" w:cs="宋体"/>
          <w:color w:val="auto"/>
          <w:highlight w:val="none"/>
          <w:lang w:bidi="ar"/>
        </w:rPr>
      </w:pPr>
      <w:r>
        <w:rPr>
          <w:rFonts w:hint="eastAsia" w:hAnsi="宋体" w:cs="宋体"/>
          <w:color w:val="auto"/>
          <w:highlight w:val="none"/>
          <w:lang w:bidi="ar"/>
        </w:rPr>
        <w:t>若供应商已申请多把数字证书，请注意使用差别，确保制作的投标文件和开标解密时使用的数字证书一致，造成解密失败的，由供应商负责。</w:t>
      </w:r>
    </w:p>
    <w:p w14:paraId="7AC7F316">
      <w:pPr>
        <w:pStyle w:val="5"/>
        <w:spacing w:line="360" w:lineRule="auto"/>
        <w:rPr>
          <w:rFonts w:hAnsi="宋体" w:cs="宋体"/>
          <w:color w:val="auto"/>
          <w:highlight w:val="none"/>
          <w:lang w:bidi="ar"/>
        </w:rPr>
      </w:pPr>
      <w:r>
        <w:rPr>
          <w:rFonts w:hint="eastAsia" w:hAnsi="宋体" w:cs="宋体"/>
          <w:color w:val="auto"/>
          <w:highlight w:val="none"/>
          <w:lang w:bidi="ar"/>
        </w:rPr>
        <w:t>供应商应充分考虑到网络及系统平台可能存在的非正常情况，在投标文件递交截止时间之前完成上传。</w:t>
      </w:r>
    </w:p>
    <w:p w14:paraId="0458802E">
      <w:pPr>
        <w:pStyle w:val="3"/>
        <w:spacing w:before="0" w:line="360" w:lineRule="auto"/>
        <w:jc w:val="left"/>
        <w:rPr>
          <w:rFonts w:ascii="宋体" w:hAnsi="宋体" w:eastAsia="宋体" w:cs="宋体"/>
          <w:color w:val="auto"/>
          <w:sz w:val="24"/>
          <w:szCs w:val="24"/>
          <w:highlight w:val="none"/>
        </w:rPr>
      </w:pPr>
      <w:bookmarkStart w:id="25" w:name="_Toc35393627"/>
      <w:bookmarkStart w:id="26" w:name="_Toc28359085"/>
      <w:bookmarkStart w:id="27" w:name="_Toc35393796"/>
      <w:bookmarkStart w:id="28" w:name="_Toc28359008"/>
      <w:r>
        <w:rPr>
          <w:rFonts w:hint="eastAsia" w:ascii="宋体" w:hAnsi="宋体" w:eastAsia="宋体" w:cs="宋体"/>
          <w:color w:val="auto"/>
          <w:sz w:val="24"/>
          <w:szCs w:val="24"/>
          <w:highlight w:val="none"/>
        </w:rPr>
        <w:t>七、对本次招标提出询问，请按以下方式联系。</w:t>
      </w:r>
      <w:bookmarkEnd w:id="25"/>
      <w:bookmarkEnd w:id="26"/>
      <w:bookmarkEnd w:id="27"/>
      <w:bookmarkEnd w:id="28"/>
    </w:p>
    <w:p w14:paraId="2E513BF9">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1.采购人信息</w:t>
      </w:r>
    </w:p>
    <w:p w14:paraId="0DD059DA">
      <w:pPr>
        <w:spacing w:line="360" w:lineRule="auto"/>
        <w:rPr>
          <w:rFonts w:ascii="宋体" w:hAnsi="宋体" w:cs="宋体"/>
          <w:color w:val="auto"/>
          <w:sz w:val="24"/>
          <w:highlight w:val="none"/>
        </w:rPr>
      </w:pPr>
      <w:bookmarkStart w:id="29" w:name="_Toc28359086"/>
      <w:bookmarkStart w:id="30" w:name="_Toc28359009"/>
      <w:r>
        <w:rPr>
          <w:rFonts w:hint="eastAsia" w:ascii="宋体" w:hAnsi="宋体" w:cs="宋体"/>
          <w:color w:val="auto"/>
          <w:sz w:val="24"/>
          <w:highlight w:val="none"/>
        </w:rPr>
        <w:t>名称：北京市通州区于家务回族乡人民政府</w:t>
      </w:r>
    </w:p>
    <w:p w14:paraId="7D06B0ED">
      <w:pPr>
        <w:spacing w:line="360" w:lineRule="auto"/>
        <w:rPr>
          <w:rFonts w:ascii="宋体" w:hAnsi="宋体" w:cs="宋体"/>
          <w:color w:val="auto"/>
          <w:sz w:val="24"/>
          <w:highlight w:val="none"/>
        </w:rPr>
      </w:pPr>
      <w:r>
        <w:rPr>
          <w:rFonts w:hint="eastAsia" w:ascii="宋体" w:hAnsi="宋体" w:cs="宋体"/>
          <w:color w:val="auto"/>
          <w:sz w:val="24"/>
          <w:highlight w:val="none"/>
        </w:rPr>
        <w:t>地址：北京市通州区于家务回族乡于家务西里3号院</w:t>
      </w:r>
    </w:p>
    <w:p w14:paraId="789B545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关老师、</w:t>
      </w:r>
      <w:r>
        <w:rPr>
          <w:rFonts w:hint="eastAsia" w:ascii="宋体" w:hAnsi="宋体" w:cs="宋体"/>
          <w:color w:val="auto"/>
          <w:sz w:val="24"/>
          <w:highlight w:val="none"/>
        </w:rPr>
        <w:t>010-50973983</w:t>
      </w:r>
    </w:p>
    <w:p w14:paraId="6C1E2062">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2.采购代理机构信息</w:t>
      </w:r>
      <w:bookmarkEnd w:id="29"/>
      <w:bookmarkEnd w:id="30"/>
    </w:p>
    <w:p w14:paraId="74B0FDDD">
      <w:pPr>
        <w:spacing w:line="360" w:lineRule="auto"/>
        <w:rPr>
          <w:rFonts w:ascii="宋体" w:hAnsi="宋体" w:cs="宋体"/>
          <w:color w:val="auto"/>
          <w:sz w:val="24"/>
          <w:highlight w:val="none"/>
        </w:rPr>
      </w:pPr>
      <w:r>
        <w:rPr>
          <w:rFonts w:hint="eastAsia" w:ascii="宋体" w:hAnsi="宋体" w:cs="宋体"/>
          <w:color w:val="auto"/>
          <w:sz w:val="24"/>
          <w:highlight w:val="none"/>
        </w:rPr>
        <w:t>名称：北京环宇祥吉工程咨询有限公司</w:t>
      </w:r>
    </w:p>
    <w:p w14:paraId="7109FE24">
      <w:pPr>
        <w:spacing w:line="360" w:lineRule="auto"/>
        <w:rPr>
          <w:rFonts w:hAnsi="宋体"/>
          <w:color w:val="auto"/>
          <w:sz w:val="24"/>
          <w:highlight w:val="none"/>
        </w:rPr>
      </w:pPr>
      <w:r>
        <w:rPr>
          <w:rFonts w:hint="eastAsia" w:ascii="宋体" w:hAnsi="宋体" w:cs="宋体"/>
          <w:color w:val="auto"/>
          <w:sz w:val="24"/>
          <w:highlight w:val="none"/>
        </w:rPr>
        <w:t>地址：</w:t>
      </w:r>
      <w:r>
        <w:rPr>
          <w:rFonts w:hint="eastAsia" w:hAnsi="宋体"/>
          <w:color w:val="auto"/>
          <w:sz w:val="24"/>
          <w:highlight w:val="none"/>
        </w:rPr>
        <w:t>北京市丰台区和义文化产业园</w:t>
      </w:r>
      <w:r>
        <w:rPr>
          <w:rFonts w:hAnsi="宋体"/>
          <w:color w:val="auto"/>
          <w:sz w:val="24"/>
          <w:highlight w:val="none"/>
        </w:rPr>
        <w:t>B</w:t>
      </w:r>
      <w:r>
        <w:rPr>
          <w:rFonts w:hint="eastAsia" w:hAnsi="宋体"/>
          <w:color w:val="auto"/>
          <w:sz w:val="24"/>
          <w:highlight w:val="none"/>
        </w:rPr>
        <w:t>座一层会议室</w:t>
      </w:r>
    </w:p>
    <w:p w14:paraId="6A46D55C">
      <w:pPr>
        <w:spacing w:line="360" w:lineRule="auto"/>
        <w:rPr>
          <w:rFonts w:hint="default" w:ascii="宋体" w:hAnsi="宋体" w:eastAsia="宋体" w:cs="宋体"/>
          <w:color w:val="auto"/>
          <w:kern w:val="2"/>
          <w:sz w:val="24"/>
          <w:szCs w:val="20"/>
          <w:highlight w:val="none"/>
          <w:lang w:val="en-US" w:eastAsia="zh-CN" w:bidi="ar-SA"/>
        </w:rPr>
      </w:pPr>
      <w:r>
        <w:rPr>
          <w:rFonts w:hint="eastAsia" w:ascii="宋体" w:hAnsi="宋体" w:cs="宋体"/>
          <w:color w:val="auto"/>
          <w:sz w:val="24"/>
          <w:highlight w:val="none"/>
        </w:rPr>
        <w:t>联系方式：</w:t>
      </w:r>
      <w:bookmarkStart w:id="31" w:name="_Toc28359087"/>
      <w:bookmarkStart w:id="32" w:name="_Toc28359010"/>
      <w:r>
        <w:rPr>
          <w:rFonts w:hint="eastAsia" w:ascii="宋体" w:hAnsi="宋体" w:cs="宋体"/>
          <w:color w:val="auto"/>
          <w:kern w:val="2"/>
          <w:sz w:val="24"/>
          <w:szCs w:val="20"/>
          <w:highlight w:val="none"/>
          <w:lang w:val="en-US" w:eastAsia="zh-CN" w:bidi="ar-SA"/>
        </w:rPr>
        <w:t>13947060007</w:t>
      </w:r>
    </w:p>
    <w:p w14:paraId="046E601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3.项目联系方式</w:t>
      </w:r>
      <w:bookmarkEnd w:id="31"/>
      <w:bookmarkEnd w:id="32"/>
    </w:p>
    <w:p w14:paraId="1541E33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刘思言</w:t>
      </w:r>
    </w:p>
    <w:p w14:paraId="1CA8711B">
      <w:pPr>
        <w:pStyle w:val="25"/>
        <w:spacing w:line="360" w:lineRule="auto"/>
        <w:jc w:val="left"/>
        <w:rPr>
          <w:rFonts w:hAnsi="宋体" w:cs="宋体"/>
          <w:color w:val="auto"/>
          <w:sz w:val="24"/>
          <w:highlight w:val="none"/>
        </w:rPr>
      </w:pPr>
      <w:r>
        <w:rPr>
          <w:rFonts w:hAnsi="宋体" w:cs="宋体"/>
          <w:color w:val="auto"/>
          <w:sz w:val="24"/>
          <w:highlight w:val="none"/>
        </w:rPr>
        <w:t>联系方式：</w:t>
      </w:r>
      <w:r>
        <w:rPr>
          <w:rFonts w:hint="eastAsia" w:ascii="宋体" w:hAnsi="宋体" w:cs="宋体"/>
          <w:color w:val="auto"/>
          <w:kern w:val="2"/>
          <w:sz w:val="24"/>
          <w:szCs w:val="20"/>
          <w:highlight w:val="none"/>
          <w:lang w:val="en-US" w:eastAsia="zh-CN" w:bidi="ar-SA"/>
        </w:rPr>
        <w:t>13947060007</w:t>
      </w:r>
      <w:r>
        <w:rPr>
          <w:rFonts w:hAnsi="宋体" w:cs="宋体"/>
          <w:color w:val="auto"/>
          <w:sz w:val="24"/>
          <w:highlight w:val="none"/>
        </w:rPr>
        <w:br w:type="page"/>
      </w:r>
    </w:p>
    <w:p w14:paraId="7BF1B670">
      <w:pPr>
        <w:pStyle w:val="25"/>
        <w:spacing w:line="360" w:lineRule="auto"/>
        <w:jc w:val="center"/>
        <w:rPr>
          <w:rFonts w:hint="default" w:hAnsi="宋体" w:cs="宋体"/>
          <w:b/>
          <w:color w:val="auto"/>
          <w:sz w:val="32"/>
          <w:szCs w:val="32"/>
          <w:highlight w:val="none"/>
        </w:rPr>
      </w:pPr>
      <w:bookmarkStart w:id="33" w:name="_Toc264969275"/>
      <w:bookmarkStart w:id="34" w:name="_Toc305158928"/>
      <w:bookmarkStart w:id="35" w:name="_Toc353825548"/>
      <w:bookmarkStart w:id="36" w:name="_Toc150774783"/>
      <w:bookmarkStart w:id="37" w:name="_Toc195842950"/>
      <w:bookmarkStart w:id="38" w:name="_Toc32608"/>
      <w:bookmarkStart w:id="39" w:name="_Toc265228423"/>
      <w:bookmarkStart w:id="40" w:name="_Toc226965856"/>
      <w:bookmarkStart w:id="41" w:name="_Toc127161488"/>
      <w:bookmarkStart w:id="42" w:name="_Toc353873938"/>
      <w:bookmarkStart w:id="43" w:name="_Toc127151777"/>
      <w:bookmarkStart w:id="44" w:name="_Toc305158854"/>
      <w:bookmarkStart w:id="45" w:name="_Toc512937850"/>
      <w:r>
        <w:rPr>
          <w:rFonts w:hAnsi="宋体" w:cs="宋体"/>
          <w:b/>
          <w:color w:val="auto"/>
          <w:sz w:val="36"/>
          <w:szCs w:val="36"/>
          <w:highlight w:val="none"/>
        </w:rPr>
        <w:t>第二章   投标人须知</w:t>
      </w:r>
      <w:bookmarkEnd w:id="33"/>
      <w:bookmarkEnd w:id="34"/>
      <w:bookmarkEnd w:id="35"/>
      <w:bookmarkEnd w:id="36"/>
      <w:bookmarkEnd w:id="37"/>
      <w:bookmarkEnd w:id="38"/>
      <w:bookmarkEnd w:id="39"/>
      <w:bookmarkEnd w:id="40"/>
      <w:bookmarkEnd w:id="41"/>
      <w:bookmarkEnd w:id="42"/>
      <w:bookmarkEnd w:id="43"/>
      <w:bookmarkEnd w:id="44"/>
      <w:bookmarkEnd w:id="45"/>
    </w:p>
    <w:p w14:paraId="7C1CA453">
      <w:pPr>
        <w:pStyle w:val="253"/>
        <w:ind w:firstLine="562"/>
        <w:jc w:val="center"/>
        <w:rPr>
          <w:rFonts w:ascii="宋体" w:hAnsi="宋体" w:cs="宋体"/>
          <w:b/>
          <w:color w:val="auto"/>
          <w:sz w:val="28"/>
          <w:highlight w:val="none"/>
        </w:rPr>
      </w:pPr>
      <w:bookmarkStart w:id="46" w:name="_Toc226337215"/>
      <w:bookmarkStart w:id="47" w:name="_Toc151193689"/>
      <w:bookmarkStart w:id="48" w:name="_Toc164608633"/>
      <w:bookmarkStart w:id="49" w:name="_Toc226965792"/>
      <w:bookmarkStart w:id="50" w:name="_Toc151193907"/>
      <w:bookmarkStart w:id="51" w:name="_Toc127151519"/>
      <w:bookmarkStart w:id="52" w:name="_Toc520356144"/>
      <w:bookmarkStart w:id="53" w:name="_Toc127161433"/>
      <w:bookmarkStart w:id="54" w:name="_Toc151193833"/>
      <w:bookmarkStart w:id="55" w:name="_Toc149720812"/>
      <w:bookmarkStart w:id="56" w:name="_Toc150774619"/>
      <w:bookmarkStart w:id="57" w:name="_Toc226965709"/>
      <w:bookmarkStart w:id="58" w:name="_Toc127151720"/>
      <w:bookmarkStart w:id="59" w:name="_Toc151193761"/>
      <w:bookmarkStart w:id="60" w:name="_Toc150774724"/>
      <w:bookmarkStart w:id="61" w:name="_Toc142311021"/>
      <w:bookmarkStart w:id="62" w:name="_Toc150509270"/>
      <w:bookmarkStart w:id="63" w:name="_Toc151190146"/>
      <w:bookmarkStart w:id="64" w:name="_Toc164351613"/>
      <w:bookmarkStart w:id="65" w:name="_Toc226309763"/>
      <w:bookmarkStart w:id="66" w:name="_Toc151193617"/>
      <w:bookmarkStart w:id="67" w:name="_Toc150480757"/>
      <w:bookmarkStart w:id="68" w:name="_Toc164608788"/>
      <w:bookmarkStart w:id="69" w:name="_Toc195842884"/>
      <w:bookmarkStart w:id="70" w:name="_Toc164229360"/>
      <w:bookmarkStart w:id="71" w:name="_Toc164229214"/>
      <w:r>
        <w:rPr>
          <w:rFonts w:hint="eastAsia" w:ascii="宋体" w:hAnsi="宋体" w:cs="宋体"/>
          <w:b/>
          <w:color w:val="auto"/>
          <w:sz w:val="28"/>
          <w:highlight w:val="none"/>
        </w:rPr>
        <w:t>投标人须知资料表</w:t>
      </w:r>
    </w:p>
    <w:p w14:paraId="1FF32F50">
      <w:pPr>
        <w:jc w:val="center"/>
        <w:rPr>
          <w:rFonts w:ascii="宋体" w:hAnsi="宋体" w:cs="宋体"/>
          <w:b/>
          <w:color w:val="auto"/>
          <w:sz w:val="28"/>
          <w:szCs w:val="28"/>
          <w:highlight w:val="none"/>
        </w:rPr>
      </w:pPr>
    </w:p>
    <w:p w14:paraId="29FB731A">
      <w:pPr>
        <w:spacing w:line="360" w:lineRule="auto"/>
        <w:ind w:firstLine="480"/>
        <w:rPr>
          <w:color w:val="auto"/>
          <w:sz w:val="24"/>
          <w:highlight w:val="none"/>
        </w:rPr>
      </w:pPr>
      <w:r>
        <w:rPr>
          <w:color w:val="auto"/>
          <w:sz w:val="24"/>
          <w:highlight w:val="none"/>
        </w:rPr>
        <w:t>本表是对投标人须知的具体补充和修改，如有矛盾，均以本资料表为准。标记“</w:t>
      </w:r>
      <w:r>
        <w:rPr>
          <w:b/>
          <w:color w:val="auto"/>
          <w:sz w:val="24"/>
          <w:highlight w:val="none"/>
        </w:rPr>
        <w:t>■</w:t>
      </w:r>
      <w:r>
        <w:rPr>
          <w:color w:val="auto"/>
          <w:sz w:val="24"/>
          <w:highlight w:val="none"/>
        </w:rPr>
        <w:t>”的选项意为适用于本项目，标记“□”的选项意为不适用于本项目。</w:t>
      </w:r>
    </w:p>
    <w:tbl>
      <w:tblPr>
        <w:tblStyle w:val="45"/>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3B96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blHeader/>
          <w:jc w:val="center"/>
        </w:trPr>
        <w:tc>
          <w:tcPr>
            <w:tcW w:w="988" w:type="dxa"/>
            <w:vAlign w:val="center"/>
          </w:tcPr>
          <w:p w14:paraId="7E37A0A5">
            <w:pPr>
              <w:jc w:val="center"/>
              <w:rPr>
                <w:b/>
                <w:bCs/>
                <w:color w:val="auto"/>
                <w:sz w:val="24"/>
                <w:highlight w:val="none"/>
              </w:rPr>
            </w:pPr>
            <w:r>
              <w:rPr>
                <w:b/>
                <w:color w:val="auto"/>
                <w:sz w:val="24"/>
                <w:highlight w:val="none"/>
              </w:rPr>
              <w:t>条款号</w:t>
            </w:r>
          </w:p>
        </w:tc>
        <w:tc>
          <w:tcPr>
            <w:tcW w:w="1701" w:type="dxa"/>
            <w:vAlign w:val="center"/>
          </w:tcPr>
          <w:p w14:paraId="6CD0503A">
            <w:pPr>
              <w:jc w:val="center"/>
              <w:rPr>
                <w:b/>
                <w:bCs/>
                <w:color w:val="auto"/>
                <w:sz w:val="24"/>
                <w:highlight w:val="none"/>
              </w:rPr>
            </w:pPr>
            <w:r>
              <w:rPr>
                <w:b/>
                <w:bCs/>
                <w:color w:val="auto"/>
                <w:sz w:val="24"/>
                <w:highlight w:val="none"/>
              </w:rPr>
              <w:t>条目</w:t>
            </w:r>
          </w:p>
        </w:tc>
        <w:tc>
          <w:tcPr>
            <w:tcW w:w="7540" w:type="dxa"/>
            <w:vAlign w:val="center"/>
          </w:tcPr>
          <w:p w14:paraId="1C355F2E">
            <w:pPr>
              <w:jc w:val="center"/>
              <w:rPr>
                <w:b/>
                <w:bCs/>
                <w:color w:val="auto"/>
                <w:sz w:val="24"/>
                <w:highlight w:val="none"/>
              </w:rPr>
            </w:pPr>
            <w:r>
              <w:rPr>
                <w:b/>
                <w:bCs/>
                <w:color w:val="auto"/>
                <w:sz w:val="24"/>
                <w:highlight w:val="none"/>
              </w:rPr>
              <w:t>内容</w:t>
            </w:r>
          </w:p>
        </w:tc>
      </w:tr>
      <w:tr w14:paraId="24F7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71B8A32">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2.2</w:t>
            </w:r>
          </w:p>
        </w:tc>
        <w:tc>
          <w:tcPr>
            <w:tcW w:w="1701" w:type="dxa"/>
            <w:vAlign w:val="center"/>
          </w:tcPr>
          <w:p w14:paraId="6B41647A">
            <w:pPr>
              <w:jc w:val="center"/>
              <w:rPr>
                <w:color w:val="auto"/>
                <w:sz w:val="24"/>
                <w:highlight w:val="none"/>
              </w:rPr>
            </w:pPr>
            <w:r>
              <w:rPr>
                <w:color w:val="auto"/>
                <w:sz w:val="24"/>
                <w:highlight w:val="none"/>
              </w:rPr>
              <w:t>项目属性</w:t>
            </w:r>
          </w:p>
        </w:tc>
        <w:tc>
          <w:tcPr>
            <w:tcW w:w="7540" w:type="dxa"/>
            <w:vAlign w:val="center"/>
          </w:tcPr>
          <w:p w14:paraId="40B2738A">
            <w:pPr>
              <w:jc w:val="left"/>
              <w:rPr>
                <w:rFonts w:ascii="宋体" w:hAnsi="宋体"/>
                <w:color w:val="auto"/>
                <w:sz w:val="24"/>
                <w:highlight w:val="none"/>
              </w:rPr>
            </w:pPr>
            <w:r>
              <w:rPr>
                <w:rFonts w:ascii="宋体" w:hAnsi="宋体"/>
                <w:color w:val="auto"/>
                <w:sz w:val="24"/>
                <w:highlight w:val="none"/>
              </w:rPr>
              <w:t>项目属性：</w:t>
            </w:r>
          </w:p>
          <w:p w14:paraId="509AA10F">
            <w:pPr>
              <w:jc w:val="left"/>
              <w:rPr>
                <w:rFonts w:ascii="宋体" w:hAnsi="宋体"/>
                <w:color w:val="auto"/>
                <w:sz w:val="24"/>
                <w:highlight w:val="none"/>
              </w:rPr>
            </w:pPr>
            <w:r>
              <w:rPr>
                <w:rFonts w:ascii="宋体" w:hAnsi="宋体"/>
                <w:b/>
                <w:color w:val="auto"/>
                <w:sz w:val="24"/>
                <w:highlight w:val="none"/>
              </w:rPr>
              <w:t>■</w:t>
            </w:r>
            <w:r>
              <w:rPr>
                <w:rFonts w:ascii="宋体" w:hAnsi="宋体"/>
                <w:color w:val="auto"/>
                <w:sz w:val="24"/>
                <w:highlight w:val="none"/>
              </w:rPr>
              <w:t>服务</w:t>
            </w:r>
          </w:p>
          <w:p w14:paraId="7207AD00">
            <w:pPr>
              <w:jc w:val="left"/>
              <w:rPr>
                <w:color w:val="auto"/>
                <w:sz w:val="24"/>
                <w:highlight w:val="none"/>
                <w:u w:val="single"/>
              </w:rPr>
            </w:pPr>
            <w:r>
              <w:rPr>
                <w:rFonts w:ascii="宋体" w:hAnsi="宋体"/>
                <w:color w:val="auto"/>
                <w:sz w:val="24"/>
                <w:highlight w:val="none"/>
              </w:rPr>
              <w:t>□货物</w:t>
            </w:r>
          </w:p>
        </w:tc>
      </w:tr>
      <w:tr w14:paraId="78CC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05C4DE2">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2.3</w:t>
            </w:r>
          </w:p>
        </w:tc>
        <w:tc>
          <w:tcPr>
            <w:tcW w:w="1701" w:type="dxa"/>
            <w:vAlign w:val="center"/>
          </w:tcPr>
          <w:p w14:paraId="601E8263">
            <w:pPr>
              <w:jc w:val="center"/>
              <w:rPr>
                <w:color w:val="auto"/>
                <w:sz w:val="24"/>
                <w:highlight w:val="none"/>
              </w:rPr>
            </w:pPr>
            <w:r>
              <w:rPr>
                <w:color w:val="auto"/>
                <w:sz w:val="24"/>
                <w:highlight w:val="none"/>
              </w:rPr>
              <w:t>科研仪器设备</w:t>
            </w:r>
          </w:p>
        </w:tc>
        <w:tc>
          <w:tcPr>
            <w:tcW w:w="7540" w:type="dxa"/>
            <w:vAlign w:val="center"/>
          </w:tcPr>
          <w:p w14:paraId="6617FBBD">
            <w:pPr>
              <w:jc w:val="left"/>
              <w:rPr>
                <w:color w:val="auto"/>
                <w:sz w:val="24"/>
                <w:highlight w:val="none"/>
              </w:rPr>
            </w:pPr>
            <w:r>
              <w:rPr>
                <w:color w:val="auto"/>
                <w:sz w:val="24"/>
                <w:highlight w:val="none"/>
              </w:rPr>
              <w:t>是否属于科研仪器设备采购项目：</w:t>
            </w:r>
          </w:p>
          <w:p w14:paraId="28B0E44F">
            <w:pPr>
              <w:jc w:val="left"/>
              <w:rPr>
                <w:color w:val="auto"/>
                <w:sz w:val="24"/>
                <w:highlight w:val="none"/>
              </w:rPr>
            </w:pPr>
            <w:r>
              <w:rPr>
                <w:rFonts w:hint="eastAsia"/>
                <w:color w:val="auto"/>
                <w:sz w:val="24"/>
                <w:highlight w:val="none"/>
              </w:rPr>
              <w:t>□</w:t>
            </w:r>
            <w:r>
              <w:rPr>
                <w:color w:val="auto"/>
                <w:sz w:val="24"/>
                <w:highlight w:val="none"/>
              </w:rPr>
              <w:t>是</w:t>
            </w:r>
          </w:p>
          <w:p w14:paraId="15A7FEFD">
            <w:pPr>
              <w:jc w:val="left"/>
              <w:rPr>
                <w:color w:val="auto"/>
                <w:sz w:val="24"/>
                <w:highlight w:val="none"/>
              </w:rPr>
            </w:pPr>
            <w:r>
              <w:rPr>
                <w:rFonts w:hint="eastAsia"/>
                <w:color w:val="auto"/>
                <w:sz w:val="24"/>
                <w:highlight w:val="none"/>
              </w:rPr>
              <w:t>■</w:t>
            </w:r>
            <w:r>
              <w:rPr>
                <w:color w:val="auto"/>
                <w:sz w:val="24"/>
                <w:highlight w:val="none"/>
              </w:rPr>
              <w:t>否</w:t>
            </w:r>
          </w:p>
        </w:tc>
      </w:tr>
      <w:tr w14:paraId="65CFD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4B94692">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2.4</w:t>
            </w:r>
          </w:p>
        </w:tc>
        <w:tc>
          <w:tcPr>
            <w:tcW w:w="1701" w:type="dxa"/>
            <w:vAlign w:val="center"/>
          </w:tcPr>
          <w:p w14:paraId="1711004B">
            <w:pPr>
              <w:jc w:val="center"/>
              <w:rPr>
                <w:color w:val="auto"/>
                <w:sz w:val="24"/>
                <w:highlight w:val="none"/>
              </w:rPr>
            </w:pPr>
            <w:r>
              <w:rPr>
                <w:color w:val="auto"/>
                <w:sz w:val="24"/>
                <w:highlight w:val="none"/>
              </w:rPr>
              <w:t>核心产品</w:t>
            </w:r>
          </w:p>
        </w:tc>
        <w:tc>
          <w:tcPr>
            <w:tcW w:w="7540" w:type="dxa"/>
            <w:vAlign w:val="center"/>
          </w:tcPr>
          <w:p w14:paraId="4170F269">
            <w:pPr>
              <w:pStyle w:val="25"/>
              <w:adjustRightInd w:val="0"/>
              <w:snapToGrid w:val="0"/>
              <w:rPr>
                <w:rFonts w:hint="default"/>
                <w:color w:val="auto"/>
                <w:sz w:val="24"/>
                <w:highlight w:val="none"/>
              </w:rPr>
            </w:pPr>
            <w:r>
              <w:rPr>
                <w:color w:val="auto"/>
                <w:sz w:val="24"/>
                <w:highlight w:val="none"/>
              </w:rPr>
              <w:t>■关于核心产品本项目不适用。</w:t>
            </w:r>
          </w:p>
          <w:p w14:paraId="569613B8">
            <w:pPr>
              <w:pStyle w:val="25"/>
              <w:adjustRightInd w:val="0"/>
              <w:snapToGrid w:val="0"/>
              <w:rPr>
                <w:rFonts w:hint="default"/>
                <w:color w:val="auto"/>
                <w:sz w:val="24"/>
                <w:highlight w:val="none"/>
              </w:rPr>
            </w:pPr>
            <w:r>
              <w:rPr>
                <w:color w:val="auto"/>
                <w:sz w:val="24"/>
                <w:highlight w:val="none"/>
              </w:rPr>
              <w:t>□本项目为单一产品采购项目。</w:t>
            </w:r>
          </w:p>
          <w:p w14:paraId="5BC9012E">
            <w:pPr>
              <w:jc w:val="left"/>
              <w:rPr>
                <w:color w:val="auto"/>
                <w:sz w:val="24"/>
                <w:highlight w:val="none"/>
              </w:rPr>
            </w:pPr>
            <w:r>
              <w:rPr>
                <w:rFonts w:hint="eastAsia"/>
                <w:color w:val="auto"/>
                <w:sz w:val="24"/>
                <w:highlight w:val="none"/>
              </w:rPr>
              <w:t>□本项目    包为非单一产品采购项目，核心产品为：      。</w:t>
            </w:r>
          </w:p>
        </w:tc>
      </w:tr>
      <w:tr w14:paraId="3D1F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A1C30C4">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3.1</w:t>
            </w:r>
          </w:p>
        </w:tc>
        <w:tc>
          <w:tcPr>
            <w:tcW w:w="1701" w:type="dxa"/>
            <w:vAlign w:val="center"/>
          </w:tcPr>
          <w:p w14:paraId="0AB6B108">
            <w:pPr>
              <w:jc w:val="center"/>
              <w:rPr>
                <w:color w:val="auto"/>
                <w:sz w:val="24"/>
                <w:highlight w:val="none"/>
              </w:rPr>
            </w:pPr>
            <w:r>
              <w:rPr>
                <w:color w:val="auto"/>
                <w:sz w:val="24"/>
                <w:highlight w:val="none"/>
              </w:rPr>
              <w:t>现场考察</w:t>
            </w:r>
          </w:p>
        </w:tc>
        <w:tc>
          <w:tcPr>
            <w:tcW w:w="7540" w:type="dxa"/>
          </w:tcPr>
          <w:p w14:paraId="0DB17ECB">
            <w:pPr>
              <w:pStyle w:val="252"/>
              <w:spacing w:line="321" w:lineRule="exact"/>
              <w:rPr>
                <w:color w:val="auto"/>
                <w:sz w:val="24"/>
                <w:highlight w:val="none"/>
                <w:lang w:eastAsia="zh-CN"/>
              </w:rPr>
            </w:pPr>
            <w:r>
              <w:rPr>
                <w:color w:val="auto"/>
                <w:sz w:val="24"/>
                <w:highlight w:val="none"/>
                <w:lang w:eastAsia="zh-CN"/>
              </w:rPr>
              <w:t>■</w:t>
            </w:r>
            <w:r>
              <w:rPr>
                <w:rFonts w:hint="eastAsia"/>
                <w:color w:val="auto"/>
                <w:sz w:val="24"/>
                <w:highlight w:val="none"/>
                <w:lang w:eastAsia="zh-CN"/>
              </w:rPr>
              <w:t>不组织</w:t>
            </w:r>
          </w:p>
          <w:p w14:paraId="00F920B7">
            <w:pPr>
              <w:pStyle w:val="252"/>
              <w:spacing w:line="306" w:lineRule="exact"/>
              <w:rPr>
                <w:color w:val="auto"/>
                <w:sz w:val="24"/>
                <w:highlight w:val="none"/>
                <w:lang w:eastAsia="zh-CN"/>
              </w:rPr>
            </w:pPr>
            <w:r>
              <w:rPr>
                <w:rFonts w:hint="eastAsia"/>
                <w:color w:val="auto"/>
                <w:sz w:val="24"/>
                <w:highlight w:val="none"/>
                <w:lang w:eastAsia="zh-CN"/>
              </w:rPr>
              <w:t>□组织，考察时间：</w:t>
            </w:r>
            <w:r>
              <w:rPr>
                <w:rFonts w:hint="eastAsia"/>
                <w:color w:val="auto"/>
                <w:spacing w:val="120"/>
                <w:sz w:val="24"/>
                <w:highlight w:val="none"/>
                <w:u w:val="single"/>
                <w:lang w:eastAsia="zh-CN"/>
              </w:rPr>
              <w:t xml:space="preserve"> </w:t>
            </w:r>
            <w:r>
              <w:rPr>
                <w:rFonts w:hint="eastAsia"/>
                <w:color w:val="auto"/>
                <w:sz w:val="24"/>
                <w:highlight w:val="none"/>
                <w:lang w:eastAsia="zh-CN"/>
              </w:rPr>
              <w:t>年_月_日_点_分</w:t>
            </w:r>
          </w:p>
          <w:p w14:paraId="2F5E9B5F">
            <w:pPr>
              <w:pStyle w:val="252"/>
              <w:tabs>
                <w:tab w:val="left" w:pos="2747"/>
              </w:tabs>
              <w:spacing w:before="3" w:line="292" w:lineRule="exact"/>
              <w:rPr>
                <w:bCs/>
                <w:color w:val="auto"/>
                <w:sz w:val="24"/>
                <w:highlight w:val="none"/>
              </w:rPr>
            </w:pPr>
            <w:r>
              <w:rPr>
                <w:rFonts w:hint="eastAsia"/>
                <w:color w:val="auto"/>
                <w:sz w:val="24"/>
                <w:highlight w:val="none"/>
              </w:rPr>
              <w:t>考察地点：</w:t>
            </w:r>
            <w:r>
              <w:rPr>
                <w:rFonts w:hint="eastAsia"/>
                <w:color w:val="auto"/>
                <w:sz w:val="24"/>
                <w:highlight w:val="none"/>
                <w:u w:val="single"/>
              </w:rPr>
              <w:tab/>
            </w:r>
            <w:r>
              <w:rPr>
                <w:rFonts w:hint="eastAsia"/>
                <w:color w:val="auto"/>
                <w:sz w:val="24"/>
                <w:highlight w:val="none"/>
              </w:rPr>
              <w:t>。</w:t>
            </w:r>
          </w:p>
        </w:tc>
      </w:tr>
      <w:tr w14:paraId="7DE9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07C668A0">
            <w:pPr>
              <w:pStyle w:val="25"/>
              <w:adjustRightInd w:val="0"/>
              <w:snapToGrid w:val="0"/>
              <w:jc w:val="center"/>
              <w:rPr>
                <w:rFonts w:hint="default" w:ascii="Times New Roman" w:hAnsi="Times New Roman"/>
                <w:color w:val="auto"/>
                <w:sz w:val="24"/>
                <w:szCs w:val="24"/>
                <w:highlight w:val="none"/>
              </w:rPr>
            </w:pPr>
          </w:p>
        </w:tc>
        <w:tc>
          <w:tcPr>
            <w:tcW w:w="1701" w:type="dxa"/>
            <w:vAlign w:val="center"/>
          </w:tcPr>
          <w:p w14:paraId="5292BC24">
            <w:pPr>
              <w:jc w:val="center"/>
              <w:rPr>
                <w:color w:val="auto"/>
                <w:sz w:val="24"/>
                <w:highlight w:val="none"/>
              </w:rPr>
            </w:pPr>
            <w:r>
              <w:rPr>
                <w:color w:val="auto"/>
                <w:sz w:val="24"/>
                <w:highlight w:val="none"/>
              </w:rPr>
              <w:t>开标前答疑会</w:t>
            </w:r>
          </w:p>
        </w:tc>
        <w:tc>
          <w:tcPr>
            <w:tcW w:w="7540" w:type="dxa"/>
          </w:tcPr>
          <w:p w14:paraId="7B68C99D">
            <w:pPr>
              <w:pStyle w:val="252"/>
              <w:spacing w:line="321" w:lineRule="exact"/>
              <w:rPr>
                <w:color w:val="auto"/>
                <w:sz w:val="24"/>
                <w:highlight w:val="none"/>
                <w:lang w:eastAsia="zh-CN"/>
              </w:rPr>
            </w:pPr>
            <w:r>
              <w:rPr>
                <w:color w:val="auto"/>
                <w:sz w:val="24"/>
                <w:highlight w:val="none"/>
                <w:lang w:eastAsia="zh-CN"/>
              </w:rPr>
              <w:t>■</w:t>
            </w:r>
            <w:r>
              <w:rPr>
                <w:rFonts w:hint="eastAsia"/>
                <w:color w:val="auto"/>
                <w:sz w:val="24"/>
                <w:highlight w:val="none"/>
                <w:lang w:eastAsia="zh-CN"/>
              </w:rPr>
              <w:t>不召开</w:t>
            </w:r>
          </w:p>
          <w:p w14:paraId="3FF4567F">
            <w:pPr>
              <w:pStyle w:val="252"/>
              <w:spacing w:line="306" w:lineRule="exact"/>
              <w:rPr>
                <w:color w:val="auto"/>
                <w:sz w:val="24"/>
                <w:highlight w:val="none"/>
                <w:lang w:eastAsia="zh-CN"/>
              </w:rPr>
            </w:pPr>
            <w:r>
              <w:rPr>
                <w:rFonts w:hint="eastAsia"/>
                <w:color w:val="auto"/>
                <w:sz w:val="24"/>
                <w:highlight w:val="none"/>
                <w:lang w:eastAsia="zh-CN"/>
              </w:rPr>
              <w:t>□召开，召开时间：</w:t>
            </w:r>
            <w:r>
              <w:rPr>
                <w:rFonts w:hint="eastAsia"/>
                <w:color w:val="auto"/>
                <w:spacing w:val="120"/>
                <w:sz w:val="24"/>
                <w:highlight w:val="none"/>
                <w:u w:val="single"/>
                <w:lang w:eastAsia="zh-CN"/>
              </w:rPr>
              <w:t xml:space="preserve"> </w:t>
            </w:r>
            <w:r>
              <w:rPr>
                <w:rFonts w:hint="eastAsia"/>
                <w:color w:val="auto"/>
                <w:sz w:val="24"/>
                <w:highlight w:val="none"/>
                <w:lang w:eastAsia="zh-CN"/>
              </w:rPr>
              <w:t>年_月_日_点_分</w:t>
            </w:r>
          </w:p>
          <w:p w14:paraId="0B532832">
            <w:pPr>
              <w:pStyle w:val="252"/>
              <w:tabs>
                <w:tab w:val="left" w:pos="2747"/>
              </w:tabs>
              <w:spacing w:before="3" w:line="292" w:lineRule="exact"/>
              <w:rPr>
                <w:color w:val="auto"/>
                <w:sz w:val="24"/>
                <w:highlight w:val="none"/>
              </w:rPr>
            </w:pPr>
            <w:r>
              <w:rPr>
                <w:rFonts w:hint="eastAsia"/>
                <w:color w:val="auto"/>
                <w:sz w:val="24"/>
                <w:highlight w:val="none"/>
              </w:rPr>
              <w:t>召开地点：</w:t>
            </w:r>
            <w:r>
              <w:rPr>
                <w:rFonts w:hint="eastAsia"/>
                <w:color w:val="auto"/>
                <w:sz w:val="24"/>
                <w:highlight w:val="none"/>
                <w:u w:val="single"/>
              </w:rPr>
              <w:tab/>
            </w:r>
            <w:r>
              <w:rPr>
                <w:rFonts w:hint="eastAsia"/>
                <w:color w:val="auto"/>
                <w:sz w:val="24"/>
                <w:highlight w:val="none"/>
              </w:rPr>
              <w:t>。</w:t>
            </w:r>
          </w:p>
        </w:tc>
      </w:tr>
      <w:tr w14:paraId="7033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D8525C7">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4.1</w:t>
            </w:r>
          </w:p>
        </w:tc>
        <w:tc>
          <w:tcPr>
            <w:tcW w:w="1701" w:type="dxa"/>
            <w:vAlign w:val="center"/>
          </w:tcPr>
          <w:p w14:paraId="0E9AD98E">
            <w:pPr>
              <w:jc w:val="center"/>
              <w:rPr>
                <w:color w:val="auto"/>
                <w:sz w:val="24"/>
                <w:highlight w:val="none"/>
              </w:rPr>
            </w:pPr>
            <w:r>
              <w:rPr>
                <w:color w:val="auto"/>
                <w:sz w:val="24"/>
                <w:highlight w:val="none"/>
              </w:rPr>
              <w:t>样品</w:t>
            </w:r>
          </w:p>
        </w:tc>
        <w:tc>
          <w:tcPr>
            <w:tcW w:w="7540" w:type="dxa"/>
            <w:vAlign w:val="center"/>
          </w:tcPr>
          <w:p w14:paraId="26B1692E">
            <w:pPr>
              <w:jc w:val="left"/>
              <w:rPr>
                <w:color w:val="auto"/>
                <w:sz w:val="24"/>
                <w:highlight w:val="none"/>
              </w:rPr>
            </w:pPr>
            <w:r>
              <w:rPr>
                <w:color w:val="auto"/>
                <w:sz w:val="24"/>
                <w:highlight w:val="none"/>
              </w:rPr>
              <w:t>投标样品递交：</w:t>
            </w:r>
          </w:p>
          <w:p w14:paraId="61E39B2D">
            <w:pPr>
              <w:jc w:val="left"/>
              <w:rPr>
                <w:color w:val="auto"/>
                <w:sz w:val="24"/>
                <w:highlight w:val="none"/>
              </w:rPr>
            </w:pPr>
            <w:r>
              <w:rPr>
                <w:rFonts w:hint="eastAsia"/>
                <w:color w:val="auto"/>
                <w:sz w:val="24"/>
                <w:highlight w:val="none"/>
              </w:rPr>
              <w:t>■</w:t>
            </w:r>
            <w:r>
              <w:rPr>
                <w:color w:val="auto"/>
                <w:sz w:val="24"/>
                <w:highlight w:val="none"/>
              </w:rPr>
              <w:t>不需要</w:t>
            </w:r>
          </w:p>
          <w:p w14:paraId="5E1346A8">
            <w:pPr>
              <w:jc w:val="left"/>
              <w:rPr>
                <w:color w:val="auto"/>
                <w:sz w:val="24"/>
                <w:highlight w:val="none"/>
              </w:rPr>
            </w:pPr>
            <w:r>
              <w:rPr>
                <w:rFonts w:hint="eastAsia"/>
                <w:color w:val="auto"/>
                <w:sz w:val="24"/>
                <w:highlight w:val="none"/>
              </w:rPr>
              <w:t>□</w:t>
            </w:r>
            <w:r>
              <w:rPr>
                <w:color w:val="auto"/>
                <w:sz w:val="24"/>
                <w:highlight w:val="none"/>
              </w:rPr>
              <w:t>需要，具体要求如下：</w:t>
            </w:r>
          </w:p>
          <w:p w14:paraId="5091A1BC">
            <w:pPr>
              <w:jc w:val="left"/>
              <w:rPr>
                <w:color w:val="auto"/>
                <w:sz w:val="24"/>
                <w:highlight w:val="none"/>
                <w:u w:val="single"/>
              </w:rPr>
            </w:pPr>
            <w:r>
              <w:rPr>
                <w:color w:val="auto"/>
                <w:sz w:val="24"/>
                <w:highlight w:val="none"/>
              </w:rPr>
              <w:t>（1）样品制作的标准和要求：/；</w:t>
            </w:r>
          </w:p>
          <w:p w14:paraId="7EFD182C">
            <w:pPr>
              <w:jc w:val="left"/>
              <w:rPr>
                <w:color w:val="auto"/>
                <w:sz w:val="24"/>
                <w:highlight w:val="none"/>
              </w:rPr>
            </w:pPr>
            <w:r>
              <w:rPr>
                <w:color w:val="auto"/>
                <w:sz w:val="24"/>
                <w:highlight w:val="none"/>
              </w:rPr>
              <w:t>（2）是否需要随样品提交相关检测报告：</w:t>
            </w:r>
          </w:p>
          <w:p w14:paraId="001CC903">
            <w:pPr>
              <w:ind w:firstLine="600" w:firstLineChars="250"/>
              <w:jc w:val="left"/>
              <w:rPr>
                <w:color w:val="auto"/>
                <w:sz w:val="24"/>
                <w:highlight w:val="none"/>
              </w:rPr>
            </w:pPr>
            <w:r>
              <w:rPr>
                <w:color w:val="auto"/>
                <w:sz w:val="24"/>
                <w:highlight w:val="none"/>
              </w:rPr>
              <w:t>□不需要</w:t>
            </w:r>
          </w:p>
          <w:p w14:paraId="3F55343D">
            <w:pPr>
              <w:ind w:firstLine="600" w:firstLineChars="250"/>
              <w:jc w:val="left"/>
              <w:rPr>
                <w:color w:val="auto"/>
                <w:sz w:val="24"/>
                <w:highlight w:val="none"/>
              </w:rPr>
            </w:pPr>
            <w:r>
              <w:rPr>
                <w:color w:val="auto"/>
                <w:sz w:val="24"/>
                <w:highlight w:val="none"/>
              </w:rPr>
              <w:t>□需要</w:t>
            </w:r>
          </w:p>
          <w:p w14:paraId="54B6B160">
            <w:pPr>
              <w:jc w:val="left"/>
              <w:rPr>
                <w:color w:val="auto"/>
                <w:sz w:val="24"/>
                <w:highlight w:val="none"/>
              </w:rPr>
            </w:pPr>
            <w:r>
              <w:rPr>
                <w:color w:val="auto"/>
                <w:sz w:val="24"/>
                <w:highlight w:val="none"/>
              </w:rPr>
              <w:t>（3）样品递交要求：/；</w:t>
            </w:r>
          </w:p>
          <w:p w14:paraId="6C6EF846">
            <w:pPr>
              <w:jc w:val="left"/>
              <w:rPr>
                <w:color w:val="auto"/>
                <w:sz w:val="24"/>
                <w:highlight w:val="none"/>
              </w:rPr>
            </w:pPr>
            <w:r>
              <w:rPr>
                <w:color w:val="auto"/>
                <w:sz w:val="24"/>
                <w:highlight w:val="none"/>
              </w:rPr>
              <w:t>（4）未中标人样品退还：/；</w:t>
            </w:r>
          </w:p>
          <w:p w14:paraId="57E8AD95">
            <w:pPr>
              <w:jc w:val="left"/>
              <w:rPr>
                <w:color w:val="auto"/>
                <w:sz w:val="24"/>
                <w:highlight w:val="none"/>
                <w:u w:val="single"/>
              </w:rPr>
            </w:pPr>
            <w:r>
              <w:rPr>
                <w:color w:val="auto"/>
                <w:sz w:val="24"/>
                <w:highlight w:val="none"/>
              </w:rPr>
              <w:t>（5）中标人样品保管、封存及退还：/；</w:t>
            </w:r>
          </w:p>
          <w:p w14:paraId="391B9BCE">
            <w:pPr>
              <w:jc w:val="left"/>
              <w:rPr>
                <w:color w:val="auto"/>
                <w:sz w:val="24"/>
                <w:highlight w:val="none"/>
              </w:rPr>
            </w:pPr>
            <w:r>
              <w:rPr>
                <w:color w:val="auto"/>
                <w:sz w:val="24"/>
                <w:highlight w:val="none"/>
              </w:rPr>
              <w:t>（6）其他要求（如有）：/。</w:t>
            </w:r>
          </w:p>
        </w:tc>
      </w:tr>
      <w:tr w14:paraId="71C7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88" w:type="dxa"/>
            <w:vAlign w:val="center"/>
          </w:tcPr>
          <w:p w14:paraId="2E6C0AFD">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5.2.5</w:t>
            </w:r>
          </w:p>
        </w:tc>
        <w:tc>
          <w:tcPr>
            <w:tcW w:w="1701" w:type="dxa"/>
            <w:vAlign w:val="center"/>
          </w:tcPr>
          <w:p w14:paraId="475A09F1">
            <w:pPr>
              <w:jc w:val="center"/>
              <w:rPr>
                <w:color w:val="auto"/>
                <w:sz w:val="24"/>
                <w:highlight w:val="none"/>
              </w:rPr>
            </w:pPr>
            <w:r>
              <w:rPr>
                <w:color w:val="auto"/>
                <w:sz w:val="24"/>
                <w:highlight w:val="none"/>
              </w:rPr>
              <w:t>标的所属行业</w:t>
            </w:r>
          </w:p>
        </w:tc>
        <w:tc>
          <w:tcPr>
            <w:tcW w:w="7540" w:type="dxa"/>
            <w:vAlign w:val="center"/>
          </w:tcPr>
          <w:p w14:paraId="7E0A0DDA">
            <w:pPr>
              <w:rPr>
                <w:color w:val="auto"/>
                <w:sz w:val="24"/>
                <w:highlight w:val="none"/>
              </w:rPr>
            </w:pPr>
            <w:r>
              <w:rPr>
                <w:color w:val="auto"/>
                <w:sz w:val="24"/>
                <w:highlight w:val="none"/>
              </w:rPr>
              <w:t>本项目采购标的对应的中小企业划分标准所属行业</w:t>
            </w:r>
            <w:r>
              <w:rPr>
                <w:rFonts w:hint="eastAsia"/>
                <w:color w:val="auto"/>
                <w:sz w:val="24"/>
                <w:highlight w:val="none"/>
              </w:rPr>
              <w:t>（</w:t>
            </w:r>
            <w:r>
              <w:rPr>
                <w:rFonts w:hint="eastAsia" w:ascii="宋体" w:hAnsi="宋体" w:cs="宋体"/>
                <w:b/>
                <w:bCs/>
                <w:color w:val="auto"/>
                <w:sz w:val="24"/>
                <w:highlight w:val="none"/>
              </w:rPr>
              <w:t>中小</w:t>
            </w:r>
            <w:r>
              <w:rPr>
                <w:rFonts w:ascii="宋体" w:hAnsi="宋体" w:cs="宋体"/>
                <w:b/>
                <w:bCs/>
                <w:color w:val="auto"/>
                <w:sz w:val="24"/>
                <w:highlight w:val="none"/>
              </w:rPr>
              <w:t>企业声明函</w:t>
            </w:r>
            <w:r>
              <w:rPr>
                <w:rFonts w:hint="eastAsia" w:ascii="宋体" w:hAnsi="宋体" w:cs="宋体"/>
                <w:b/>
                <w:bCs/>
                <w:color w:val="auto"/>
                <w:sz w:val="24"/>
                <w:highlight w:val="none"/>
              </w:rPr>
              <w:t>中的</w:t>
            </w:r>
            <w:r>
              <w:rPr>
                <w:rFonts w:ascii="宋体" w:hAnsi="宋体" w:cs="宋体"/>
                <w:b/>
                <w:bCs/>
                <w:color w:val="auto"/>
                <w:sz w:val="24"/>
                <w:highlight w:val="none"/>
              </w:rPr>
              <w:t>标的名称和所属行业</w:t>
            </w:r>
            <w:r>
              <w:rPr>
                <w:rFonts w:hint="eastAsia" w:ascii="宋体" w:hAnsi="宋体" w:cs="宋体"/>
                <w:b/>
                <w:bCs/>
                <w:color w:val="auto"/>
                <w:sz w:val="24"/>
                <w:highlight w:val="none"/>
              </w:rPr>
              <w:t>须</w:t>
            </w:r>
            <w:r>
              <w:rPr>
                <w:rFonts w:ascii="宋体" w:hAnsi="宋体" w:cs="宋体"/>
                <w:b/>
                <w:bCs/>
                <w:color w:val="auto"/>
                <w:sz w:val="24"/>
                <w:highlight w:val="none"/>
              </w:rPr>
              <w:t>以此为准</w:t>
            </w:r>
            <w:r>
              <w:rPr>
                <w:rFonts w:hint="eastAsia" w:ascii="宋体" w:hAnsi="宋体" w:cs="宋体"/>
                <w:b/>
                <w:bCs/>
                <w:color w:val="auto"/>
                <w:sz w:val="24"/>
                <w:highlight w:val="none"/>
              </w:rPr>
              <w:t>，判断</w:t>
            </w:r>
            <w:r>
              <w:rPr>
                <w:rFonts w:ascii="宋体" w:hAnsi="宋体" w:cs="宋体"/>
                <w:b/>
                <w:bCs/>
                <w:color w:val="auto"/>
                <w:sz w:val="24"/>
                <w:highlight w:val="none"/>
              </w:rPr>
              <w:t>依据详见招标文件附件</w:t>
            </w:r>
            <w:r>
              <w:rPr>
                <w:rFonts w:hint="eastAsia" w:ascii="宋体" w:hAnsi="宋体" w:cs="宋体"/>
                <w:b/>
                <w:bCs/>
                <w:color w:val="auto"/>
                <w:sz w:val="24"/>
                <w:highlight w:val="none"/>
              </w:rPr>
              <w:t>1：</w:t>
            </w:r>
            <w:r>
              <w:rPr>
                <w:rFonts w:hint="eastAsia" w:hAnsi="宋体" w:cs="宋体"/>
                <w:b/>
                <w:bCs/>
                <w:color w:val="auto"/>
                <w:sz w:val="24"/>
                <w:highlight w:val="none"/>
                <w:shd w:val="clear" w:color="auto" w:fill="FFFFFF"/>
                <w:lang w:bidi="ar"/>
              </w:rPr>
              <w:t>关于印发中小企业划型标准规定的通知---工信部联企业〔2011〕300号</w:t>
            </w:r>
            <w:r>
              <w:rPr>
                <w:rFonts w:hint="eastAsia"/>
                <w:color w:val="auto"/>
                <w:sz w:val="24"/>
                <w:highlight w:val="none"/>
              </w:rPr>
              <w:t>）</w:t>
            </w:r>
            <w:r>
              <w:rPr>
                <w:color w:val="auto"/>
                <w:sz w:val="24"/>
                <w:highlight w:val="none"/>
              </w:rPr>
              <w:t>：</w:t>
            </w:r>
          </w:p>
          <w:tbl>
            <w:tblPr>
              <w:tblStyle w:val="45"/>
              <w:tblW w:w="6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116"/>
            </w:tblGrid>
            <w:tr w14:paraId="3F5A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43" w:type="dxa"/>
                  <w:tcBorders>
                    <w:top w:val="single" w:color="auto" w:sz="4" w:space="0"/>
                    <w:left w:val="single" w:color="auto" w:sz="4" w:space="0"/>
                    <w:bottom w:val="single" w:color="auto" w:sz="4" w:space="0"/>
                    <w:right w:val="single" w:color="auto" w:sz="4" w:space="0"/>
                  </w:tcBorders>
                  <w:vAlign w:val="center"/>
                </w:tcPr>
                <w:p w14:paraId="070B613D">
                  <w:pPr>
                    <w:jc w:val="center"/>
                    <w:rPr>
                      <w:color w:val="auto"/>
                      <w:sz w:val="24"/>
                      <w:highlight w:val="none"/>
                    </w:rPr>
                  </w:pPr>
                  <w:r>
                    <w:rPr>
                      <w:color w:val="auto"/>
                      <w:sz w:val="24"/>
                      <w:highlight w:val="none"/>
                    </w:rPr>
                    <w:t>标的名称</w:t>
                  </w:r>
                </w:p>
              </w:tc>
              <w:tc>
                <w:tcPr>
                  <w:tcW w:w="3116" w:type="dxa"/>
                  <w:tcBorders>
                    <w:top w:val="single" w:color="auto" w:sz="4" w:space="0"/>
                    <w:left w:val="single" w:color="auto" w:sz="4" w:space="0"/>
                    <w:bottom w:val="single" w:color="auto" w:sz="4" w:space="0"/>
                    <w:right w:val="single" w:color="auto" w:sz="4" w:space="0"/>
                  </w:tcBorders>
                  <w:vAlign w:val="center"/>
                </w:tcPr>
                <w:p w14:paraId="5A32781B">
                  <w:pPr>
                    <w:jc w:val="center"/>
                    <w:rPr>
                      <w:color w:val="auto"/>
                      <w:sz w:val="24"/>
                      <w:highlight w:val="none"/>
                    </w:rPr>
                  </w:pPr>
                  <w:r>
                    <w:rPr>
                      <w:color w:val="auto"/>
                      <w:sz w:val="24"/>
                      <w:highlight w:val="none"/>
                    </w:rPr>
                    <w:t>中小企业划分标准所属行业</w:t>
                  </w:r>
                </w:p>
              </w:tc>
            </w:tr>
            <w:tr w14:paraId="301E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43" w:type="dxa"/>
                  <w:tcBorders>
                    <w:top w:val="single" w:color="auto" w:sz="4" w:space="0"/>
                    <w:left w:val="single" w:color="auto" w:sz="4" w:space="0"/>
                    <w:bottom w:val="single" w:color="auto" w:sz="4" w:space="0"/>
                    <w:right w:val="single" w:color="auto" w:sz="4" w:space="0"/>
                  </w:tcBorders>
                  <w:vAlign w:val="center"/>
                </w:tcPr>
                <w:p w14:paraId="3B2C5E6E">
                  <w:pPr>
                    <w:jc w:val="center"/>
                    <w:rPr>
                      <w:rFonts w:hint="eastAsia" w:eastAsia="宋体"/>
                      <w:bCs/>
                      <w:color w:val="auto"/>
                      <w:sz w:val="24"/>
                      <w:highlight w:val="none"/>
                      <w:lang w:eastAsia="zh-CN"/>
                    </w:rPr>
                  </w:pPr>
                  <w:r>
                    <w:rPr>
                      <w:rFonts w:hint="eastAsia"/>
                      <w:bCs/>
                      <w:color w:val="auto"/>
                      <w:sz w:val="24"/>
                      <w:highlight w:val="none"/>
                      <w:lang w:eastAsia="zh-CN"/>
                    </w:rPr>
                    <w:t>农业全产业链数字管理平台项目</w:t>
                  </w:r>
                </w:p>
              </w:tc>
              <w:tc>
                <w:tcPr>
                  <w:tcW w:w="3116" w:type="dxa"/>
                  <w:tcBorders>
                    <w:top w:val="single" w:color="auto" w:sz="4" w:space="0"/>
                    <w:left w:val="single" w:color="auto" w:sz="4" w:space="0"/>
                    <w:bottom w:val="single" w:color="auto" w:sz="4" w:space="0"/>
                    <w:right w:val="single" w:color="auto" w:sz="4" w:space="0"/>
                  </w:tcBorders>
                  <w:vAlign w:val="center"/>
                </w:tcPr>
                <w:p w14:paraId="7569FA4C">
                  <w:pPr>
                    <w:pStyle w:val="260"/>
                    <w:ind w:firstLine="0"/>
                    <w:jc w:val="center"/>
                    <w:rPr>
                      <w:rFonts w:hAnsi="宋体" w:cs="宋体"/>
                      <w:color w:val="auto"/>
                      <w:sz w:val="24"/>
                      <w:szCs w:val="24"/>
                      <w:highlight w:val="none"/>
                    </w:rPr>
                  </w:pPr>
                  <w:r>
                    <w:rPr>
                      <w:rFonts w:hint="eastAsia" w:hAnsi="宋体"/>
                      <w:color w:val="auto"/>
                      <w:sz w:val="24"/>
                      <w:highlight w:val="none"/>
                      <w:shd w:val="clear" w:color="auto" w:fill="FFFFFF"/>
                    </w:rPr>
                    <w:t>软件和信息技术服务业</w:t>
                  </w:r>
                </w:p>
              </w:tc>
            </w:tr>
          </w:tbl>
          <w:p w14:paraId="1648A7BD">
            <w:pPr>
              <w:jc w:val="left"/>
              <w:rPr>
                <w:color w:val="auto"/>
                <w:sz w:val="24"/>
                <w:highlight w:val="none"/>
              </w:rPr>
            </w:pPr>
          </w:p>
        </w:tc>
      </w:tr>
      <w:tr w14:paraId="6FE9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32757357">
            <w:pPr>
              <w:pStyle w:val="25"/>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w:t>
            </w:r>
            <w:r>
              <w:rPr>
                <w:rFonts w:hint="default" w:ascii="Times New Roman" w:hAnsi="Times New Roman"/>
                <w:color w:val="auto"/>
                <w:sz w:val="24"/>
                <w:szCs w:val="24"/>
                <w:highlight w:val="none"/>
              </w:rPr>
              <w:t>1.2</w:t>
            </w:r>
          </w:p>
        </w:tc>
        <w:tc>
          <w:tcPr>
            <w:tcW w:w="1701" w:type="dxa"/>
            <w:vAlign w:val="center"/>
          </w:tcPr>
          <w:p w14:paraId="20B6AACE">
            <w:pPr>
              <w:jc w:val="center"/>
              <w:rPr>
                <w:color w:val="auto"/>
                <w:sz w:val="24"/>
                <w:highlight w:val="none"/>
              </w:rPr>
            </w:pPr>
            <w:r>
              <w:rPr>
                <w:rFonts w:hint="eastAsia"/>
                <w:color w:val="auto"/>
                <w:sz w:val="24"/>
                <w:highlight w:val="none"/>
              </w:rPr>
              <w:t>投标报价</w:t>
            </w:r>
          </w:p>
        </w:tc>
        <w:tc>
          <w:tcPr>
            <w:tcW w:w="7540" w:type="dxa"/>
            <w:vAlign w:val="center"/>
          </w:tcPr>
          <w:p w14:paraId="1844B38C">
            <w:pPr>
              <w:jc w:val="left"/>
              <w:rPr>
                <w:color w:val="auto"/>
                <w:sz w:val="24"/>
                <w:highlight w:val="none"/>
              </w:rPr>
            </w:pPr>
            <w:r>
              <w:rPr>
                <w:rFonts w:hint="eastAsia"/>
                <w:color w:val="auto"/>
                <w:sz w:val="24"/>
                <w:highlight w:val="none"/>
              </w:rPr>
              <w:t>投标报价的特殊规定：</w:t>
            </w:r>
          </w:p>
          <w:p w14:paraId="7E34FF29">
            <w:pPr>
              <w:jc w:val="left"/>
              <w:rPr>
                <w:color w:val="auto"/>
                <w:sz w:val="24"/>
                <w:highlight w:val="none"/>
              </w:rPr>
            </w:pPr>
            <w:r>
              <w:rPr>
                <w:rFonts w:hint="eastAsia"/>
                <w:color w:val="auto"/>
                <w:sz w:val="24"/>
                <w:highlight w:val="none"/>
              </w:rPr>
              <w:t>■</w:t>
            </w:r>
            <w:r>
              <w:rPr>
                <w:color w:val="auto"/>
                <w:sz w:val="24"/>
                <w:highlight w:val="none"/>
              </w:rPr>
              <w:t>无</w:t>
            </w:r>
          </w:p>
          <w:p w14:paraId="5A11A5A5">
            <w:pPr>
              <w:jc w:val="left"/>
              <w:rPr>
                <w:color w:val="auto"/>
                <w:sz w:val="24"/>
                <w:highlight w:val="none"/>
              </w:rPr>
            </w:pPr>
            <w:r>
              <w:rPr>
                <w:rFonts w:hint="eastAsia"/>
                <w:color w:val="auto"/>
                <w:sz w:val="24"/>
                <w:highlight w:val="none"/>
              </w:rPr>
              <w:t>□</w:t>
            </w:r>
            <w:r>
              <w:rPr>
                <w:color w:val="auto"/>
                <w:sz w:val="24"/>
                <w:highlight w:val="none"/>
              </w:rPr>
              <w:t>有，具体情形：/。</w:t>
            </w:r>
          </w:p>
        </w:tc>
      </w:tr>
      <w:tr w14:paraId="4217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737A9ABB">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12.1</w:t>
            </w:r>
          </w:p>
        </w:tc>
        <w:tc>
          <w:tcPr>
            <w:tcW w:w="1701" w:type="dxa"/>
            <w:vMerge w:val="restart"/>
            <w:vAlign w:val="center"/>
          </w:tcPr>
          <w:p w14:paraId="3EA536C7">
            <w:pPr>
              <w:jc w:val="center"/>
              <w:rPr>
                <w:color w:val="auto"/>
                <w:sz w:val="24"/>
                <w:highlight w:val="none"/>
              </w:rPr>
            </w:pPr>
            <w:r>
              <w:rPr>
                <w:color w:val="auto"/>
                <w:sz w:val="24"/>
                <w:highlight w:val="none"/>
              </w:rPr>
              <w:t>投标保证金</w:t>
            </w:r>
          </w:p>
        </w:tc>
        <w:tc>
          <w:tcPr>
            <w:tcW w:w="7540" w:type="dxa"/>
            <w:vAlign w:val="center"/>
          </w:tcPr>
          <w:p w14:paraId="4C58711F">
            <w:pPr>
              <w:pStyle w:val="25"/>
              <w:adjustRightInd w:val="0"/>
              <w:snapToGrid w:val="0"/>
              <w:rPr>
                <w:rFonts w:hint="default" w:ascii="Times New Roman" w:hAnsi="Times New Roman"/>
                <w:b/>
                <w:bCs/>
                <w:color w:val="auto"/>
                <w:sz w:val="24"/>
                <w:szCs w:val="24"/>
                <w:highlight w:val="none"/>
              </w:rPr>
            </w:pPr>
            <w:r>
              <w:rPr>
                <w:rFonts w:ascii="Times New Roman" w:hAnsi="Times New Roman"/>
                <w:b/>
                <w:bCs/>
                <w:color w:val="auto"/>
                <w:sz w:val="24"/>
                <w:szCs w:val="24"/>
                <w:highlight w:val="none"/>
              </w:rPr>
              <w:t>投标保证金金额：</w:t>
            </w:r>
            <w:r>
              <w:rPr>
                <w:rFonts w:hint="eastAsia" w:ascii="Times New Roman" w:hAnsi="Times New Roman"/>
                <w:b/>
                <w:bCs/>
                <w:color w:val="auto"/>
                <w:sz w:val="24"/>
                <w:szCs w:val="24"/>
                <w:highlight w:val="none"/>
                <w:lang w:val="en-US" w:eastAsia="zh-CN"/>
              </w:rPr>
              <w:t>50000.00</w:t>
            </w:r>
            <w:r>
              <w:rPr>
                <w:rFonts w:ascii="Times New Roman" w:hAnsi="Times New Roman"/>
                <w:b/>
                <w:bCs/>
                <w:color w:val="auto"/>
                <w:sz w:val="24"/>
                <w:szCs w:val="24"/>
                <w:highlight w:val="none"/>
              </w:rPr>
              <w:t>元</w:t>
            </w:r>
          </w:p>
          <w:p w14:paraId="7745DBF1">
            <w:pPr>
              <w:pStyle w:val="25"/>
              <w:adjustRightInd w:val="0"/>
              <w:snapToGrid w:val="0"/>
              <w:rPr>
                <w:rFonts w:hint="default" w:ascii="Times New Roman" w:hAnsi="Times New Roman"/>
                <w:color w:val="auto"/>
                <w:sz w:val="24"/>
                <w:szCs w:val="24"/>
                <w:highlight w:val="none"/>
              </w:rPr>
            </w:pPr>
            <w:r>
              <w:rPr>
                <w:rFonts w:ascii="Times New Roman" w:hAnsi="Times New Roman"/>
                <w:color w:val="auto"/>
                <w:sz w:val="24"/>
                <w:szCs w:val="24"/>
                <w:highlight w:val="none"/>
              </w:rPr>
              <w:t>投标保证金收受人信息：</w:t>
            </w:r>
          </w:p>
          <w:p w14:paraId="591BD238">
            <w:pPr>
              <w:pStyle w:val="25"/>
              <w:adjustRightInd w:val="0"/>
              <w:snapToGrid w:val="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开户行名称：北京环宇祥吉工程咨询有限公司</w:t>
            </w:r>
          </w:p>
          <w:p w14:paraId="3AED48EC">
            <w:pPr>
              <w:pStyle w:val="25"/>
              <w:adjustRightInd w:val="0"/>
              <w:snapToGrid w:val="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开户行：渤海银行股份有限公司西铁营支行</w:t>
            </w:r>
          </w:p>
          <w:p w14:paraId="315A6F74">
            <w:pPr>
              <w:pStyle w:val="25"/>
              <w:adjustRightInd w:val="0"/>
              <w:snapToGrid w:val="0"/>
              <w:rPr>
                <w:rFonts w:hint="default" w:ascii="Times New Roman" w:hAnsi="Times New Roman"/>
                <w:color w:val="auto"/>
                <w:sz w:val="24"/>
                <w:szCs w:val="24"/>
                <w:highlight w:val="none"/>
              </w:rPr>
            </w:pPr>
            <w:r>
              <w:rPr>
                <w:rFonts w:hint="eastAsia" w:ascii="Times New Roman" w:hAnsi="Times New Roman"/>
                <w:color w:val="auto"/>
                <w:sz w:val="24"/>
                <w:szCs w:val="24"/>
                <w:highlight w:val="none"/>
              </w:rPr>
              <w:t>账号：2078 4992 4800 0188</w:t>
            </w:r>
          </w:p>
          <w:p w14:paraId="34BEE623">
            <w:pPr>
              <w:pStyle w:val="103"/>
              <w:ind w:firstLine="0" w:firstLineChars="0"/>
              <w:rPr>
                <w:rFonts w:ascii="宋体"/>
                <w:color w:val="auto"/>
                <w:sz w:val="24"/>
                <w:highlight w:val="none"/>
              </w:rPr>
            </w:pPr>
            <w:r>
              <w:rPr>
                <w:rFonts w:hint="eastAsia" w:ascii="Times New Roman" w:hAnsi="Times New Roman"/>
                <w:color w:val="auto"/>
                <w:sz w:val="24"/>
                <w:szCs w:val="24"/>
                <w:highlight w:val="none"/>
              </w:rPr>
              <w:t>注：（汇款时请注明：HYZB-2024-12-XX保证金）</w:t>
            </w:r>
          </w:p>
        </w:tc>
      </w:tr>
      <w:tr w14:paraId="0FD7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6E54588">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12.7.2</w:t>
            </w:r>
          </w:p>
        </w:tc>
        <w:tc>
          <w:tcPr>
            <w:tcW w:w="1701" w:type="dxa"/>
            <w:vMerge w:val="continue"/>
            <w:vAlign w:val="center"/>
          </w:tcPr>
          <w:p w14:paraId="0D172DD9">
            <w:pPr>
              <w:jc w:val="center"/>
              <w:rPr>
                <w:color w:val="auto"/>
                <w:sz w:val="24"/>
                <w:highlight w:val="none"/>
              </w:rPr>
            </w:pPr>
          </w:p>
        </w:tc>
        <w:tc>
          <w:tcPr>
            <w:tcW w:w="7540" w:type="dxa"/>
            <w:vAlign w:val="center"/>
          </w:tcPr>
          <w:p w14:paraId="315B9FFB">
            <w:pPr>
              <w:jc w:val="left"/>
              <w:rPr>
                <w:color w:val="auto"/>
                <w:sz w:val="24"/>
                <w:highlight w:val="none"/>
              </w:rPr>
            </w:pPr>
            <w:r>
              <w:rPr>
                <w:color w:val="auto"/>
                <w:sz w:val="24"/>
                <w:highlight w:val="none"/>
              </w:rPr>
              <w:t>投标保证金可以不予退还的其他情形：</w:t>
            </w:r>
          </w:p>
          <w:p w14:paraId="22A483FF">
            <w:pPr>
              <w:jc w:val="left"/>
              <w:rPr>
                <w:color w:val="auto"/>
                <w:sz w:val="24"/>
                <w:highlight w:val="none"/>
              </w:rPr>
            </w:pPr>
            <w:r>
              <w:rPr>
                <w:rFonts w:hint="eastAsia"/>
                <w:color w:val="auto"/>
                <w:sz w:val="24"/>
                <w:highlight w:val="none"/>
              </w:rPr>
              <w:t>□</w:t>
            </w:r>
            <w:r>
              <w:rPr>
                <w:color w:val="auto"/>
                <w:sz w:val="24"/>
                <w:highlight w:val="none"/>
              </w:rPr>
              <w:t>无</w:t>
            </w:r>
          </w:p>
          <w:p w14:paraId="36629F9A">
            <w:pPr>
              <w:pStyle w:val="25"/>
              <w:adjustRightInd w:val="0"/>
              <w:snapToGrid w:val="0"/>
              <w:rPr>
                <w:rFonts w:hint="default"/>
                <w:color w:val="auto"/>
                <w:sz w:val="24"/>
                <w:highlight w:val="none"/>
              </w:rPr>
            </w:pPr>
            <w:r>
              <w:rPr>
                <w:color w:val="auto"/>
                <w:sz w:val="24"/>
                <w:highlight w:val="none"/>
              </w:rPr>
              <w:t>■</w:t>
            </w:r>
            <w:r>
              <w:rPr>
                <w:rFonts w:hint="default" w:ascii="Times New Roman" w:hAnsi="Times New Roman"/>
                <w:color w:val="auto"/>
                <w:sz w:val="24"/>
                <w:highlight w:val="none"/>
              </w:rPr>
              <w:t>有，具体情形：</w:t>
            </w:r>
          </w:p>
          <w:p w14:paraId="7DAA0ADA">
            <w:pPr>
              <w:pStyle w:val="25"/>
              <w:adjustRightInd w:val="0"/>
              <w:snapToGrid w:val="0"/>
              <w:rPr>
                <w:rFonts w:hint="default" w:ascii="Times New Roman" w:hAnsi="Times New Roman"/>
                <w:color w:val="auto"/>
                <w:sz w:val="24"/>
                <w:szCs w:val="24"/>
                <w:highlight w:val="none"/>
              </w:rPr>
            </w:pPr>
            <w:r>
              <w:rPr>
                <w:rFonts w:ascii="Times New Roman" w:hAnsi="Times New Roman"/>
                <w:color w:val="auto"/>
                <w:sz w:val="24"/>
                <w:szCs w:val="24"/>
                <w:highlight w:val="none"/>
              </w:rPr>
              <w:t>（</w:t>
            </w:r>
            <w:r>
              <w:rPr>
                <w:rFonts w:hint="default" w:ascii="Times New Roman" w:hAnsi="Times New Roman"/>
                <w:color w:val="auto"/>
                <w:sz w:val="24"/>
                <w:szCs w:val="24"/>
                <w:highlight w:val="none"/>
              </w:rPr>
              <w:t>1</w:t>
            </w:r>
            <w:r>
              <w:rPr>
                <w:rFonts w:ascii="Times New Roman" w:hAnsi="Times New Roman"/>
                <w:color w:val="auto"/>
                <w:sz w:val="24"/>
                <w:szCs w:val="24"/>
                <w:highlight w:val="none"/>
              </w:rPr>
              <w:t>）中标人不按本文件或者</w:t>
            </w:r>
            <w:r>
              <w:rPr>
                <w:rFonts w:hint="default" w:ascii="Times New Roman" w:hAnsi="Times New Roman"/>
                <w:color w:val="auto"/>
                <w:sz w:val="24"/>
                <w:szCs w:val="24"/>
                <w:highlight w:val="none"/>
              </w:rPr>
              <w:t>法规</w:t>
            </w:r>
            <w:r>
              <w:rPr>
                <w:rFonts w:ascii="Times New Roman" w:hAnsi="Times New Roman"/>
                <w:color w:val="auto"/>
                <w:sz w:val="24"/>
                <w:szCs w:val="24"/>
                <w:highlight w:val="none"/>
              </w:rPr>
              <w:t>的规定与采购人签订合同的；</w:t>
            </w:r>
          </w:p>
          <w:p w14:paraId="31CA86C9">
            <w:pPr>
              <w:pStyle w:val="25"/>
              <w:adjustRightInd w:val="0"/>
              <w:snapToGrid w:val="0"/>
              <w:rPr>
                <w:rFonts w:hint="default" w:ascii="Times New Roman" w:hAnsi="Times New Roman"/>
                <w:color w:val="auto"/>
                <w:sz w:val="24"/>
                <w:szCs w:val="24"/>
                <w:highlight w:val="none"/>
              </w:rPr>
            </w:pPr>
            <w:r>
              <w:rPr>
                <w:rFonts w:ascii="Times New Roman" w:hAnsi="Times New Roman"/>
                <w:color w:val="auto"/>
                <w:sz w:val="24"/>
                <w:szCs w:val="24"/>
                <w:highlight w:val="none"/>
              </w:rPr>
              <w:t>（</w:t>
            </w:r>
            <w:r>
              <w:rPr>
                <w:rFonts w:hint="default" w:ascii="Times New Roman" w:hAnsi="Times New Roman"/>
                <w:color w:val="auto"/>
                <w:sz w:val="24"/>
                <w:szCs w:val="24"/>
                <w:highlight w:val="none"/>
              </w:rPr>
              <w:t>2</w:t>
            </w:r>
            <w:r>
              <w:rPr>
                <w:rFonts w:ascii="Times New Roman" w:hAnsi="Times New Roman"/>
                <w:color w:val="auto"/>
                <w:sz w:val="24"/>
                <w:szCs w:val="24"/>
                <w:highlight w:val="none"/>
              </w:rPr>
              <w:t>）中标人不按本文件的规定提交履约保证金的；</w:t>
            </w:r>
          </w:p>
          <w:p w14:paraId="7D60D6C3">
            <w:pPr>
              <w:pStyle w:val="25"/>
              <w:adjustRightInd w:val="0"/>
              <w:snapToGrid w:val="0"/>
              <w:rPr>
                <w:rFonts w:hint="default" w:ascii="Times New Roman" w:hAnsi="Times New Roman"/>
                <w:color w:val="auto"/>
                <w:sz w:val="24"/>
                <w:szCs w:val="24"/>
                <w:highlight w:val="none"/>
              </w:rPr>
            </w:pPr>
            <w:r>
              <w:rPr>
                <w:rFonts w:ascii="Times New Roman" w:hAnsi="Times New Roman"/>
                <w:color w:val="auto"/>
                <w:sz w:val="24"/>
                <w:szCs w:val="24"/>
                <w:highlight w:val="none"/>
              </w:rPr>
              <w:t>（</w:t>
            </w:r>
            <w:r>
              <w:rPr>
                <w:rFonts w:hint="default" w:ascii="Times New Roman" w:hAnsi="Times New Roman"/>
                <w:color w:val="auto"/>
                <w:sz w:val="24"/>
                <w:szCs w:val="24"/>
                <w:highlight w:val="none"/>
              </w:rPr>
              <w:t>3</w:t>
            </w:r>
            <w:r>
              <w:rPr>
                <w:rFonts w:ascii="Times New Roman" w:hAnsi="Times New Roman"/>
                <w:color w:val="auto"/>
                <w:sz w:val="24"/>
                <w:szCs w:val="24"/>
                <w:highlight w:val="none"/>
              </w:rPr>
              <w:t>）中标人擅自放弃中标的；</w:t>
            </w:r>
          </w:p>
          <w:p w14:paraId="695AF9BB">
            <w:pPr>
              <w:pStyle w:val="25"/>
              <w:adjustRightInd w:val="0"/>
              <w:snapToGrid w:val="0"/>
              <w:rPr>
                <w:rFonts w:hint="default" w:ascii="Times New Roman" w:hAnsi="Times New Roman"/>
                <w:color w:val="auto"/>
                <w:sz w:val="24"/>
                <w:szCs w:val="24"/>
                <w:highlight w:val="none"/>
              </w:rPr>
            </w:pPr>
            <w:r>
              <w:rPr>
                <w:rFonts w:ascii="Times New Roman" w:hAnsi="Times New Roman"/>
                <w:color w:val="auto"/>
                <w:sz w:val="24"/>
                <w:szCs w:val="24"/>
                <w:highlight w:val="none"/>
              </w:rPr>
              <w:t>（</w:t>
            </w:r>
            <w:r>
              <w:rPr>
                <w:rFonts w:hint="default" w:ascii="Times New Roman" w:hAnsi="Times New Roman"/>
                <w:color w:val="auto"/>
                <w:sz w:val="24"/>
                <w:szCs w:val="24"/>
                <w:highlight w:val="none"/>
              </w:rPr>
              <w:t>4</w:t>
            </w:r>
            <w:r>
              <w:rPr>
                <w:rFonts w:ascii="Times New Roman" w:hAnsi="Times New Roman"/>
                <w:color w:val="auto"/>
                <w:sz w:val="24"/>
                <w:szCs w:val="24"/>
                <w:highlight w:val="none"/>
              </w:rPr>
              <w:t>）投标人被视为串通投标的；</w:t>
            </w:r>
          </w:p>
          <w:p w14:paraId="0474EB7F">
            <w:pPr>
              <w:pStyle w:val="25"/>
              <w:adjustRightInd w:val="0"/>
              <w:snapToGrid w:val="0"/>
              <w:rPr>
                <w:rFonts w:hint="default" w:ascii="Times New Roman" w:hAnsi="Times New Roman"/>
                <w:color w:val="auto"/>
                <w:sz w:val="24"/>
                <w:szCs w:val="24"/>
                <w:highlight w:val="none"/>
              </w:rPr>
            </w:pPr>
            <w:r>
              <w:rPr>
                <w:rFonts w:ascii="Times New Roman" w:hAnsi="Times New Roman"/>
                <w:color w:val="auto"/>
                <w:sz w:val="24"/>
                <w:szCs w:val="24"/>
                <w:highlight w:val="none"/>
              </w:rPr>
              <w:t>（</w:t>
            </w:r>
            <w:r>
              <w:rPr>
                <w:rFonts w:hint="default" w:ascii="Times New Roman" w:hAnsi="Times New Roman"/>
                <w:color w:val="auto"/>
                <w:sz w:val="24"/>
                <w:szCs w:val="24"/>
                <w:highlight w:val="none"/>
              </w:rPr>
              <w:t>5</w:t>
            </w:r>
            <w:r>
              <w:rPr>
                <w:rFonts w:ascii="Times New Roman" w:hAnsi="Times New Roman"/>
                <w:color w:val="auto"/>
                <w:sz w:val="24"/>
                <w:szCs w:val="24"/>
                <w:highlight w:val="none"/>
              </w:rPr>
              <w:t>）投标人提供虚假或失实材料的；</w:t>
            </w:r>
          </w:p>
          <w:p w14:paraId="282016B3">
            <w:pPr>
              <w:pStyle w:val="25"/>
              <w:adjustRightInd w:val="0"/>
              <w:snapToGrid w:val="0"/>
              <w:rPr>
                <w:rFonts w:hint="default" w:ascii="Times New Roman" w:hAnsi="Times New Roman"/>
                <w:color w:val="auto"/>
                <w:sz w:val="24"/>
                <w:szCs w:val="24"/>
                <w:highlight w:val="none"/>
              </w:rPr>
            </w:pPr>
            <w:r>
              <w:rPr>
                <w:rFonts w:ascii="Times New Roman" w:hAnsi="Times New Roman"/>
                <w:color w:val="auto"/>
                <w:sz w:val="24"/>
                <w:szCs w:val="24"/>
                <w:highlight w:val="none"/>
              </w:rPr>
              <w:t>（</w:t>
            </w:r>
            <w:r>
              <w:rPr>
                <w:rFonts w:hint="default" w:ascii="Times New Roman" w:hAnsi="Times New Roman"/>
                <w:color w:val="auto"/>
                <w:sz w:val="24"/>
                <w:szCs w:val="24"/>
                <w:highlight w:val="none"/>
              </w:rPr>
              <w:t>6</w:t>
            </w:r>
            <w:r>
              <w:rPr>
                <w:rFonts w:ascii="Times New Roman" w:hAnsi="Times New Roman"/>
                <w:color w:val="auto"/>
                <w:sz w:val="24"/>
                <w:szCs w:val="24"/>
                <w:highlight w:val="none"/>
              </w:rPr>
              <w:t>）法律、法规和招标文件规定的其他不予退还情形。</w:t>
            </w:r>
          </w:p>
        </w:tc>
      </w:tr>
      <w:tr w14:paraId="35DA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B6A63A">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13.1</w:t>
            </w:r>
          </w:p>
        </w:tc>
        <w:tc>
          <w:tcPr>
            <w:tcW w:w="1701" w:type="dxa"/>
            <w:vAlign w:val="center"/>
          </w:tcPr>
          <w:p w14:paraId="7FAB345F">
            <w:pPr>
              <w:jc w:val="center"/>
              <w:rPr>
                <w:color w:val="auto"/>
                <w:sz w:val="24"/>
                <w:highlight w:val="none"/>
              </w:rPr>
            </w:pPr>
            <w:r>
              <w:rPr>
                <w:color w:val="auto"/>
                <w:sz w:val="24"/>
                <w:highlight w:val="none"/>
              </w:rPr>
              <w:t>投标有效期</w:t>
            </w:r>
          </w:p>
        </w:tc>
        <w:tc>
          <w:tcPr>
            <w:tcW w:w="7540" w:type="dxa"/>
            <w:vAlign w:val="center"/>
          </w:tcPr>
          <w:p w14:paraId="6B72A927">
            <w:pPr>
              <w:jc w:val="left"/>
              <w:rPr>
                <w:color w:val="auto"/>
                <w:sz w:val="24"/>
                <w:highlight w:val="none"/>
              </w:rPr>
            </w:pPr>
            <w:r>
              <w:rPr>
                <w:color w:val="auto"/>
                <w:sz w:val="24"/>
                <w:highlight w:val="none"/>
              </w:rPr>
              <w:t>自提交投标文件的截止之日起算</w:t>
            </w:r>
            <w:r>
              <w:rPr>
                <w:color w:val="auto"/>
                <w:sz w:val="24"/>
                <w:highlight w:val="none"/>
                <w:u w:val="single"/>
              </w:rPr>
              <w:t>90</w:t>
            </w:r>
            <w:r>
              <w:rPr>
                <w:color w:val="auto"/>
                <w:sz w:val="24"/>
                <w:highlight w:val="none"/>
              </w:rPr>
              <w:t>日历天。</w:t>
            </w:r>
          </w:p>
        </w:tc>
      </w:tr>
      <w:tr w14:paraId="7759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62F1451">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22.1</w:t>
            </w:r>
          </w:p>
        </w:tc>
        <w:tc>
          <w:tcPr>
            <w:tcW w:w="1701" w:type="dxa"/>
            <w:vAlign w:val="center"/>
          </w:tcPr>
          <w:p w14:paraId="4C0E0A5A">
            <w:pPr>
              <w:jc w:val="center"/>
              <w:rPr>
                <w:color w:val="auto"/>
                <w:sz w:val="24"/>
                <w:highlight w:val="none"/>
              </w:rPr>
            </w:pPr>
            <w:r>
              <w:rPr>
                <w:color w:val="auto"/>
                <w:sz w:val="24"/>
                <w:highlight w:val="none"/>
              </w:rPr>
              <w:t>确定中标人</w:t>
            </w:r>
          </w:p>
        </w:tc>
        <w:tc>
          <w:tcPr>
            <w:tcW w:w="7540" w:type="dxa"/>
            <w:vAlign w:val="center"/>
          </w:tcPr>
          <w:p w14:paraId="0CF8A839">
            <w:pPr>
              <w:pStyle w:val="25"/>
              <w:adjustRightInd w:val="0"/>
              <w:snapToGrid w:val="0"/>
              <w:rPr>
                <w:rFonts w:hint="default" w:ascii="Times New Roman" w:hAnsi="Times New Roman"/>
                <w:color w:val="auto"/>
                <w:sz w:val="24"/>
                <w:highlight w:val="none"/>
              </w:rPr>
            </w:pPr>
            <w:r>
              <w:rPr>
                <w:rFonts w:hint="default" w:ascii="Times New Roman" w:hAnsi="Times New Roman"/>
                <w:color w:val="auto"/>
                <w:sz w:val="24"/>
                <w:highlight w:val="none"/>
              </w:rPr>
              <w:t>中标候选人并列的，采购人是否委托评标委员会确定中标人：</w:t>
            </w:r>
          </w:p>
          <w:p w14:paraId="3F16DDD6">
            <w:pPr>
              <w:pStyle w:val="25"/>
              <w:adjustRightInd w:val="0"/>
              <w:snapToGrid w:val="0"/>
              <w:rPr>
                <w:rFonts w:hint="default" w:ascii="Times New Roman" w:hAnsi="Times New Roman"/>
                <w:color w:val="auto"/>
                <w:sz w:val="24"/>
                <w:highlight w:val="none"/>
              </w:rPr>
            </w:pPr>
            <w:r>
              <w:rPr>
                <w:color w:val="auto"/>
                <w:sz w:val="24"/>
                <w:highlight w:val="none"/>
              </w:rPr>
              <w:t>■</w:t>
            </w:r>
            <w:r>
              <w:rPr>
                <w:rFonts w:hint="default" w:ascii="Times New Roman" w:hAnsi="Times New Roman"/>
                <w:color w:val="auto"/>
                <w:sz w:val="24"/>
                <w:highlight w:val="none"/>
              </w:rPr>
              <w:t>否</w:t>
            </w:r>
          </w:p>
          <w:p w14:paraId="4F07804C">
            <w:pPr>
              <w:pStyle w:val="25"/>
              <w:adjustRightInd w:val="0"/>
              <w:snapToGrid w:val="0"/>
              <w:rPr>
                <w:rFonts w:hint="default" w:ascii="Times New Roman" w:hAnsi="Times New Roman"/>
                <w:color w:val="auto"/>
                <w:sz w:val="24"/>
                <w:highlight w:val="none"/>
              </w:rPr>
            </w:pPr>
            <w:r>
              <w:rPr>
                <w:color w:val="auto"/>
                <w:sz w:val="24"/>
                <w:highlight w:val="none"/>
              </w:rPr>
              <w:t>□</w:t>
            </w:r>
            <w:r>
              <w:rPr>
                <w:rFonts w:hint="default" w:ascii="Times New Roman" w:hAnsi="Times New Roman"/>
                <w:color w:val="auto"/>
                <w:sz w:val="24"/>
                <w:highlight w:val="none"/>
              </w:rPr>
              <w:t>是</w:t>
            </w:r>
          </w:p>
          <w:p w14:paraId="20B7E171">
            <w:pPr>
              <w:pStyle w:val="25"/>
              <w:adjustRightInd w:val="0"/>
              <w:snapToGrid w:val="0"/>
              <w:rPr>
                <w:rFonts w:hint="default" w:ascii="Times New Roman" w:hAnsi="Times New Roman"/>
                <w:color w:val="auto"/>
                <w:highlight w:val="none"/>
              </w:rPr>
            </w:pPr>
            <w:r>
              <w:rPr>
                <w:rFonts w:hint="default" w:ascii="Times New Roman" w:hAnsi="Times New Roman"/>
                <w:color w:val="auto"/>
                <w:sz w:val="24"/>
                <w:highlight w:val="none"/>
              </w:rPr>
              <w:t>中标候选人并列的，按照以下方式确定</w:t>
            </w:r>
            <w:r>
              <w:rPr>
                <w:rFonts w:ascii="Times New Roman" w:hAnsi="Times New Roman"/>
                <w:color w:val="auto"/>
                <w:sz w:val="24"/>
                <w:highlight w:val="none"/>
              </w:rPr>
              <w:t>最终</w:t>
            </w:r>
            <w:r>
              <w:rPr>
                <w:rFonts w:hint="default" w:ascii="Times New Roman" w:hAnsi="Times New Roman"/>
                <w:color w:val="auto"/>
                <w:sz w:val="24"/>
                <w:highlight w:val="none"/>
              </w:rPr>
              <w:t>中标候选人排序：</w:t>
            </w:r>
            <w:r>
              <w:rPr>
                <w:rFonts w:hint="default" w:ascii="Times New Roman" w:hAnsi="Times New Roman"/>
                <w:color w:val="auto"/>
                <w:highlight w:val="none"/>
              </w:rPr>
              <w:t xml:space="preserve"> </w:t>
            </w:r>
          </w:p>
          <w:p w14:paraId="37984A67">
            <w:pPr>
              <w:pStyle w:val="25"/>
              <w:adjustRightInd w:val="0"/>
              <w:snapToGrid w:val="0"/>
              <w:rPr>
                <w:rFonts w:hint="default" w:ascii="Times New Roman" w:hAnsi="Times New Roman"/>
                <w:color w:val="auto"/>
                <w:sz w:val="24"/>
                <w:highlight w:val="none"/>
              </w:rPr>
            </w:pPr>
            <w:r>
              <w:rPr>
                <w:color w:val="auto"/>
                <w:sz w:val="24"/>
                <w:highlight w:val="none"/>
              </w:rPr>
              <w:t>■</w:t>
            </w:r>
            <w:r>
              <w:rPr>
                <w:rFonts w:ascii="Times New Roman" w:hAnsi="Times New Roman"/>
                <w:color w:val="auto"/>
                <w:sz w:val="24"/>
                <w:highlight w:val="none"/>
              </w:rPr>
              <w:t>得分相同的，按投标报价由低到高顺序排列；得分且投标报价相同，</w:t>
            </w:r>
            <w:r>
              <w:rPr>
                <w:rFonts w:hint="default" w:ascii="Times New Roman" w:hAnsi="Times New Roman"/>
                <w:color w:val="auto"/>
                <w:sz w:val="24"/>
                <w:highlight w:val="none"/>
              </w:rPr>
              <w:t>且</w:t>
            </w:r>
            <w:r>
              <w:rPr>
                <w:rFonts w:ascii="Times New Roman" w:hAnsi="Times New Roman"/>
                <w:color w:val="auto"/>
                <w:sz w:val="24"/>
                <w:highlight w:val="none"/>
              </w:rPr>
              <w:t>投标文件满足招标文件全部实质性要求的，按照评审因素的量化指标评审得分最高的投标人为排名第一的中标候选人。</w:t>
            </w:r>
          </w:p>
          <w:p w14:paraId="26BECA41">
            <w:pPr>
              <w:jc w:val="left"/>
              <w:rPr>
                <w:color w:val="auto"/>
                <w:sz w:val="24"/>
                <w:highlight w:val="none"/>
              </w:rPr>
            </w:pPr>
            <w:r>
              <w:rPr>
                <w:rFonts w:hint="eastAsia"/>
                <w:color w:val="auto"/>
                <w:sz w:val="24"/>
                <w:highlight w:val="none"/>
              </w:rPr>
              <w:t>□</w:t>
            </w:r>
            <w:r>
              <w:rPr>
                <w:color w:val="auto"/>
                <w:sz w:val="24"/>
                <w:highlight w:val="none"/>
              </w:rPr>
              <w:t>随机抽取</w:t>
            </w:r>
          </w:p>
        </w:tc>
      </w:tr>
      <w:tr w14:paraId="1BE1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212212A">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25.5</w:t>
            </w:r>
          </w:p>
        </w:tc>
        <w:tc>
          <w:tcPr>
            <w:tcW w:w="1701" w:type="dxa"/>
            <w:vAlign w:val="center"/>
          </w:tcPr>
          <w:p w14:paraId="3146F926">
            <w:pPr>
              <w:jc w:val="center"/>
              <w:rPr>
                <w:color w:val="auto"/>
                <w:sz w:val="24"/>
                <w:highlight w:val="none"/>
              </w:rPr>
            </w:pPr>
            <w:r>
              <w:rPr>
                <w:color w:val="auto"/>
                <w:sz w:val="24"/>
                <w:highlight w:val="none"/>
              </w:rPr>
              <w:t>分包</w:t>
            </w:r>
          </w:p>
        </w:tc>
        <w:tc>
          <w:tcPr>
            <w:tcW w:w="7540" w:type="dxa"/>
            <w:vAlign w:val="center"/>
          </w:tcPr>
          <w:p w14:paraId="04B12B59">
            <w:pPr>
              <w:jc w:val="left"/>
              <w:rPr>
                <w:color w:val="auto"/>
                <w:sz w:val="24"/>
                <w:highlight w:val="none"/>
              </w:rPr>
            </w:pPr>
            <w:r>
              <w:rPr>
                <w:color w:val="auto"/>
                <w:sz w:val="24"/>
                <w:highlight w:val="none"/>
              </w:rPr>
              <w:t xml:space="preserve">本项目的非主体、非关键性工作是否允许分包： </w:t>
            </w:r>
          </w:p>
          <w:p w14:paraId="5F09BB97">
            <w:pPr>
              <w:jc w:val="left"/>
              <w:rPr>
                <w:color w:val="auto"/>
                <w:sz w:val="24"/>
                <w:highlight w:val="none"/>
              </w:rPr>
            </w:pPr>
            <w:r>
              <w:rPr>
                <w:rFonts w:hint="eastAsia"/>
                <w:color w:val="auto"/>
                <w:sz w:val="24"/>
                <w:highlight w:val="none"/>
              </w:rPr>
              <w:t>■</w:t>
            </w:r>
            <w:r>
              <w:rPr>
                <w:color w:val="auto"/>
                <w:sz w:val="24"/>
                <w:highlight w:val="none"/>
              </w:rPr>
              <w:t>不允许</w:t>
            </w:r>
          </w:p>
          <w:p w14:paraId="231C063F">
            <w:pPr>
              <w:jc w:val="left"/>
              <w:rPr>
                <w:color w:val="auto"/>
                <w:sz w:val="24"/>
                <w:highlight w:val="none"/>
              </w:rPr>
            </w:pPr>
            <w:r>
              <w:rPr>
                <w:rFonts w:hint="eastAsia"/>
                <w:color w:val="auto"/>
                <w:sz w:val="24"/>
                <w:highlight w:val="none"/>
              </w:rPr>
              <w:t>□</w:t>
            </w:r>
            <w:r>
              <w:rPr>
                <w:color w:val="auto"/>
                <w:sz w:val="24"/>
                <w:highlight w:val="none"/>
              </w:rPr>
              <w:t>允许，具体要求：</w:t>
            </w:r>
          </w:p>
          <w:p w14:paraId="17AC494F">
            <w:pPr>
              <w:jc w:val="left"/>
              <w:rPr>
                <w:color w:val="auto"/>
                <w:sz w:val="24"/>
                <w:highlight w:val="none"/>
              </w:rPr>
            </w:pPr>
            <w:r>
              <w:rPr>
                <w:color w:val="auto"/>
                <w:sz w:val="24"/>
                <w:highlight w:val="none"/>
              </w:rPr>
              <w:t>（1）可以分包履行的具体内容：/；</w:t>
            </w:r>
          </w:p>
          <w:p w14:paraId="4642C454">
            <w:pPr>
              <w:jc w:val="left"/>
              <w:rPr>
                <w:color w:val="auto"/>
                <w:sz w:val="24"/>
                <w:highlight w:val="none"/>
              </w:rPr>
            </w:pPr>
            <w:r>
              <w:rPr>
                <w:color w:val="auto"/>
                <w:sz w:val="24"/>
                <w:highlight w:val="none"/>
              </w:rPr>
              <w:t>（2）允许分包的金额或者比例：/；</w:t>
            </w:r>
          </w:p>
          <w:p w14:paraId="07DBCF22">
            <w:pPr>
              <w:jc w:val="left"/>
              <w:rPr>
                <w:color w:val="auto"/>
                <w:sz w:val="24"/>
                <w:highlight w:val="none"/>
                <w:u w:val="single"/>
              </w:rPr>
            </w:pPr>
            <w:r>
              <w:rPr>
                <w:color w:val="auto"/>
                <w:sz w:val="24"/>
                <w:highlight w:val="none"/>
              </w:rPr>
              <w:t>（3）其他要求：/。</w:t>
            </w:r>
          </w:p>
        </w:tc>
      </w:tr>
      <w:tr w14:paraId="736A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8949505">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26.1.1</w:t>
            </w:r>
          </w:p>
        </w:tc>
        <w:tc>
          <w:tcPr>
            <w:tcW w:w="1701" w:type="dxa"/>
            <w:vAlign w:val="center"/>
          </w:tcPr>
          <w:p w14:paraId="2CEE669F">
            <w:pPr>
              <w:jc w:val="center"/>
              <w:rPr>
                <w:color w:val="auto"/>
                <w:sz w:val="24"/>
                <w:highlight w:val="none"/>
              </w:rPr>
            </w:pPr>
            <w:r>
              <w:rPr>
                <w:color w:val="auto"/>
                <w:sz w:val="24"/>
                <w:highlight w:val="none"/>
              </w:rPr>
              <w:t>询问</w:t>
            </w:r>
          </w:p>
        </w:tc>
        <w:tc>
          <w:tcPr>
            <w:tcW w:w="7540" w:type="dxa"/>
            <w:vAlign w:val="center"/>
          </w:tcPr>
          <w:p w14:paraId="6E4D08E1">
            <w:pPr>
              <w:jc w:val="left"/>
              <w:rPr>
                <w:color w:val="auto"/>
                <w:sz w:val="24"/>
                <w:highlight w:val="none"/>
              </w:rPr>
            </w:pPr>
            <w:r>
              <w:rPr>
                <w:color w:val="auto"/>
                <w:sz w:val="24"/>
                <w:highlight w:val="none"/>
              </w:rPr>
              <w:t>询问送达形式：</w:t>
            </w:r>
            <w:r>
              <w:rPr>
                <w:rFonts w:hint="eastAsia"/>
                <w:color w:val="auto"/>
                <w:sz w:val="24"/>
                <w:highlight w:val="none"/>
              </w:rPr>
              <w:t>书面</w:t>
            </w:r>
            <w:r>
              <w:rPr>
                <w:color w:val="auto"/>
                <w:sz w:val="24"/>
                <w:highlight w:val="none"/>
              </w:rPr>
              <w:t>文件</w:t>
            </w:r>
          </w:p>
        </w:tc>
      </w:tr>
      <w:tr w14:paraId="2275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99EC14A">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26.3</w:t>
            </w:r>
          </w:p>
        </w:tc>
        <w:tc>
          <w:tcPr>
            <w:tcW w:w="1701" w:type="dxa"/>
            <w:vAlign w:val="center"/>
          </w:tcPr>
          <w:p w14:paraId="26E1485C">
            <w:pPr>
              <w:jc w:val="center"/>
              <w:rPr>
                <w:color w:val="auto"/>
                <w:sz w:val="24"/>
                <w:highlight w:val="none"/>
              </w:rPr>
            </w:pPr>
            <w:r>
              <w:rPr>
                <w:color w:val="auto"/>
                <w:sz w:val="24"/>
                <w:highlight w:val="none"/>
              </w:rPr>
              <w:t>联系方式</w:t>
            </w:r>
          </w:p>
        </w:tc>
        <w:tc>
          <w:tcPr>
            <w:tcW w:w="7540" w:type="dxa"/>
            <w:vAlign w:val="center"/>
          </w:tcPr>
          <w:p w14:paraId="190E459A">
            <w:pPr>
              <w:jc w:val="left"/>
              <w:rPr>
                <w:rFonts w:ascii="宋体" w:hAnsi="宋体"/>
                <w:color w:val="auto"/>
                <w:sz w:val="24"/>
                <w:highlight w:val="none"/>
              </w:rPr>
            </w:pPr>
            <w:r>
              <w:rPr>
                <w:rFonts w:ascii="宋体" w:hAnsi="宋体"/>
                <w:color w:val="auto"/>
                <w:sz w:val="24"/>
                <w:highlight w:val="none"/>
              </w:rPr>
              <w:t>接收询问和质疑的联系方式</w:t>
            </w:r>
          </w:p>
          <w:p w14:paraId="16019191">
            <w:pPr>
              <w:jc w:val="left"/>
              <w:rPr>
                <w:rFonts w:ascii="宋体" w:hAnsi="宋体"/>
                <w:color w:val="auto"/>
                <w:sz w:val="24"/>
                <w:highlight w:val="none"/>
              </w:rPr>
            </w:pPr>
            <w:r>
              <w:rPr>
                <w:rFonts w:ascii="宋体" w:hAnsi="宋体"/>
                <w:color w:val="auto"/>
                <w:sz w:val="24"/>
                <w:highlight w:val="none"/>
              </w:rPr>
              <w:t>联系部门：</w:t>
            </w:r>
            <w:r>
              <w:rPr>
                <w:rFonts w:hint="eastAsia" w:ascii="宋体" w:hAnsi="宋体"/>
                <w:iCs/>
                <w:color w:val="auto"/>
                <w:sz w:val="24"/>
                <w:highlight w:val="none"/>
              </w:rPr>
              <w:t>招标部门一部</w:t>
            </w:r>
            <w:r>
              <w:rPr>
                <w:rFonts w:ascii="宋体" w:hAnsi="宋体"/>
                <w:color w:val="auto"/>
                <w:sz w:val="24"/>
                <w:highlight w:val="none"/>
              </w:rPr>
              <w:t>；</w:t>
            </w:r>
          </w:p>
          <w:p w14:paraId="379A940C">
            <w:pPr>
              <w:jc w:val="left"/>
              <w:rPr>
                <w:rFonts w:ascii="宋体" w:hAnsi="宋体"/>
                <w:color w:val="auto"/>
                <w:sz w:val="24"/>
                <w:highlight w:val="none"/>
              </w:rPr>
            </w:pPr>
            <w:r>
              <w:rPr>
                <w:rFonts w:ascii="宋体" w:hAnsi="宋体"/>
                <w:color w:val="auto"/>
                <w:sz w:val="24"/>
                <w:highlight w:val="none"/>
              </w:rPr>
              <w:t>联系电话：18611949928；</w:t>
            </w:r>
          </w:p>
          <w:p w14:paraId="21294C30">
            <w:pPr>
              <w:jc w:val="left"/>
              <w:rPr>
                <w:color w:val="auto"/>
                <w:sz w:val="24"/>
                <w:highlight w:val="none"/>
              </w:rPr>
            </w:pPr>
            <w:r>
              <w:rPr>
                <w:rFonts w:ascii="宋体" w:hAnsi="宋体"/>
                <w:color w:val="auto"/>
                <w:sz w:val="24"/>
                <w:highlight w:val="none"/>
              </w:rPr>
              <w:t>通讯地址：</w:t>
            </w:r>
            <w:r>
              <w:rPr>
                <w:rFonts w:hint="eastAsia" w:ascii="宋体" w:hAnsi="宋体"/>
                <w:color w:val="auto"/>
                <w:sz w:val="24"/>
                <w:highlight w:val="none"/>
              </w:rPr>
              <w:t>北京市丰台区大红门南路158号和义文化产业园B座一层会议室</w:t>
            </w:r>
          </w:p>
        </w:tc>
      </w:tr>
      <w:tr w14:paraId="2D13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ACF8E80">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14:paraId="057B8B15">
            <w:pPr>
              <w:jc w:val="center"/>
              <w:rPr>
                <w:color w:val="auto"/>
                <w:sz w:val="24"/>
                <w:highlight w:val="none"/>
              </w:rPr>
            </w:pPr>
            <w:r>
              <w:rPr>
                <w:color w:val="auto"/>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14E18D59">
            <w:pPr>
              <w:jc w:val="left"/>
              <w:rPr>
                <w:color w:val="auto"/>
                <w:sz w:val="24"/>
                <w:highlight w:val="none"/>
              </w:rPr>
            </w:pPr>
            <w:r>
              <w:rPr>
                <w:color w:val="auto"/>
                <w:sz w:val="24"/>
                <w:highlight w:val="none"/>
              </w:rPr>
              <w:t>收费对象：</w:t>
            </w:r>
          </w:p>
          <w:p w14:paraId="6F415172">
            <w:pPr>
              <w:jc w:val="left"/>
              <w:rPr>
                <w:color w:val="auto"/>
                <w:sz w:val="24"/>
                <w:highlight w:val="none"/>
              </w:rPr>
            </w:pPr>
            <w:r>
              <w:rPr>
                <w:rFonts w:hint="eastAsia"/>
                <w:color w:val="auto"/>
                <w:sz w:val="24"/>
                <w:highlight w:val="none"/>
              </w:rPr>
              <w:t>□</w:t>
            </w:r>
            <w:r>
              <w:rPr>
                <w:color w:val="auto"/>
                <w:sz w:val="24"/>
                <w:highlight w:val="none"/>
              </w:rPr>
              <w:t>采购人</w:t>
            </w:r>
          </w:p>
          <w:p w14:paraId="2376B24F">
            <w:pPr>
              <w:jc w:val="left"/>
              <w:rPr>
                <w:color w:val="auto"/>
                <w:sz w:val="24"/>
                <w:highlight w:val="none"/>
              </w:rPr>
            </w:pPr>
            <w:r>
              <w:rPr>
                <w:rFonts w:hint="eastAsia"/>
                <w:color w:val="auto"/>
                <w:sz w:val="24"/>
                <w:highlight w:val="none"/>
              </w:rPr>
              <w:t>■</w:t>
            </w:r>
            <w:r>
              <w:rPr>
                <w:color w:val="auto"/>
                <w:sz w:val="24"/>
                <w:highlight w:val="none"/>
              </w:rPr>
              <w:t>中标人</w:t>
            </w:r>
          </w:p>
          <w:p w14:paraId="60035173">
            <w:pPr>
              <w:jc w:val="left"/>
              <w:rPr>
                <w:color w:val="auto"/>
                <w:sz w:val="24"/>
                <w:highlight w:val="none"/>
              </w:rPr>
            </w:pPr>
            <w:r>
              <w:rPr>
                <w:color w:val="auto"/>
                <w:sz w:val="24"/>
                <w:highlight w:val="none"/>
              </w:rPr>
              <w:t>收费标准：</w:t>
            </w:r>
          </w:p>
          <w:p w14:paraId="7A91FECF">
            <w:pPr>
              <w:widowControl/>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）采购代理机构参照原计价格[2002]1980号文、</w:t>
            </w:r>
            <w:r>
              <w:rPr>
                <w:rFonts w:hint="eastAsia" w:ascii="宋体" w:hAnsi="宋体" w:cs="宋体"/>
                <w:color w:val="auto"/>
                <w:kern w:val="0"/>
                <w:sz w:val="24"/>
                <w:highlight w:val="none"/>
              </w:rPr>
              <w:t>发改办价格[2003]857号文及</w:t>
            </w:r>
            <w:r>
              <w:rPr>
                <w:rFonts w:ascii="宋体" w:hAnsi="宋体" w:cs="宋体"/>
                <w:color w:val="auto"/>
                <w:kern w:val="0"/>
                <w:sz w:val="24"/>
                <w:highlight w:val="none"/>
              </w:rPr>
              <w:t>发改价格</w:t>
            </w:r>
            <w:r>
              <w:rPr>
                <w:rFonts w:ascii="宋体" w:hAnsi="宋体"/>
                <w:color w:val="auto"/>
                <w:kern w:val="0"/>
                <w:sz w:val="24"/>
                <w:highlight w:val="none"/>
              </w:rPr>
              <w:t>[2011]534</w:t>
            </w:r>
            <w:r>
              <w:rPr>
                <w:rFonts w:ascii="宋体" w:hAnsi="宋体" w:cs="宋体"/>
                <w:color w:val="auto"/>
                <w:kern w:val="0"/>
                <w:sz w:val="24"/>
                <w:highlight w:val="none"/>
              </w:rPr>
              <w:t>号</w:t>
            </w:r>
            <w:r>
              <w:rPr>
                <w:rFonts w:hint="eastAsia" w:ascii="宋体" w:hAnsi="宋体" w:cs="宋体"/>
                <w:color w:val="auto"/>
                <w:kern w:val="0"/>
                <w:sz w:val="24"/>
                <w:highlight w:val="none"/>
              </w:rPr>
              <w:t>文有关规定，向中标人收取</w:t>
            </w:r>
            <w:r>
              <w:rPr>
                <w:rFonts w:hint="eastAsia" w:ascii="宋体" w:hAnsi="宋体"/>
                <w:color w:val="auto"/>
                <w:sz w:val="24"/>
                <w:highlight w:val="none"/>
              </w:rPr>
              <w:t>中标服务费用。</w:t>
            </w:r>
          </w:p>
          <w:p w14:paraId="7DCC79F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）中标服务费币种与中标签订合同的币种相同或采购代理机构同意的币种。</w:t>
            </w:r>
          </w:p>
          <w:p w14:paraId="68BB199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）中标服务费的交纳方式：中标人在领取中标通知书时一次向采购代理机构交纳所有中标服务费。</w:t>
            </w:r>
          </w:p>
          <w:p w14:paraId="127088A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此项费用不应单独开列，无论投标人是否填报，都视为此费用已经包含在总价中。</w:t>
            </w:r>
          </w:p>
          <w:p w14:paraId="3DA9836D">
            <w:pPr>
              <w:jc w:val="left"/>
              <w:rPr>
                <w:b/>
                <w:color w:val="auto"/>
                <w:sz w:val="24"/>
                <w:highlight w:val="none"/>
              </w:rPr>
            </w:pPr>
            <w:r>
              <w:rPr>
                <w:b/>
                <w:color w:val="auto"/>
                <w:sz w:val="24"/>
                <w:highlight w:val="none"/>
              </w:rPr>
              <w:t>缴纳时间：</w:t>
            </w:r>
            <w:r>
              <w:rPr>
                <w:rFonts w:hint="eastAsia"/>
                <w:b/>
                <w:color w:val="auto"/>
                <w:sz w:val="24"/>
                <w:highlight w:val="none"/>
              </w:rPr>
              <w:t>中标</w:t>
            </w:r>
            <w:r>
              <w:rPr>
                <w:b/>
                <w:color w:val="auto"/>
                <w:sz w:val="24"/>
                <w:highlight w:val="none"/>
              </w:rPr>
              <w:t>通知书发出之日起</w:t>
            </w:r>
            <w:r>
              <w:rPr>
                <w:rFonts w:hint="eastAsia"/>
                <w:b/>
                <w:color w:val="auto"/>
                <w:sz w:val="24"/>
                <w:highlight w:val="none"/>
              </w:rPr>
              <w:t>至</w:t>
            </w:r>
            <w:r>
              <w:rPr>
                <w:b/>
                <w:color w:val="auto"/>
                <w:sz w:val="24"/>
                <w:highlight w:val="none"/>
              </w:rPr>
              <w:t>领取</w:t>
            </w:r>
            <w:r>
              <w:rPr>
                <w:rFonts w:hint="eastAsia"/>
                <w:b/>
                <w:color w:val="auto"/>
                <w:sz w:val="24"/>
                <w:highlight w:val="none"/>
              </w:rPr>
              <w:t>中标</w:t>
            </w:r>
            <w:r>
              <w:rPr>
                <w:b/>
                <w:color w:val="auto"/>
                <w:sz w:val="24"/>
                <w:highlight w:val="none"/>
              </w:rPr>
              <w:t>通知书时。</w:t>
            </w:r>
          </w:p>
          <w:p w14:paraId="4BD83F7A">
            <w:pPr>
              <w:rPr>
                <w:rFonts w:ascii="宋体" w:hAnsi="宋体" w:cs="宋体"/>
                <w:b/>
                <w:color w:val="auto"/>
                <w:sz w:val="24"/>
                <w:highlight w:val="none"/>
              </w:rPr>
            </w:pPr>
            <w:r>
              <w:rPr>
                <w:rFonts w:hint="eastAsia" w:ascii="宋体" w:hAnsi="宋体" w:cs="宋体"/>
                <w:b/>
                <w:color w:val="auto"/>
                <w:sz w:val="24"/>
                <w:highlight w:val="none"/>
              </w:rPr>
              <w:t>服务费汇款账户：（交纳中标服务费时请备注</w:t>
            </w:r>
            <w:r>
              <w:rPr>
                <w:rFonts w:hint="eastAsia" w:ascii="宋体" w:hAnsi="宋体"/>
                <w:b/>
                <w:color w:val="auto"/>
                <w:sz w:val="24"/>
                <w:highlight w:val="none"/>
                <w:lang w:eastAsia="zh-CN"/>
              </w:rPr>
              <w:t>HYZB-2024-12-74</w:t>
            </w:r>
            <w:r>
              <w:rPr>
                <w:rFonts w:hint="eastAsia" w:ascii="宋体" w:hAnsi="宋体"/>
                <w:b/>
                <w:color w:val="auto"/>
                <w:sz w:val="24"/>
                <w:highlight w:val="none"/>
              </w:rPr>
              <w:t>服务费</w:t>
            </w:r>
            <w:r>
              <w:rPr>
                <w:rFonts w:hint="eastAsia" w:ascii="宋体" w:hAnsi="宋体" w:cs="宋体"/>
                <w:b/>
                <w:color w:val="auto"/>
                <w:sz w:val="24"/>
                <w:highlight w:val="none"/>
              </w:rPr>
              <w:t>）</w:t>
            </w:r>
          </w:p>
          <w:p w14:paraId="19C50DD3">
            <w:pPr>
              <w:rPr>
                <w:rFonts w:ascii="宋体" w:hAnsi="宋体" w:cs="宋体"/>
                <w:b/>
                <w:color w:val="auto"/>
                <w:sz w:val="24"/>
                <w:highlight w:val="none"/>
              </w:rPr>
            </w:pPr>
            <w:r>
              <w:rPr>
                <w:rFonts w:hint="eastAsia" w:ascii="宋体" w:hAnsi="宋体" w:cs="宋体"/>
                <w:b/>
                <w:color w:val="auto"/>
                <w:sz w:val="24"/>
                <w:highlight w:val="none"/>
              </w:rPr>
              <w:t>开户名：北京环宇祥吉工程咨询有限公司</w:t>
            </w:r>
          </w:p>
          <w:p w14:paraId="1F7D9A7E">
            <w:pPr>
              <w:rPr>
                <w:rFonts w:ascii="宋体" w:hAnsi="宋体" w:cs="宋体"/>
                <w:b/>
                <w:color w:val="auto"/>
                <w:sz w:val="24"/>
                <w:highlight w:val="none"/>
              </w:rPr>
            </w:pPr>
            <w:r>
              <w:rPr>
                <w:rFonts w:hint="eastAsia" w:ascii="宋体" w:hAnsi="宋体" w:cs="宋体"/>
                <w:b/>
                <w:color w:val="auto"/>
                <w:sz w:val="24"/>
                <w:highlight w:val="none"/>
              </w:rPr>
              <w:t>开户行：中国建设银行北京万源路支行</w:t>
            </w:r>
          </w:p>
          <w:p w14:paraId="7C763B75">
            <w:pPr>
              <w:jc w:val="left"/>
              <w:rPr>
                <w:b/>
                <w:color w:val="auto"/>
                <w:sz w:val="24"/>
                <w:highlight w:val="none"/>
              </w:rPr>
            </w:pPr>
            <w:r>
              <w:rPr>
                <w:rFonts w:hint="eastAsia" w:ascii="宋体" w:hAnsi="宋体" w:cs="宋体"/>
                <w:b/>
                <w:color w:val="auto"/>
                <w:sz w:val="24"/>
                <w:highlight w:val="none"/>
              </w:rPr>
              <w:t>账号：</w:t>
            </w:r>
            <w:r>
              <w:rPr>
                <w:rFonts w:hint="eastAsia" w:ascii="宋体" w:hAnsi="宋体"/>
                <w:b/>
                <w:color w:val="auto"/>
                <w:sz w:val="24"/>
                <w:highlight w:val="none"/>
              </w:rPr>
              <w:t>11050171510000000556</w:t>
            </w:r>
          </w:p>
        </w:tc>
      </w:tr>
      <w:tr w14:paraId="7D2A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404B72B">
            <w:pPr>
              <w:pStyle w:val="25"/>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补充</w:t>
            </w:r>
          </w:p>
        </w:tc>
        <w:tc>
          <w:tcPr>
            <w:tcW w:w="9241" w:type="dxa"/>
            <w:gridSpan w:val="2"/>
            <w:tcBorders>
              <w:top w:val="single" w:color="auto" w:sz="4" w:space="0"/>
              <w:left w:val="single" w:color="auto" w:sz="4" w:space="0"/>
              <w:bottom w:val="single" w:color="auto" w:sz="4" w:space="0"/>
              <w:right w:val="single" w:color="auto" w:sz="4" w:space="0"/>
            </w:tcBorders>
            <w:vAlign w:val="center"/>
          </w:tcPr>
          <w:p w14:paraId="3D6DA4AC">
            <w:pPr>
              <w:jc w:val="left"/>
              <w:rPr>
                <w:color w:val="auto"/>
                <w:sz w:val="24"/>
                <w:highlight w:val="none"/>
              </w:rPr>
            </w:pPr>
            <w:r>
              <w:rPr>
                <w:rFonts w:hint="eastAsia" w:ascii="宋体" w:hAnsi="宋体" w:cs="宋体"/>
                <w:color w:val="auto"/>
                <w:sz w:val="24"/>
                <w:highlight w:val="none"/>
              </w:rPr>
              <w:t>以下条款是对本招标文件的重要说明及补充</w:t>
            </w:r>
          </w:p>
        </w:tc>
      </w:tr>
      <w:tr w14:paraId="35C4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AF8B4FE">
            <w:pPr>
              <w:pStyle w:val="25"/>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w:t>
            </w:r>
          </w:p>
        </w:tc>
        <w:tc>
          <w:tcPr>
            <w:tcW w:w="9241" w:type="dxa"/>
            <w:gridSpan w:val="2"/>
            <w:tcBorders>
              <w:top w:val="single" w:color="auto" w:sz="4" w:space="0"/>
              <w:left w:val="single" w:color="auto" w:sz="4" w:space="0"/>
              <w:bottom w:val="single" w:color="auto" w:sz="4" w:space="0"/>
              <w:right w:val="single" w:color="auto" w:sz="4" w:space="0"/>
            </w:tcBorders>
          </w:tcPr>
          <w:p w14:paraId="5CA4C744">
            <w:pPr>
              <w:spacing w:line="276" w:lineRule="auto"/>
              <w:rPr>
                <w:rFonts w:ascii="宋体" w:hAnsi="宋体" w:cs="宋体"/>
                <w:color w:val="auto"/>
                <w:sz w:val="24"/>
                <w:highlight w:val="none"/>
              </w:rPr>
            </w:pPr>
            <w:r>
              <w:rPr>
                <w:rFonts w:hint="eastAsia" w:ascii="宋体" w:hAnsi="宋体" w:cs="宋体"/>
                <w:color w:val="auto"/>
                <w:kern w:val="0"/>
                <w:sz w:val="24"/>
                <w:highlight w:val="none"/>
                <w:lang w:val="zh-CN"/>
              </w:rPr>
              <w:t>投标人如果在投标文件中提供了虚假材料，在任何时候采购人都有权否决其投标，并视情况追究其责任。</w:t>
            </w:r>
          </w:p>
        </w:tc>
      </w:tr>
      <w:tr w14:paraId="0351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3F7F319A">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w:t>
            </w:r>
          </w:p>
        </w:tc>
        <w:tc>
          <w:tcPr>
            <w:tcW w:w="9241" w:type="dxa"/>
            <w:gridSpan w:val="2"/>
            <w:tcBorders>
              <w:top w:val="single" w:color="auto" w:sz="4" w:space="0"/>
              <w:left w:val="single" w:color="auto" w:sz="4" w:space="0"/>
              <w:bottom w:val="single" w:color="auto" w:sz="4" w:space="0"/>
              <w:right w:val="single" w:color="auto" w:sz="4" w:space="0"/>
            </w:tcBorders>
          </w:tcPr>
          <w:p w14:paraId="38429295">
            <w:pPr>
              <w:spacing w:line="276" w:lineRule="auto"/>
              <w:rPr>
                <w:rFonts w:ascii="宋体" w:hAnsi="宋体" w:cs="宋体"/>
                <w:color w:val="auto"/>
                <w:sz w:val="24"/>
                <w:highlight w:val="none"/>
              </w:rPr>
            </w:pPr>
            <w:r>
              <w:rPr>
                <w:rFonts w:hint="eastAsia" w:ascii="宋体" w:hAnsi="宋体" w:cs="宋体"/>
                <w:color w:val="auto"/>
                <w:kern w:val="0"/>
                <w:sz w:val="24"/>
                <w:highlight w:val="none"/>
                <w:lang w:val="zh-CN"/>
              </w:rPr>
              <w:t>开标一览表、投标文件按招标文件要求有效签署并加盖投标人单位公章，</w:t>
            </w:r>
            <w:r>
              <w:rPr>
                <w:rFonts w:hint="eastAsia" w:ascii="宋体" w:hAnsi="宋体" w:cs="宋体"/>
                <w:color w:val="auto"/>
                <w:kern w:val="0"/>
                <w:sz w:val="24"/>
                <w:highlight w:val="none"/>
              </w:rPr>
              <w:t>否则</w:t>
            </w:r>
            <w:r>
              <w:rPr>
                <w:rFonts w:hint="eastAsia" w:ascii="宋体" w:hAnsi="宋体" w:cs="宋体"/>
                <w:color w:val="auto"/>
                <w:kern w:val="0"/>
                <w:sz w:val="24"/>
                <w:highlight w:val="none"/>
                <w:lang w:val="zh-CN"/>
              </w:rPr>
              <w:t>将被视为</w:t>
            </w:r>
            <w:r>
              <w:rPr>
                <w:rFonts w:hint="eastAsia" w:ascii="宋体" w:hAnsi="宋体" w:cs="宋体"/>
                <w:b/>
                <w:color w:val="auto"/>
                <w:kern w:val="0"/>
                <w:sz w:val="24"/>
                <w:highlight w:val="none"/>
                <w:u w:val="single"/>
                <w:lang w:val="zh-CN"/>
              </w:rPr>
              <w:t>无效投标</w:t>
            </w:r>
            <w:r>
              <w:rPr>
                <w:rFonts w:hint="eastAsia" w:ascii="宋体" w:hAnsi="宋体" w:cs="宋体"/>
                <w:color w:val="auto"/>
                <w:kern w:val="0"/>
                <w:sz w:val="24"/>
                <w:highlight w:val="none"/>
                <w:lang w:val="zh-CN"/>
              </w:rPr>
              <w:t>。</w:t>
            </w:r>
          </w:p>
        </w:tc>
      </w:tr>
      <w:tr w14:paraId="35FB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46F7C5E1">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3</w:t>
            </w:r>
          </w:p>
        </w:tc>
        <w:tc>
          <w:tcPr>
            <w:tcW w:w="9241" w:type="dxa"/>
            <w:gridSpan w:val="2"/>
            <w:tcBorders>
              <w:top w:val="single" w:color="auto" w:sz="4" w:space="0"/>
              <w:left w:val="single" w:color="auto" w:sz="4" w:space="0"/>
              <w:bottom w:val="single" w:color="auto" w:sz="4" w:space="0"/>
              <w:right w:val="single" w:color="auto" w:sz="4" w:space="0"/>
            </w:tcBorders>
          </w:tcPr>
          <w:p w14:paraId="5446990E">
            <w:pPr>
              <w:spacing w:line="276" w:lineRule="auto"/>
              <w:rPr>
                <w:rFonts w:ascii="宋体" w:hAnsi="宋体" w:cs="宋体"/>
                <w:color w:val="auto"/>
                <w:sz w:val="24"/>
                <w:highlight w:val="none"/>
              </w:rPr>
            </w:pPr>
            <w:r>
              <w:rPr>
                <w:rFonts w:hint="eastAsia" w:ascii="宋体" w:hAnsi="宋体" w:cs="宋体"/>
                <w:color w:val="auto"/>
                <w:kern w:val="0"/>
                <w:sz w:val="24"/>
                <w:highlight w:val="none"/>
                <w:lang w:val="zh-CN"/>
              </w:rPr>
              <w:t>招标文件中要求的盖章，除特殊标注外，是指</w:t>
            </w:r>
            <w:r>
              <w:rPr>
                <w:rFonts w:hint="eastAsia" w:ascii="宋体" w:hAnsi="宋体" w:cs="宋体"/>
                <w:color w:val="auto"/>
                <w:kern w:val="0"/>
                <w:sz w:val="24"/>
                <w:highlight w:val="none"/>
              </w:rPr>
              <w:t>在公安部门备案的单位</w:t>
            </w:r>
            <w:r>
              <w:rPr>
                <w:rFonts w:hint="eastAsia" w:ascii="宋体" w:hAnsi="宋体" w:cs="宋体"/>
                <w:color w:val="auto"/>
                <w:kern w:val="0"/>
                <w:sz w:val="24"/>
                <w:highlight w:val="none"/>
                <w:lang w:val="zh-CN"/>
              </w:rPr>
              <w:t>公章；</w:t>
            </w:r>
            <w:r>
              <w:rPr>
                <w:rFonts w:hint="eastAsia" w:ascii="宋体" w:hAnsi="宋体" w:cs="宋体"/>
                <w:color w:val="auto"/>
                <w:kern w:val="0"/>
                <w:sz w:val="24"/>
                <w:highlight w:val="none"/>
              </w:rPr>
              <w:t>财务专用章、</w:t>
            </w:r>
            <w:r>
              <w:rPr>
                <w:rFonts w:hint="eastAsia" w:ascii="宋体" w:hAnsi="宋体" w:cs="宋体"/>
                <w:color w:val="auto"/>
                <w:kern w:val="0"/>
                <w:sz w:val="24"/>
                <w:highlight w:val="none"/>
                <w:lang w:val="zh-CN"/>
              </w:rPr>
              <w:t>合同专用章、投标专用章等</w:t>
            </w:r>
            <w:r>
              <w:rPr>
                <w:rFonts w:hint="eastAsia" w:ascii="宋体" w:hAnsi="宋体" w:cs="宋体"/>
                <w:color w:val="auto"/>
                <w:kern w:val="0"/>
                <w:sz w:val="24"/>
                <w:highlight w:val="none"/>
              </w:rPr>
              <w:t>均不予认可，否则</w:t>
            </w:r>
            <w:r>
              <w:rPr>
                <w:rFonts w:hint="eastAsia" w:ascii="宋体" w:hAnsi="宋体" w:cs="宋体"/>
                <w:color w:val="auto"/>
                <w:kern w:val="0"/>
                <w:sz w:val="24"/>
                <w:highlight w:val="none"/>
                <w:lang w:val="zh-CN"/>
              </w:rPr>
              <w:t>其投标将被视为</w:t>
            </w:r>
            <w:r>
              <w:rPr>
                <w:rFonts w:hint="eastAsia" w:ascii="宋体" w:hAnsi="宋体" w:cs="宋体"/>
                <w:b/>
                <w:color w:val="auto"/>
                <w:kern w:val="0"/>
                <w:sz w:val="24"/>
                <w:highlight w:val="none"/>
                <w:u w:val="single"/>
                <w:lang w:val="zh-CN"/>
              </w:rPr>
              <w:t>无效投标</w:t>
            </w:r>
            <w:r>
              <w:rPr>
                <w:rFonts w:hint="eastAsia" w:ascii="宋体" w:hAnsi="宋体" w:cs="宋体"/>
                <w:color w:val="auto"/>
                <w:kern w:val="0"/>
                <w:sz w:val="24"/>
                <w:highlight w:val="none"/>
                <w:lang w:val="zh-CN"/>
              </w:rPr>
              <w:t>。</w:t>
            </w:r>
          </w:p>
        </w:tc>
      </w:tr>
    </w:tbl>
    <w:p w14:paraId="33627B29">
      <w:pPr>
        <w:tabs>
          <w:tab w:val="left" w:pos="5580"/>
        </w:tabs>
        <w:adjustRightInd w:val="0"/>
        <w:spacing w:line="360" w:lineRule="auto"/>
        <w:jc w:val="distribute"/>
        <w:rPr>
          <w:rFonts w:ascii="宋体" w:hAnsi="宋体" w:cs="宋体"/>
          <w:color w:val="auto"/>
          <w:sz w:val="24"/>
          <w:highlight w:val="none"/>
        </w:rPr>
        <w:sectPr>
          <w:pgSz w:w="11907" w:h="16840"/>
          <w:pgMar w:top="1418" w:right="1134" w:bottom="1418" w:left="1701" w:header="851" w:footer="851" w:gutter="0"/>
          <w:pgNumType w:start="0"/>
          <w:cols w:space="720" w:num="1"/>
          <w:titlePg/>
          <w:docGrid w:linePitch="462" w:charSpace="0"/>
        </w:sectPr>
      </w:pPr>
    </w:p>
    <w:p w14:paraId="22693D13">
      <w:pPr>
        <w:spacing w:before="240" w:beforeLines="100" w:after="240" w:afterLines="100"/>
        <w:jc w:val="center"/>
        <w:rPr>
          <w:rFonts w:ascii="宋体" w:hAnsi="宋体" w:cs="宋体"/>
          <w:b/>
          <w:color w:val="auto"/>
          <w:sz w:val="28"/>
          <w:szCs w:val="28"/>
          <w:highlight w:val="none"/>
        </w:rPr>
      </w:pPr>
      <w:bookmarkStart w:id="72" w:name="_Toc195842882"/>
      <w:bookmarkStart w:id="73" w:name="_Toc305158859"/>
      <w:bookmarkStart w:id="74" w:name="_Toc226965790"/>
      <w:bookmarkStart w:id="75" w:name="_Toc142311019"/>
      <w:bookmarkStart w:id="76" w:name="_Toc353873932"/>
      <w:bookmarkStart w:id="77" w:name="_Toc226337213"/>
      <w:bookmarkStart w:id="78" w:name="_Toc305158785"/>
      <w:bookmarkStart w:id="79" w:name="_Toc150774722"/>
      <w:bookmarkStart w:id="80" w:name="_Toc353825542"/>
      <w:bookmarkStart w:id="81" w:name="_Toc127151517"/>
      <w:bookmarkStart w:id="82" w:name="_Toc264969207"/>
      <w:bookmarkStart w:id="83" w:name="_Toc353873662"/>
      <w:bookmarkStart w:id="84" w:name="_Toc150480755"/>
      <w:bookmarkStart w:id="85" w:name="_Toc265228355"/>
      <w:r>
        <w:rPr>
          <w:rFonts w:hint="eastAsia" w:ascii="宋体" w:hAnsi="宋体" w:cs="宋体"/>
          <w:b/>
          <w:color w:val="auto"/>
          <w:sz w:val="28"/>
          <w:szCs w:val="28"/>
          <w:highlight w:val="none"/>
        </w:rPr>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BE0BE46">
      <w:pPr>
        <w:pStyle w:val="3"/>
        <w:tabs>
          <w:tab w:val="center" w:pos="4592"/>
          <w:tab w:val="left" w:pos="7860"/>
        </w:tabs>
        <w:spacing w:before="0" w:line="360" w:lineRule="auto"/>
        <w:jc w:val="left"/>
        <w:rPr>
          <w:rFonts w:ascii="宋体" w:hAnsi="宋体" w:eastAsia="宋体" w:cs="宋体"/>
          <w:color w:val="auto"/>
          <w:sz w:val="28"/>
          <w:highlight w:val="none"/>
        </w:rPr>
      </w:pPr>
      <w:bookmarkStart w:id="86" w:name="_Toc520356143"/>
      <w:bookmarkStart w:id="87" w:name="_Toc127151518"/>
      <w:r>
        <w:rPr>
          <w:rFonts w:hint="eastAsia" w:ascii="宋体" w:hAnsi="宋体" w:eastAsia="宋体" w:cs="宋体"/>
          <w:color w:val="auto"/>
          <w:sz w:val="28"/>
          <w:highlight w:val="none"/>
        </w:rPr>
        <w:tab/>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86"/>
      <w:bookmarkEnd w:id="87"/>
      <w:bookmarkStart w:id="88" w:name="_Toc265228356"/>
      <w:bookmarkStart w:id="89" w:name="_Toc150774618"/>
      <w:bookmarkStart w:id="90" w:name="_Toc150480756"/>
      <w:bookmarkStart w:id="91" w:name="_Toc151193688"/>
      <w:bookmarkStart w:id="92" w:name="_Toc142311020"/>
      <w:bookmarkStart w:id="93" w:name="_Toc305158860"/>
      <w:bookmarkStart w:id="94" w:name="_Toc151193906"/>
      <w:bookmarkStart w:id="95" w:name="_Toc226965708"/>
      <w:bookmarkStart w:id="96" w:name="_Toc151193616"/>
      <w:bookmarkStart w:id="97" w:name="_Toc264969208"/>
      <w:bookmarkStart w:id="98" w:name="_Toc305158786"/>
      <w:bookmarkStart w:id="99" w:name="_Toc226965791"/>
      <w:bookmarkStart w:id="100" w:name="_Toc151193832"/>
      <w:bookmarkStart w:id="101" w:name="_Toc151193760"/>
      <w:bookmarkStart w:id="102" w:name="_Toc150509269"/>
      <w:bookmarkStart w:id="103" w:name="_Toc226309762"/>
      <w:bookmarkStart w:id="104" w:name="_Toc195842883"/>
      <w:bookmarkStart w:id="105" w:name="_Toc150774723"/>
      <w:bookmarkStart w:id="106" w:name="_Toc226337214"/>
      <w:bookmarkStart w:id="107" w:name="_Toc151190145"/>
      <w:bookmarkStart w:id="108" w:name="_Toc226965828"/>
      <w:bookmarkStart w:id="109" w:name="_Toc265228393"/>
      <w:bookmarkStart w:id="110" w:name="_Toc264969245"/>
      <w:bookmarkStart w:id="111" w:name="_Toc150774760"/>
      <w:bookmarkStart w:id="112" w:name="_Toc305158823"/>
      <w:bookmarkStart w:id="113" w:name="_Toc305158897"/>
      <w:bookmarkStart w:id="114" w:name="_Toc353825545"/>
      <w:bookmarkStart w:id="115" w:name="_Toc142311057"/>
      <w:bookmarkStart w:id="116" w:name="_Toc353873935"/>
      <w:bookmarkStart w:id="117" w:name="_Toc150480793"/>
      <w:bookmarkStart w:id="118" w:name="_Toc226337251"/>
      <w:bookmarkStart w:id="119" w:name="_Toc353873665"/>
      <w:bookmarkStart w:id="120" w:name="_Toc127151555"/>
      <w:bookmarkStart w:id="121" w:name="_Toc195842920"/>
      <w:r>
        <w:rPr>
          <w:rFonts w:hint="eastAsia" w:ascii="宋体" w:hAnsi="宋体" w:eastAsia="宋体" w:cs="宋体"/>
          <w:color w:val="auto"/>
          <w:sz w:val="28"/>
          <w:highlight w:val="none"/>
        </w:rPr>
        <w:t>一   说  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hint="eastAsia" w:ascii="宋体" w:hAnsi="宋体" w:eastAsia="宋体" w:cs="宋体"/>
          <w:color w:val="auto"/>
          <w:sz w:val="28"/>
          <w:highlight w:val="none"/>
        </w:rPr>
        <w:tab/>
      </w:r>
    </w:p>
    <w:p w14:paraId="07FDBC29">
      <w:pPr>
        <w:numPr>
          <w:ilvl w:val="0"/>
          <w:numId w:val="9"/>
        </w:numPr>
        <w:tabs>
          <w:tab w:val="left" w:pos="360"/>
          <w:tab w:val="clear" w:pos="900"/>
        </w:tabs>
        <w:snapToGrid w:val="0"/>
        <w:spacing w:line="360" w:lineRule="auto"/>
        <w:ind w:left="357" w:hanging="357"/>
        <w:outlineLvl w:val="1"/>
        <w:rPr>
          <w:rFonts w:ascii="宋体" w:hAnsi="宋体" w:cs="宋体"/>
          <w:color w:val="auto"/>
          <w:sz w:val="24"/>
          <w:highlight w:val="none"/>
        </w:rPr>
      </w:pPr>
      <w:bookmarkStart w:id="122" w:name="_Toc265228357"/>
      <w:bookmarkStart w:id="123" w:name="_Toc305158861"/>
      <w:bookmarkStart w:id="124" w:name="_Toc305158787"/>
      <w:bookmarkStart w:id="125" w:name="_Toc264969209"/>
      <w:r>
        <w:rPr>
          <w:rFonts w:hint="eastAsia" w:ascii="宋体" w:hAnsi="宋体" w:cs="宋体"/>
          <w:color w:val="auto"/>
          <w:sz w:val="24"/>
          <w:highlight w:val="none"/>
        </w:rPr>
        <w:t>采购人、采购代理机构、投标人</w:t>
      </w:r>
      <w:bookmarkEnd w:id="122"/>
      <w:bookmarkEnd w:id="123"/>
      <w:bookmarkEnd w:id="124"/>
      <w:bookmarkEnd w:id="125"/>
      <w:r>
        <w:rPr>
          <w:rFonts w:hint="eastAsia" w:ascii="宋体" w:hAnsi="宋体" w:cs="宋体"/>
          <w:color w:val="auto"/>
          <w:sz w:val="24"/>
          <w:highlight w:val="none"/>
        </w:rPr>
        <w:t>、联合体</w:t>
      </w:r>
    </w:p>
    <w:p w14:paraId="34D46892">
      <w:pPr>
        <w:numPr>
          <w:ilvl w:val="1"/>
          <w:numId w:val="9"/>
        </w:numPr>
        <w:tabs>
          <w:tab w:val="left" w:pos="1080"/>
          <w:tab w:val="left" w:pos="2014"/>
          <w:tab w:val="left" w:pos="5521"/>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采购人、采购代理机构：指依法进行政府采购的国家机关、事业单位、团体组织，及其委托的采购代理机构。本项目采购人、采购代理机构见第一章《投标邀请》。</w:t>
      </w:r>
    </w:p>
    <w:p w14:paraId="5A854A99">
      <w:pPr>
        <w:numPr>
          <w:ilvl w:val="1"/>
          <w:numId w:val="9"/>
        </w:numPr>
        <w:tabs>
          <w:tab w:val="left" w:pos="1080"/>
          <w:tab w:val="left" w:pos="2014"/>
          <w:tab w:val="left" w:pos="5521"/>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投标人（也称“供应商”、“申请人”）：指向采购人提供货物、工程或者服务的法人、其他组织或者自然人。</w:t>
      </w:r>
    </w:p>
    <w:p w14:paraId="6AED67DB">
      <w:pPr>
        <w:numPr>
          <w:ilvl w:val="1"/>
          <w:numId w:val="9"/>
        </w:numPr>
        <w:tabs>
          <w:tab w:val="left" w:pos="1080"/>
          <w:tab w:val="left" w:pos="2014"/>
          <w:tab w:val="left" w:pos="5521"/>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联合体：指两个以上的自然人、法人或者其他组织组成一个联合体，以一个供应商的身份共同参加政府采购。</w:t>
      </w:r>
    </w:p>
    <w:p w14:paraId="77A2E1E0">
      <w:pPr>
        <w:numPr>
          <w:ilvl w:val="0"/>
          <w:numId w:val="9"/>
        </w:numPr>
        <w:tabs>
          <w:tab w:val="left" w:pos="360"/>
          <w:tab w:val="clear" w:pos="900"/>
        </w:tabs>
        <w:snapToGrid w:val="0"/>
        <w:spacing w:line="360" w:lineRule="auto"/>
        <w:ind w:left="357" w:hanging="357"/>
        <w:outlineLvl w:val="1"/>
        <w:rPr>
          <w:rFonts w:ascii="宋体" w:hAnsi="宋体" w:cs="宋体"/>
          <w:color w:val="auto"/>
          <w:sz w:val="24"/>
          <w:highlight w:val="none"/>
        </w:rPr>
      </w:pPr>
      <w:bookmarkStart w:id="126" w:name="_Toc305158788"/>
      <w:bookmarkStart w:id="127" w:name="_Toc151193908"/>
      <w:bookmarkStart w:id="128" w:name="_Toc264969210"/>
      <w:bookmarkStart w:id="129" w:name="_Toc305158862"/>
      <w:bookmarkStart w:id="130" w:name="_Toc151193762"/>
      <w:bookmarkStart w:id="131" w:name="_Toc150774620"/>
      <w:bookmarkStart w:id="132" w:name="_Toc164229361"/>
      <w:bookmarkStart w:id="133" w:name="_Toc226337216"/>
      <w:bookmarkStart w:id="134" w:name="_Toc164608634"/>
      <w:bookmarkStart w:id="135" w:name="_Toc195842885"/>
      <w:bookmarkStart w:id="136" w:name="_Toc127151721"/>
      <w:bookmarkStart w:id="137" w:name="_Toc142311022"/>
      <w:bookmarkStart w:id="138" w:name="_Toc150774725"/>
      <w:bookmarkStart w:id="139" w:name="_Toc151193618"/>
      <w:bookmarkStart w:id="140" w:name="_Toc265228358"/>
      <w:bookmarkStart w:id="141" w:name="_Toc164229215"/>
      <w:bookmarkStart w:id="142" w:name="_Toc164351614"/>
      <w:bookmarkStart w:id="143" w:name="_Toc149720813"/>
      <w:bookmarkStart w:id="144" w:name="_Toc150509271"/>
      <w:bookmarkStart w:id="145" w:name="_Toc127161434"/>
      <w:bookmarkStart w:id="146" w:name="_Toc127151520"/>
      <w:bookmarkStart w:id="147" w:name="_Toc164608789"/>
      <w:bookmarkStart w:id="148" w:name="_Toc151193690"/>
      <w:bookmarkStart w:id="149" w:name="_Toc226965710"/>
      <w:bookmarkStart w:id="150" w:name="_Toc150480758"/>
      <w:bookmarkStart w:id="151" w:name="_Toc226965793"/>
      <w:bookmarkStart w:id="152" w:name="_Toc151193834"/>
      <w:bookmarkStart w:id="153" w:name="_Toc151190147"/>
      <w:bookmarkStart w:id="154" w:name="_Toc226309764"/>
      <w:r>
        <w:rPr>
          <w:rFonts w:hint="eastAsia" w:ascii="宋体" w:hAnsi="宋体" w:cs="宋体"/>
          <w:color w:val="auto"/>
          <w:sz w:val="24"/>
          <w:highlight w:val="none"/>
        </w:rPr>
        <w:t>资金来源</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hint="eastAsia" w:ascii="宋体" w:hAnsi="宋体" w:cs="宋体"/>
          <w:color w:val="auto"/>
          <w:sz w:val="24"/>
          <w:highlight w:val="none"/>
        </w:rPr>
        <w:t>、项目属性、科研仪器设备采购、核心产品</w:t>
      </w:r>
    </w:p>
    <w:p w14:paraId="64223B04">
      <w:pPr>
        <w:numPr>
          <w:ilvl w:val="1"/>
          <w:numId w:val="9"/>
        </w:numPr>
        <w:tabs>
          <w:tab w:val="left" w:pos="1080"/>
          <w:tab w:val="left" w:pos="2014"/>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资金来源为财政性资金和/或本项目采购中无法与财政性资金分割的非财政性资金。</w:t>
      </w:r>
    </w:p>
    <w:p w14:paraId="3AC92DD9">
      <w:pPr>
        <w:numPr>
          <w:ilvl w:val="1"/>
          <w:numId w:val="9"/>
        </w:numPr>
        <w:tabs>
          <w:tab w:val="left" w:pos="1080"/>
          <w:tab w:val="left" w:pos="2014"/>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项目属性见《投标人须知资料表》。</w:t>
      </w:r>
    </w:p>
    <w:p w14:paraId="3AD25199">
      <w:pPr>
        <w:numPr>
          <w:ilvl w:val="1"/>
          <w:numId w:val="9"/>
        </w:numPr>
        <w:tabs>
          <w:tab w:val="left" w:pos="1080"/>
          <w:tab w:val="left" w:pos="2014"/>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是否属于科研仪器设备采购见《投标人须知资料表》。</w:t>
      </w:r>
    </w:p>
    <w:p w14:paraId="371E3429">
      <w:pPr>
        <w:numPr>
          <w:ilvl w:val="1"/>
          <w:numId w:val="9"/>
        </w:numPr>
        <w:tabs>
          <w:tab w:val="left" w:pos="1080"/>
          <w:tab w:val="left" w:pos="2014"/>
          <w:tab w:val="left" w:pos="5521"/>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核心产品见《投标人须知资料表》。</w:t>
      </w:r>
    </w:p>
    <w:p w14:paraId="1D478C90">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r>
        <w:rPr>
          <w:rFonts w:hint="eastAsia" w:ascii="宋体" w:hAnsi="宋体" w:cs="宋体"/>
          <w:color w:val="auto"/>
          <w:sz w:val="24"/>
          <w:highlight w:val="none"/>
        </w:rPr>
        <w:t>现场考察、开标前答疑会</w:t>
      </w:r>
    </w:p>
    <w:p w14:paraId="45807320">
      <w:pPr>
        <w:numPr>
          <w:ilvl w:val="1"/>
          <w:numId w:val="9"/>
        </w:numPr>
        <w:tabs>
          <w:tab w:val="left" w:pos="1080"/>
          <w:tab w:val="left" w:pos="2014"/>
        </w:tabs>
        <w:snapToGrid w:val="0"/>
        <w:spacing w:line="360" w:lineRule="auto"/>
        <w:ind w:left="1080" w:hanging="720"/>
        <w:rPr>
          <w:rFonts w:ascii="宋体" w:hAnsi="宋体" w:cs="宋体"/>
          <w:color w:val="auto"/>
          <w:sz w:val="28"/>
          <w:highlight w:val="none"/>
        </w:rPr>
      </w:pPr>
      <w:r>
        <w:rPr>
          <w:rFonts w:hint="eastAsia" w:ascii="宋体" w:hAnsi="宋体" w:cs="宋体"/>
          <w:color w:val="auto"/>
          <w:sz w:val="24"/>
          <w:highlight w:val="none"/>
        </w:rPr>
        <w:t>若《投标人须知资料表》中规定了组织现场考察、召开开标前答疑会，则投标人应按要求在规定的时间和地点参加。</w:t>
      </w:r>
      <w:bookmarkStart w:id="155" w:name="_Toc150774727"/>
      <w:bookmarkStart w:id="156" w:name="_Toc305158864"/>
      <w:bookmarkStart w:id="157" w:name="_Toc151190149"/>
      <w:bookmarkStart w:id="158" w:name="_Toc226337218"/>
      <w:bookmarkStart w:id="159" w:name="_Toc226309766"/>
      <w:bookmarkStart w:id="160" w:name="_Toc151193692"/>
      <w:bookmarkStart w:id="161" w:name="_Toc150480760"/>
      <w:bookmarkStart w:id="162" w:name="_Toc226965795"/>
      <w:bookmarkStart w:id="163" w:name="_Toc151193620"/>
      <w:bookmarkStart w:id="164" w:name="_Toc142311024"/>
      <w:bookmarkStart w:id="165" w:name="_Toc150509273"/>
      <w:bookmarkStart w:id="166" w:name="_Toc195842887"/>
      <w:bookmarkStart w:id="167" w:name="_Toc151193910"/>
      <w:bookmarkStart w:id="168" w:name="_Toc305158790"/>
      <w:bookmarkStart w:id="169" w:name="_Toc127151522"/>
      <w:bookmarkStart w:id="170" w:name="_Toc151193836"/>
      <w:bookmarkStart w:id="171" w:name="_Toc151193764"/>
      <w:bookmarkStart w:id="172" w:name="_Toc150774622"/>
      <w:bookmarkStart w:id="173" w:name="_Toc226965712"/>
      <w:bookmarkStart w:id="174" w:name="_Toc520356146"/>
      <w:bookmarkStart w:id="175" w:name="_Toc265228360"/>
      <w:bookmarkStart w:id="176" w:name="_Toc264969212"/>
    </w:p>
    <w:p w14:paraId="6D74441A">
      <w:pPr>
        <w:numPr>
          <w:ilvl w:val="1"/>
          <w:numId w:val="9"/>
        </w:numPr>
        <w:tabs>
          <w:tab w:val="left" w:pos="1080"/>
          <w:tab w:val="left" w:pos="2014"/>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14:paraId="0A861B35">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r>
        <w:rPr>
          <w:rFonts w:hint="eastAsia" w:ascii="宋体" w:hAnsi="宋体" w:cs="宋体"/>
          <w:color w:val="auto"/>
          <w:sz w:val="24"/>
          <w:highlight w:val="none"/>
        </w:rPr>
        <w:t>样品</w:t>
      </w:r>
    </w:p>
    <w:p w14:paraId="6A447BF7">
      <w:pPr>
        <w:numPr>
          <w:ilvl w:val="1"/>
          <w:numId w:val="9"/>
        </w:numPr>
        <w:tabs>
          <w:tab w:val="left" w:pos="1080"/>
          <w:tab w:val="left" w:pos="2014"/>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本项目是否要求投标人提供样品，以及样品制作的标准和要求、是否需要随样品提交相关检测报告、样品的递交与退还等要求见《投标人须知资料表》。</w:t>
      </w:r>
    </w:p>
    <w:p w14:paraId="0F0C8537">
      <w:pPr>
        <w:numPr>
          <w:ilvl w:val="1"/>
          <w:numId w:val="9"/>
        </w:numPr>
        <w:tabs>
          <w:tab w:val="left" w:pos="1080"/>
          <w:tab w:val="left" w:pos="2014"/>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样品的评审方法以及评审标准等内容见第四章《评标方法和评标标准》。</w:t>
      </w:r>
    </w:p>
    <w:p w14:paraId="5C407626">
      <w:pPr>
        <w:numPr>
          <w:ilvl w:val="0"/>
          <w:numId w:val="9"/>
        </w:numPr>
        <w:tabs>
          <w:tab w:val="left" w:pos="360"/>
          <w:tab w:val="clear" w:pos="900"/>
        </w:tabs>
        <w:snapToGrid w:val="0"/>
        <w:spacing w:line="360" w:lineRule="auto"/>
        <w:ind w:left="357" w:hanging="357"/>
        <w:outlineLvl w:val="1"/>
        <w:rPr>
          <w:rFonts w:ascii="宋体" w:hAnsi="宋体" w:cs="宋体"/>
          <w:color w:val="auto"/>
          <w:sz w:val="24"/>
          <w:highlight w:val="none"/>
        </w:rPr>
      </w:pPr>
      <w:r>
        <w:rPr>
          <w:rFonts w:hint="eastAsia" w:ascii="宋体" w:hAnsi="宋体" w:cs="宋体"/>
          <w:color w:val="auto"/>
          <w:sz w:val="24"/>
          <w:highlight w:val="none"/>
        </w:rPr>
        <w:t>政府采购政策（包括但不限于下列具体政策要求）</w:t>
      </w:r>
    </w:p>
    <w:p w14:paraId="7C49C5B4">
      <w:pPr>
        <w:numPr>
          <w:ilvl w:val="1"/>
          <w:numId w:val="9"/>
        </w:numPr>
        <w:tabs>
          <w:tab w:val="left" w:pos="1080"/>
          <w:tab w:val="left" w:pos="2014"/>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采购本国货物、工程和服务</w:t>
      </w:r>
    </w:p>
    <w:p w14:paraId="44EC8EB3">
      <w:pPr>
        <w:numPr>
          <w:ilvl w:val="2"/>
          <w:numId w:val="9"/>
        </w:numPr>
        <w:tabs>
          <w:tab w:val="left" w:pos="2014"/>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政府采购应当采购本国货物、工程和服务。但有《中华人民共和国政</w:t>
      </w:r>
    </w:p>
    <w:p w14:paraId="578C3244">
      <w:pPr>
        <w:tabs>
          <w:tab w:val="left" w:pos="1980"/>
          <w:tab w:val="left" w:pos="2014"/>
        </w:tabs>
        <w:snapToGrid w:val="0"/>
        <w:spacing w:line="360" w:lineRule="auto"/>
        <w:ind w:left="1980"/>
        <w:rPr>
          <w:rFonts w:ascii="宋体" w:hAnsi="宋体" w:cs="宋体"/>
          <w:color w:val="auto"/>
          <w:sz w:val="24"/>
          <w:highlight w:val="none"/>
        </w:rPr>
      </w:pPr>
      <w:r>
        <w:rPr>
          <w:rFonts w:hint="eastAsia" w:ascii="宋体" w:hAnsi="宋体" w:cs="宋体"/>
          <w:color w:val="auto"/>
          <w:sz w:val="24"/>
          <w:highlight w:val="none"/>
        </w:rPr>
        <w:t>府采购法》第十条规定情形的除外。</w:t>
      </w:r>
    </w:p>
    <w:p w14:paraId="39663FFD">
      <w:pPr>
        <w:numPr>
          <w:ilvl w:val="2"/>
          <w:numId w:val="9"/>
        </w:numPr>
        <w:tabs>
          <w:tab w:val="left" w:pos="2014"/>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本项目如接受非本国货物、工程、服务参与投标，则具体要求见第五章《采购需求》。</w:t>
      </w:r>
    </w:p>
    <w:p w14:paraId="1B1FB73B">
      <w:pPr>
        <w:pStyle w:val="19"/>
        <w:spacing w:before="180" w:line="220" w:lineRule="auto"/>
        <w:ind w:left="1099"/>
        <w:rPr>
          <w:rFonts w:cs="宋体"/>
          <w:color w:val="auto"/>
          <w:highlight w:val="none"/>
        </w:rPr>
      </w:pPr>
      <w:r>
        <w:rPr>
          <w:rFonts w:hint="eastAsia" w:cs="宋体"/>
          <w:color w:val="auto"/>
          <w:highlight w:val="none"/>
        </w:rPr>
        <w:t>5.1.3   进口产品指通过中国海关报关验放进入中国境内且产自关境外的产</w:t>
      </w:r>
    </w:p>
    <w:p w14:paraId="650FB02E">
      <w:pPr>
        <w:pStyle w:val="19"/>
        <w:spacing w:before="181" w:line="359" w:lineRule="auto"/>
        <w:ind w:left="1988" w:right="111" w:firstLine="20"/>
        <w:rPr>
          <w:rFonts w:cs="宋体"/>
          <w:color w:val="auto"/>
          <w:highlight w:val="none"/>
        </w:rPr>
      </w:pPr>
      <w:r>
        <w:rPr>
          <w:rFonts w:hint="eastAsia" w:cs="宋体"/>
          <w:color w:val="auto"/>
          <w:highlight w:val="none"/>
        </w:rPr>
        <w:t>品，包括已经进入中国境内的进口产品。关于进口产品的相关规定依 据《政府采购进口产品管理办法》（财库〔2007〕119 号文）、《关于政府采购进口产品管理有关问题的通知》（财办库〔2008〕248号文）。</w:t>
      </w:r>
    </w:p>
    <w:p w14:paraId="46885971">
      <w:pPr>
        <w:numPr>
          <w:ilvl w:val="1"/>
          <w:numId w:val="9"/>
        </w:numPr>
        <w:tabs>
          <w:tab w:val="left" w:pos="1080"/>
          <w:tab w:val="left" w:pos="2014"/>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中小企业、监狱企业及残疾人福利性单位</w:t>
      </w:r>
    </w:p>
    <w:p w14:paraId="48AAC282">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中小企业定义：</w:t>
      </w:r>
    </w:p>
    <w:p w14:paraId="15F6BCB4">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highlight w:val="none"/>
        </w:rPr>
      </w:pPr>
      <w:r>
        <w:rPr>
          <w:rFonts w:hint="eastAsia" w:ascii="宋体" w:hAnsi="宋体" w:cs="宋体"/>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 号）、《关于印发中小企业划型标准规定的通知》（工信部联企业〔2011〕300 号）。</w:t>
      </w:r>
    </w:p>
    <w:p w14:paraId="5E1AB883">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highlight w:val="none"/>
        </w:rPr>
      </w:pPr>
      <w:r>
        <w:rPr>
          <w:rFonts w:hint="eastAsia" w:ascii="宋体" w:hAnsi="宋体" w:cs="宋体"/>
          <w:color w:val="auto"/>
          <w:sz w:val="24"/>
          <w:highlight w:val="none"/>
        </w:rPr>
        <w:t>供应商提供的货物、工程或者服务符合下列情形的，享受中小企业扶持政策：</w:t>
      </w:r>
    </w:p>
    <w:p w14:paraId="756D68C1">
      <w:pPr>
        <w:tabs>
          <w:tab w:val="left" w:pos="1980"/>
        </w:tabs>
        <w:snapToGrid w:val="0"/>
        <w:spacing w:line="360" w:lineRule="auto"/>
        <w:ind w:left="2835" w:leftChars="1350"/>
        <w:rPr>
          <w:rFonts w:ascii="宋体" w:hAnsi="宋体" w:cs="宋体"/>
          <w:color w:val="auto"/>
          <w:sz w:val="24"/>
          <w:highlight w:val="none"/>
        </w:rPr>
      </w:pPr>
      <w:r>
        <w:rPr>
          <w:rFonts w:hint="eastAsia" w:ascii="宋体" w:hAnsi="宋体" w:cs="宋体"/>
          <w:color w:val="auto"/>
          <w:sz w:val="24"/>
          <w:highlight w:val="none"/>
        </w:rPr>
        <w:t>（1）在货物采购项目中，货物由中小企业制造，即货物由中小企业生产且使用该中小企业商号或者注册商标；</w:t>
      </w:r>
    </w:p>
    <w:p w14:paraId="3C7D59EE">
      <w:pPr>
        <w:tabs>
          <w:tab w:val="left" w:pos="1980"/>
        </w:tabs>
        <w:snapToGrid w:val="0"/>
        <w:spacing w:line="360" w:lineRule="auto"/>
        <w:ind w:left="2835" w:leftChars="1350"/>
        <w:rPr>
          <w:rFonts w:ascii="宋体" w:hAnsi="宋体" w:cs="宋体"/>
          <w:color w:val="auto"/>
          <w:sz w:val="24"/>
          <w:highlight w:val="none"/>
        </w:rPr>
      </w:pPr>
      <w:r>
        <w:rPr>
          <w:rFonts w:hint="eastAsia" w:ascii="宋体" w:hAnsi="宋体" w:cs="宋体"/>
          <w:color w:val="auto"/>
          <w:sz w:val="24"/>
          <w:highlight w:val="none"/>
        </w:rPr>
        <w:t>（2）在工程采购项目中，工程由中小企业承建，即工程施工单位为中小企业；</w:t>
      </w:r>
    </w:p>
    <w:p w14:paraId="7B36620A">
      <w:pPr>
        <w:tabs>
          <w:tab w:val="left" w:pos="1980"/>
        </w:tabs>
        <w:snapToGrid w:val="0"/>
        <w:spacing w:line="360" w:lineRule="auto"/>
        <w:ind w:left="2835" w:leftChars="1350"/>
        <w:rPr>
          <w:rFonts w:ascii="宋体" w:hAnsi="宋体" w:cs="宋体"/>
          <w:color w:val="auto"/>
          <w:sz w:val="24"/>
          <w:highlight w:val="none"/>
        </w:rPr>
      </w:pPr>
      <w:r>
        <w:rPr>
          <w:rFonts w:hint="eastAsia" w:ascii="宋体" w:hAnsi="宋体" w:cs="宋体"/>
          <w:color w:val="auto"/>
          <w:sz w:val="24"/>
          <w:highlight w:val="none"/>
        </w:rPr>
        <w:t>（3）在服务采购项目中，服务由中小企业承接，即提供服务的人员为中小企业依照《中华人民共和国劳动合同法》订立劳动合同的从业人员。</w:t>
      </w:r>
    </w:p>
    <w:p w14:paraId="6B88A723">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在货物采购项目中，供应商提供的货物既有中小企业制造货物，也有大型企业制造货物的，不享受中小企业扶持政策。</w:t>
      </w:r>
    </w:p>
    <w:p w14:paraId="0C5F8279">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31B4CC2C">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在政府采购活动中，监狱企业视同小型、微型企业，享受预留份额、</w:t>
      </w:r>
    </w:p>
    <w:p w14:paraId="6666530E">
      <w:pPr>
        <w:tabs>
          <w:tab w:val="left" w:pos="1980"/>
        </w:tabs>
        <w:snapToGrid w:val="0"/>
        <w:spacing w:line="360" w:lineRule="auto"/>
        <w:ind w:left="1980"/>
        <w:rPr>
          <w:rFonts w:ascii="宋体" w:hAnsi="宋体" w:cs="宋体"/>
          <w:color w:val="auto"/>
          <w:sz w:val="24"/>
          <w:highlight w:val="none"/>
        </w:rPr>
      </w:pPr>
      <w:r>
        <w:rPr>
          <w:rFonts w:hint="eastAsia" w:ascii="宋体" w:hAnsi="宋体" w:cs="宋体"/>
          <w:color w:val="auto"/>
          <w:sz w:val="24"/>
          <w:highlight w:val="none"/>
        </w:rPr>
        <w:t>评审中价格扣除等政府采购促进中小企业发展的政府采购政策。监狱 企业定义：是指由司法部认定的为罪犯、戒毒人员供生产项目和劳动对象，且全部产权属于司法部监狱管理局、戒毒管理局、直属煤矿管理局，各省、自治区、直辖市监狱管理局、戒毒管理局，各地（设区的市） 监狱、强制隔离戒毒所、戒毒康复所，以及新疆生产建设兵团监狱管理局、戒毒管理局的企业。</w:t>
      </w:r>
    </w:p>
    <w:p w14:paraId="2C7DDE0C">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在政府采购活动中，残疾人福利性单位视同小型、微型企业，享受预留份额、评审中价格扣除等促进中小企业发展的政府采购政策。残疾 人福利性单位定义：享受政府采购支持政策的残疾人福利性单位应当</w:t>
      </w:r>
    </w:p>
    <w:p w14:paraId="21097B6B">
      <w:pPr>
        <w:tabs>
          <w:tab w:val="left" w:pos="1980"/>
        </w:tabs>
        <w:snapToGrid w:val="0"/>
        <w:spacing w:line="360" w:lineRule="auto"/>
        <w:ind w:left="1980"/>
        <w:rPr>
          <w:rFonts w:ascii="宋体" w:hAnsi="宋体" w:cs="宋体"/>
          <w:color w:val="auto"/>
          <w:sz w:val="24"/>
          <w:highlight w:val="none"/>
        </w:rPr>
      </w:pPr>
      <w:r>
        <w:rPr>
          <w:rFonts w:hint="eastAsia" w:ascii="宋体" w:hAnsi="宋体" w:cs="宋体"/>
          <w:color w:val="auto"/>
          <w:sz w:val="24"/>
          <w:highlight w:val="none"/>
        </w:rPr>
        <w:t>同时满足以下条件：</w:t>
      </w:r>
    </w:p>
    <w:p w14:paraId="02E15E4D">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highlight w:val="none"/>
        </w:rPr>
      </w:pPr>
      <w:r>
        <w:rPr>
          <w:rFonts w:hint="eastAsia" w:ascii="宋体" w:hAnsi="宋体" w:cs="宋体"/>
          <w:color w:val="auto"/>
          <w:sz w:val="24"/>
          <w:highlight w:val="none"/>
        </w:rPr>
        <w:t>安置的残疾人占本单位在职职工人数的比例不低于25%（含25%），并且安置的残疾人人数不少于10 人（含10 人）；</w:t>
      </w:r>
    </w:p>
    <w:p w14:paraId="64381DB0">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highlight w:val="none"/>
        </w:rPr>
      </w:pPr>
      <w:r>
        <w:rPr>
          <w:rFonts w:hint="eastAsia" w:ascii="宋体" w:hAnsi="宋体" w:cs="宋体"/>
          <w:color w:val="auto"/>
          <w:sz w:val="24"/>
          <w:highlight w:val="none"/>
        </w:rPr>
        <w:t>依法与安置的每位残疾人签订了一年以上（含一年）的劳动合同或服务协议；</w:t>
      </w:r>
    </w:p>
    <w:p w14:paraId="3B2F791B">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highlight w:val="none"/>
        </w:rPr>
      </w:pPr>
      <w:r>
        <w:rPr>
          <w:rFonts w:hint="eastAsia" w:ascii="宋体" w:hAnsi="宋体" w:cs="宋体"/>
          <w:color w:val="auto"/>
          <w:sz w:val="24"/>
          <w:highlight w:val="none"/>
        </w:rPr>
        <w:t>为安置的每位残疾人按月足额缴纳了基本养老保险、基本医疗保险、失业保险、工伤保险和生育保险等社会保险费；</w:t>
      </w:r>
    </w:p>
    <w:p w14:paraId="0D3C9179">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highlight w:val="none"/>
        </w:rPr>
      </w:pPr>
      <w:r>
        <w:rPr>
          <w:rFonts w:hint="eastAsia" w:ascii="宋体" w:hAnsi="宋体" w:cs="宋体"/>
          <w:color w:val="auto"/>
          <w:sz w:val="24"/>
          <w:highlight w:val="none"/>
        </w:rPr>
        <w:t>通过银行等金融机构向安置的每位残疾人，按月支付了不低于单位所在区县适用的经省级人民政府批准的月最低工资标准的工资；</w:t>
      </w:r>
    </w:p>
    <w:p w14:paraId="26474BDB">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highlight w:val="none"/>
        </w:rPr>
      </w:pPr>
      <w:r>
        <w:rPr>
          <w:rFonts w:hint="eastAsia" w:ascii="宋体" w:hAnsi="宋体" w:cs="宋体"/>
          <w:color w:val="auto"/>
          <w:sz w:val="24"/>
          <w:highlight w:val="none"/>
        </w:rPr>
        <w:t>提供本单位制造的货物、承担的工程或者服务（以下简称产品），或者提供其他残疾人福利性单位制造的货物（不包括使用非残疾人福利性单位注册商标的货物）；</w:t>
      </w:r>
    </w:p>
    <w:p w14:paraId="7A1F8B72">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highlight w:val="none"/>
        </w:rPr>
      </w:pPr>
      <w:r>
        <w:rPr>
          <w:rFonts w:hint="eastAsia" w:ascii="宋体" w:hAnsi="宋体" w:cs="宋体"/>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61F7ADA">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本项目是否专门面向中小企业预留采购份额见第一章《投标邀请》。</w:t>
      </w:r>
    </w:p>
    <w:p w14:paraId="158B7B8A">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采购标的对应的中小企业划分标准所属行业见《投标人须知资料表》。</w:t>
      </w:r>
    </w:p>
    <w:p w14:paraId="3C5A380A">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小微企业价格评审优惠的政策调整：见第四章《评标程序、评标方法和评标标准》。</w:t>
      </w:r>
    </w:p>
    <w:p w14:paraId="6A643C36">
      <w:pPr>
        <w:numPr>
          <w:ilvl w:val="1"/>
          <w:numId w:val="9"/>
        </w:numPr>
        <w:tabs>
          <w:tab w:val="left" w:pos="1080"/>
          <w:tab w:val="left" w:pos="2014"/>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政府采购节能产品、环境标志产品</w:t>
      </w:r>
    </w:p>
    <w:p w14:paraId="4FD5BF1A">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EA4A66F">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790538CC">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color w:val="auto"/>
          <w:kern w:val="0"/>
          <w:sz w:val="24"/>
          <w:highlight w:val="none"/>
        </w:rPr>
        <w:t>否则</w:t>
      </w:r>
      <w:r>
        <w:rPr>
          <w:rFonts w:hint="eastAsia" w:ascii="宋体" w:hAnsi="宋体" w:cs="宋体"/>
          <w:b/>
          <w:color w:val="auto"/>
          <w:kern w:val="0"/>
          <w:sz w:val="24"/>
          <w:highlight w:val="none"/>
        </w:rPr>
        <w:t>投标无效</w:t>
      </w:r>
      <w:r>
        <w:rPr>
          <w:rFonts w:hint="eastAsia" w:ascii="宋体" w:hAnsi="宋体" w:cs="宋体"/>
          <w:color w:val="auto"/>
          <w:sz w:val="24"/>
          <w:highlight w:val="none"/>
        </w:rPr>
        <w:t>；</w:t>
      </w:r>
    </w:p>
    <w:p w14:paraId="62DC53CE">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非政府强制采购的节能产品或环境标志产品，依据品目清单和认证证书实施政府优先采购。优先采购的具体规定见第四章《评标方法和评标标准》（如涉及）。</w:t>
      </w:r>
    </w:p>
    <w:p w14:paraId="6906474C">
      <w:pPr>
        <w:numPr>
          <w:ilvl w:val="1"/>
          <w:numId w:val="9"/>
        </w:numPr>
        <w:tabs>
          <w:tab w:val="left" w:pos="1080"/>
          <w:tab w:val="left" w:pos="2014"/>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正版软件</w:t>
      </w:r>
    </w:p>
    <w:p w14:paraId="6CE60820">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hint="eastAsia" w:ascii="宋体" w:hAnsi="宋体" w:cs="宋体"/>
          <w:color w:val="auto"/>
          <w:kern w:val="0"/>
          <w:sz w:val="24"/>
          <w:highlight w:val="none"/>
        </w:rPr>
        <w:t>否则</w:t>
      </w:r>
      <w:r>
        <w:rPr>
          <w:rFonts w:hint="eastAsia" w:ascii="宋体" w:hAnsi="宋体" w:cs="宋体"/>
          <w:b/>
          <w:color w:val="auto"/>
          <w:kern w:val="0"/>
          <w:sz w:val="24"/>
          <w:highlight w:val="none"/>
        </w:rPr>
        <w:t>投标无效</w:t>
      </w:r>
      <w:r>
        <w:rPr>
          <w:rFonts w:hint="eastAsia" w:ascii="宋体" w:hAnsi="宋体" w:cs="宋体"/>
          <w:color w:val="auto"/>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0EC4CF5">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C9B9805">
      <w:pPr>
        <w:numPr>
          <w:ilvl w:val="1"/>
          <w:numId w:val="9"/>
        </w:numPr>
        <w:tabs>
          <w:tab w:val="left" w:pos="1080"/>
          <w:tab w:val="left" w:pos="2014"/>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网络安全专用产品</w:t>
      </w:r>
    </w:p>
    <w:p w14:paraId="47349BF3">
      <w:pPr>
        <w:pStyle w:val="19"/>
        <w:spacing w:before="179" w:line="220" w:lineRule="auto"/>
        <w:ind w:left="1099"/>
        <w:rPr>
          <w:rFonts w:cs="宋体"/>
          <w:color w:val="auto"/>
          <w:highlight w:val="none"/>
        </w:rPr>
      </w:pPr>
      <w:r>
        <w:rPr>
          <w:rFonts w:hint="eastAsia" w:cs="宋体"/>
          <w:color w:val="auto"/>
          <w:spacing w:val="-1"/>
          <w:highlight w:val="none"/>
        </w:rPr>
        <w:t>5.5.1  所投产品属于列入《网络关键设备和网络安全专用产品目录》的网络</w:t>
      </w:r>
    </w:p>
    <w:p w14:paraId="01DD196D">
      <w:pPr>
        <w:pStyle w:val="19"/>
        <w:spacing w:before="180" w:line="360" w:lineRule="auto"/>
        <w:ind w:left="1996" w:right="35" w:hanging="2"/>
        <w:rPr>
          <w:rFonts w:cs="宋体"/>
          <w:color w:val="auto"/>
          <w:highlight w:val="none"/>
        </w:rPr>
      </w:pPr>
      <w:r>
        <w:rPr>
          <w:rFonts w:hint="eastAsia" w:cs="宋体"/>
          <w:color w:val="auto"/>
          <w:spacing w:val="-2"/>
          <w:highlight w:val="none"/>
        </w:rPr>
        <w:t>安全专用产品，应当在国家互联网信息办公室会同工业和信息化部、</w:t>
      </w:r>
      <w:r>
        <w:rPr>
          <w:rFonts w:hint="eastAsia" w:cs="宋体"/>
          <w:color w:val="auto"/>
          <w:spacing w:val="10"/>
          <w:highlight w:val="none"/>
        </w:rPr>
        <w:t xml:space="preserve"> </w:t>
      </w:r>
      <w:r>
        <w:rPr>
          <w:rFonts w:hint="eastAsia" w:cs="宋体"/>
          <w:color w:val="auto"/>
          <w:spacing w:val="-4"/>
          <w:highlight w:val="none"/>
        </w:rPr>
        <w:t>公安部、国家认证认可监督管理委员会统一公布和更新</w:t>
      </w:r>
      <w:r>
        <w:rPr>
          <w:rFonts w:hint="eastAsia" w:cs="宋体"/>
          <w:color w:val="auto"/>
          <w:spacing w:val="-5"/>
          <w:highlight w:val="none"/>
        </w:rPr>
        <w:t>的符合要求的</w:t>
      </w:r>
    </w:p>
    <w:p w14:paraId="2705EF50">
      <w:pPr>
        <w:tabs>
          <w:tab w:val="left" w:pos="1980"/>
          <w:tab w:val="left" w:pos="2014"/>
        </w:tabs>
        <w:snapToGrid w:val="0"/>
        <w:spacing w:line="360" w:lineRule="auto"/>
        <w:ind w:left="1980"/>
        <w:rPr>
          <w:rFonts w:ascii="宋体" w:hAnsi="宋体" w:cs="宋体"/>
          <w:color w:val="auto"/>
          <w:sz w:val="24"/>
          <w:highlight w:val="none"/>
        </w:rPr>
      </w:pPr>
      <w:r>
        <w:rPr>
          <w:rFonts w:hint="eastAsia" w:ascii="宋体" w:hAnsi="宋体" w:cs="宋体"/>
          <w:color w:val="auto"/>
          <w:spacing w:val="-4"/>
          <w:sz w:val="24"/>
          <w:highlight w:val="none"/>
        </w:rPr>
        <w:t>网络关键设备和网络安全专用产品清单中。</w:t>
      </w:r>
    </w:p>
    <w:p w14:paraId="28DBA1D8">
      <w:pPr>
        <w:numPr>
          <w:ilvl w:val="1"/>
          <w:numId w:val="9"/>
        </w:numPr>
        <w:tabs>
          <w:tab w:val="left" w:pos="1080"/>
          <w:tab w:val="left" w:pos="2014"/>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推广使用低挥发性有机化合物（VOCs）</w:t>
      </w:r>
    </w:p>
    <w:p w14:paraId="78B0C990">
      <w:pPr>
        <w:numPr>
          <w:ilvl w:val="2"/>
          <w:numId w:val="9"/>
        </w:numPr>
        <w:tabs>
          <w:tab w:val="left" w:pos="2014"/>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hint="eastAsia" w:ascii="宋体" w:hAnsi="宋体" w:cs="宋体"/>
          <w:color w:val="auto"/>
          <w:kern w:val="0"/>
          <w:sz w:val="24"/>
          <w:highlight w:val="none"/>
        </w:rPr>
        <w:t>否则</w:t>
      </w:r>
      <w:r>
        <w:rPr>
          <w:rFonts w:hint="eastAsia" w:ascii="宋体" w:hAnsi="宋体" w:cs="宋体"/>
          <w:b/>
          <w:color w:val="auto"/>
          <w:kern w:val="0"/>
          <w:sz w:val="24"/>
          <w:highlight w:val="none"/>
        </w:rPr>
        <w:t>投标无效</w:t>
      </w:r>
      <w:r>
        <w:rPr>
          <w:rFonts w:hint="eastAsia" w:ascii="宋体" w:hAnsi="宋体" w:cs="宋体"/>
          <w:color w:val="auto"/>
          <w:sz w:val="24"/>
          <w:highlight w:val="none"/>
        </w:rPr>
        <w:t>；属于推荐性标准的，优先采购，具体见第四章《评标程序、评标方法和评标标准》。</w:t>
      </w:r>
    </w:p>
    <w:p w14:paraId="4B496850">
      <w:pPr>
        <w:numPr>
          <w:ilvl w:val="1"/>
          <w:numId w:val="9"/>
        </w:numPr>
        <w:tabs>
          <w:tab w:val="left" w:pos="1080"/>
          <w:tab w:val="left" w:pos="2014"/>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采购需求标准</w:t>
      </w:r>
    </w:p>
    <w:p w14:paraId="3AB9E91C">
      <w:pPr>
        <w:numPr>
          <w:ilvl w:val="2"/>
          <w:numId w:val="9"/>
        </w:numPr>
        <w:tabs>
          <w:tab w:val="left" w:pos="2014"/>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商品包装、快递包装政府采购需求标准（试行）</w:t>
      </w:r>
      <w:r>
        <w:rPr>
          <w:rFonts w:hint="eastAsia" w:ascii="宋体" w:hAnsi="宋体" w:cs="宋体"/>
          <w:color w:val="auto"/>
          <w:sz w:val="24"/>
          <w:highlight w:val="none"/>
        </w:rPr>
        <w:br w:type="textWrapping"/>
      </w:r>
      <w:r>
        <w:rPr>
          <w:rFonts w:hint="eastAsia" w:ascii="宋体" w:hAnsi="宋体" w:cs="宋体"/>
          <w:color w:val="auto"/>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533C3E81">
      <w:pPr>
        <w:numPr>
          <w:ilvl w:val="2"/>
          <w:numId w:val="9"/>
        </w:numPr>
        <w:tabs>
          <w:tab w:val="left" w:pos="2014"/>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绿色数据中心政府采购需求标准（试行）</w:t>
      </w:r>
      <w:r>
        <w:rPr>
          <w:rFonts w:hint="eastAsia" w:ascii="宋体" w:hAnsi="宋体" w:cs="宋体"/>
          <w:color w:val="auto"/>
          <w:sz w:val="24"/>
          <w:highlight w:val="none"/>
        </w:rPr>
        <w:br w:type="textWrapping"/>
      </w:r>
      <w:r>
        <w:rPr>
          <w:rFonts w:hint="eastAsia" w:ascii="宋体" w:hAnsi="宋体" w:cs="宋体"/>
          <w:color w:val="auto"/>
          <w:sz w:val="24"/>
          <w:highlight w:val="none"/>
        </w:rPr>
        <w:t>为加快数据中心绿色转型，根据财政部 生态环境部 工业和信息化部关于印发《绿色数据中心政府采购需求标准（试行）》的通知（财库〔2023〕7 号），本项目如涉及绿色数据中心，则具体要求见第五章《采购需求》。</w:t>
      </w:r>
    </w:p>
    <w:p w14:paraId="4A913E21">
      <w:pPr>
        <w:numPr>
          <w:ilvl w:val="255"/>
          <w:numId w:val="0"/>
        </w:numPr>
        <w:tabs>
          <w:tab w:val="left" w:pos="2014"/>
        </w:tabs>
        <w:snapToGrid w:val="0"/>
        <w:spacing w:line="360" w:lineRule="auto"/>
        <w:ind w:left="1080"/>
        <w:rPr>
          <w:rFonts w:ascii="宋体" w:hAnsi="宋体" w:cs="宋体"/>
          <w:color w:val="auto"/>
          <w:sz w:val="24"/>
          <w:highlight w:val="none"/>
        </w:rPr>
      </w:pPr>
    </w:p>
    <w:p w14:paraId="5FAB032C">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r>
        <w:rPr>
          <w:rFonts w:hint="eastAsia" w:ascii="宋体" w:hAnsi="宋体" w:cs="宋体"/>
          <w:color w:val="auto"/>
          <w:sz w:val="24"/>
          <w:highlight w:val="none"/>
        </w:rPr>
        <w:t>投标费用</w:t>
      </w:r>
    </w:p>
    <w:p w14:paraId="30B3AB1D">
      <w:pPr>
        <w:numPr>
          <w:ilvl w:val="1"/>
          <w:numId w:val="9"/>
        </w:numPr>
        <w:tabs>
          <w:tab w:val="left" w:pos="1080"/>
          <w:tab w:val="left" w:pos="2014"/>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投标人应自行承担所有与准备和参加投标有关的费用，无论投标的结果如何，采购人或采购代理机构在任何情况下均无承担这些费用的义务和责任。</w:t>
      </w:r>
    </w:p>
    <w:p w14:paraId="15FD54E4">
      <w:pPr>
        <w:tabs>
          <w:tab w:val="left" w:pos="1080"/>
        </w:tabs>
        <w:snapToGrid w:val="0"/>
        <w:spacing w:line="360" w:lineRule="auto"/>
        <w:ind w:left="1080"/>
        <w:rPr>
          <w:rFonts w:ascii="宋体" w:hAnsi="宋体" w:cs="宋体"/>
          <w:color w:val="auto"/>
          <w:sz w:val="28"/>
          <w:highlight w:val="none"/>
        </w:rPr>
      </w:pPr>
      <w:bookmarkStart w:id="177" w:name="_1.8_计量单位"/>
      <w:bookmarkEnd w:id="177"/>
    </w:p>
    <w:p w14:paraId="28DF5D53">
      <w:pPr>
        <w:pStyle w:val="3"/>
        <w:spacing w:before="0" w:line="360" w:lineRule="auto"/>
        <w:rPr>
          <w:rFonts w:ascii="宋体" w:hAnsi="宋体" w:eastAsia="宋体" w:cs="宋体"/>
          <w:color w:val="auto"/>
          <w:sz w:val="28"/>
          <w:highlight w:val="none"/>
        </w:rPr>
      </w:pPr>
      <w:r>
        <w:rPr>
          <w:rFonts w:hint="eastAsia" w:ascii="宋体" w:hAnsi="宋体" w:eastAsia="宋体" w:cs="宋体"/>
          <w:color w:val="auto"/>
          <w:sz w:val="28"/>
          <w:highlight w:val="none"/>
        </w:rPr>
        <w:t>二   招标文件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2EA14786">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bookmarkStart w:id="178" w:name="_Toc164229364"/>
      <w:bookmarkStart w:id="179" w:name="_Toc150774728"/>
      <w:bookmarkStart w:id="180" w:name="_Toc164351617"/>
      <w:bookmarkStart w:id="181" w:name="_Toc226337219"/>
      <w:bookmarkStart w:id="182" w:name="_Toc127151523"/>
      <w:bookmarkStart w:id="183" w:name="_Toc226309767"/>
      <w:bookmarkStart w:id="184" w:name="_Toc226965713"/>
      <w:bookmarkStart w:id="185" w:name="_Toc164229218"/>
      <w:bookmarkStart w:id="186" w:name="_Toc149720816"/>
      <w:bookmarkStart w:id="187" w:name="_Toc127151724"/>
      <w:bookmarkStart w:id="188" w:name="_Toc151193693"/>
      <w:bookmarkStart w:id="189" w:name="_Toc195842888"/>
      <w:bookmarkStart w:id="190" w:name="_Toc151190150"/>
      <w:bookmarkStart w:id="191" w:name="_Toc151193837"/>
      <w:bookmarkStart w:id="192" w:name="_Toc305158791"/>
      <w:bookmarkStart w:id="193" w:name="_Toc226965796"/>
      <w:bookmarkStart w:id="194" w:name="_Toc264969213"/>
      <w:bookmarkStart w:id="195" w:name="_Toc150774623"/>
      <w:bookmarkStart w:id="196" w:name="_Toc151193621"/>
      <w:bookmarkStart w:id="197" w:name="_Toc265228361"/>
      <w:bookmarkStart w:id="198" w:name="_Toc127161437"/>
      <w:bookmarkStart w:id="199" w:name="_Toc164608637"/>
      <w:bookmarkStart w:id="200" w:name="_Toc142311025"/>
      <w:bookmarkStart w:id="201" w:name="_Toc520356147"/>
      <w:bookmarkStart w:id="202" w:name="_Toc150509274"/>
      <w:bookmarkStart w:id="203" w:name="_Toc305158865"/>
      <w:bookmarkStart w:id="204" w:name="_Toc150480761"/>
      <w:bookmarkStart w:id="205" w:name="_Toc151193911"/>
      <w:bookmarkStart w:id="206" w:name="_Toc151193765"/>
      <w:bookmarkStart w:id="207" w:name="_Toc164608792"/>
      <w:r>
        <w:rPr>
          <w:rFonts w:hint="eastAsia" w:ascii="宋体" w:hAnsi="宋体" w:cs="宋体"/>
          <w:color w:val="auto"/>
          <w:sz w:val="24"/>
          <w:highlight w:val="none"/>
        </w:rPr>
        <w:t>招标文件构</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ascii="宋体" w:hAnsi="宋体" w:cs="宋体"/>
          <w:color w:val="auto"/>
          <w:sz w:val="24"/>
          <w:highlight w:val="none"/>
        </w:rPr>
        <w:t>成</w:t>
      </w:r>
    </w:p>
    <w:p w14:paraId="3F2A64B3">
      <w:pPr>
        <w:numPr>
          <w:ilvl w:val="1"/>
          <w:numId w:val="9"/>
        </w:numPr>
        <w:tabs>
          <w:tab w:val="left" w:pos="1080"/>
          <w:tab w:val="left" w:pos="2014"/>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招标文件包括以下部分：</w:t>
      </w:r>
    </w:p>
    <w:p w14:paraId="443FA146">
      <w:pPr>
        <w:numPr>
          <w:ilvl w:val="0"/>
          <w:numId w:val="10"/>
        </w:numPr>
        <w:tabs>
          <w:tab w:val="left" w:pos="1980"/>
          <w:tab w:val="left" w:pos="2520"/>
        </w:tabs>
        <w:snapToGrid w:val="0"/>
        <w:spacing w:line="360" w:lineRule="auto"/>
        <w:ind w:left="1440" w:firstLine="5"/>
        <w:rPr>
          <w:rFonts w:ascii="宋体" w:hAnsi="宋体" w:cs="宋体"/>
          <w:color w:val="auto"/>
          <w:sz w:val="24"/>
          <w:highlight w:val="none"/>
        </w:rPr>
      </w:pPr>
      <w:r>
        <w:rPr>
          <w:rFonts w:hint="eastAsia" w:ascii="宋体" w:hAnsi="宋体" w:cs="宋体"/>
          <w:color w:val="auto"/>
          <w:sz w:val="24"/>
          <w:highlight w:val="none"/>
        </w:rPr>
        <w:t>投标邀请</w:t>
      </w:r>
    </w:p>
    <w:p w14:paraId="0DDD69F9">
      <w:pPr>
        <w:numPr>
          <w:ilvl w:val="0"/>
          <w:numId w:val="10"/>
        </w:numPr>
        <w:tabs>
          <w:tab w:val="left" w:pos="1980"/>
          <w:tab w:val="left" w:pos="2520"/>
        </w:tabs>
        <w:snapToGrid w:val="0"/>
        <w:spacing w:line="360" w:lineRule="auto"/>
        <w:ind w:left="1440" w:firstLine="5"/>
        <w:rPr>
          <w:rFonts w:ascii="宋体" w:hAnsi="宋体" w:cs="宋体"/>
          <w:color w:val="auto"/>
          <w:sz w:val="24"/>
          <w:highlight w:val="none"/>
        </w:rPr>
      </w:pPr>
      <w:r>
        <w:rPr>
          <w:rFonts w:hint="eastAsia" w:ascii="宋体" w:hAnsi="宋体" w:cs="宋体"/>
          <w:color w:val="auto"/>
          <w:sz w:val="24"/>
          <w:highlight w:val="none"/>
        </w:rPr>
        <w:t>投标人须知</w:t>
      </w:r>
    </w:p>
    <w:p w14:paraId="10DA7FA6">
      <w:pPr>
        <w:numPr>
          <w:ilvl w:val="0"/>
          <w:numId w:val="10"/>
        </w:numPr>
        <w:tabs>
          <w:tab w:val="left" w:pos="1980"/>
          <w:tab w:val="left" w:pos="2520"/>
        </w:tabs>
        <w:snapToGrid w:val="0"/>
        <w:spacing w:line="360" w:lineRule="auto"/>
        <w:ind w:left="1440" w:firstLine="5"/>
        <w:rPr>
          <w:rFonts w:ascii="宋体" w:hAnsi="宋体" w:cs="宋体"/>
          <w:color w:val="auto"/>
          <w:sz w:val="24"/>
          <w:highlight w:val="none"/>
        </w:rPr>
      </w:pPr>
      <w:r>
        <w:rPr>
          <w:rFonts w:hint="eastAsia" w:ascii="宋体" w:hAnsi="宋体" w:cs="宋体"/>
          <w:color w:val="auto"/>
          <w:sz w:val="24"/>
          <w:highlight w:val="none"/>
        </w:rPr>
        <w:t>资格审查</w:t>
      </w:r>
    </w:p>
    <w:p w14:paraId="4A2FFA5E">
      <w:pPr>
        <w:numPr>
          <w:ilvl w:val="0"/>
          <w:numId w:val="10"/>
        </w:numPr>
        <w:tabs>
          <w:tab w:val="left" w:pos="1980"/>
          <w:tab w:val="left" w:pos="2520"/>
        </w:tabs>
        <w:snapToGrid w:val="0"/>
        <w:spacing w:line="360" w:lineRule="auto"/>
        <w:ind w:left="1440" w:firstLine="5"/>
        <w:rPr>
          <w:rFonts w:ascii="宋体" w:hAnsi="宋体" w:cs="宋体"/>
          <w:color w:val="auto"/>
          <w:sz w:val="24"/>
          <w:highlight w:val="none"/>
        </w:rPr>
      </w:pPr>
      <w:r>
        <w:rPr>
          <w:rFonts w:hint="eastAsia" w:ascii="宋体" w:hAnsi="宋体" w:cs="宋体"/>
          <w:color w:val="auto"/>
          <w:sz w:val="24"/>
          <w:highlight w:val="none"/>
        </w:rPr>
        <w:t>评标程序、评标方法和评标标准</w:t>
      </w:r>
    </w:p>
    <w:p w14:paraId="57F229F1">
      <w:pPr>
        <w:numPr>
          <w:ilvl w:val="0"/>
          <w:numId w:val="10"/>
        </w:numPr>
        <w:tabs>
          <w:tab w:val="left" w:pos="1980"/>
          <w:tab w:val="left" w:pos="2520"/>
        </w:tabs>
        <w:snapToGrid w:val="0"/>
        <w:spacing w:line="360" w:lineRule="auto"/>
        <w:ind w:left="1440" w:firstLine="5"/>
        <w:rPr>
          <w:rFonts w:ascii="宋体" w:hAnsi="宋体" w:cs="宋体"/>
          <w:color w:val="auto"/>
          <w:sz w:val="24"/>
          <w:highlight w:val="none"/>
        </w:rPr>
      </w:pPr>
      <w:r>
        <w:rPr>
          <w:rFonts w:hint="eastAsia" w:ascii="宋体" w:hAnsi="宋体" w:cs="宋体"/>
          <w:color w:val="auto"/>
          <w:sz w:val="24"/>
          <w:highlight w:val="none"/>
        </w:rPr>
        <w:t>采购需求</w:t>
      </w:r>
    </w:p>
    <w:p w14:paraId="19B7421D">
      <w:pPr>
        <w:numPr>
          <w:ilvl w:val="0"/>
          <w:numId w:val="10"/>
        </w:numPr>
        <w:tabs>
          <w:tab w:val="left" w:pos="1980"/>
          <w:tab w:val="left" w:pos="2520"/>
        </w:tabs>
        <w:snapToGrid w:val="0"/>
        <w:spacing w:line="360" w:lineRule="auto"/>
        <w:ind w:left="1440" w:firstLine="5"/>
        <w:rPr>
          <w:rFonts w:ascii="宋体" w:hAnsi="宋体" w:cs="宋体"/>
          <w:color w:val="auto"/>
          <w:sz w:val="24"/>
          <w:highlight w:val="none"/>
        </w:rPr>
      </w:pPr>
      <w:r>
        <w:rPr>
          <w:rFonts w:hint="eastAsia" w:ascii="宋体" w:hAnsi="宋体" w:cs="宋体"/>
          <w:color w:val="auto"/>
          <w:sz w:val="24"/>
          <w:highlight w:val="none"/>
        </w:rPr>
        <w:t>拟签订的合同文本</w:t>
      </w:r>
    </w:p>
    <w:p w14:paraId="303A5D3D">
      <w:pPr>
        <w:numPr>
          <w:ilvl w:val="0"/>
          <w:numId w:val="10"/>
        </w:numPr>
        <w:tabs>
          <w:tab w:val="left" w:pos="1980"/>
          <w:tab w:val="left" w:pos="2520"/>
        </w:tabs>
        <w:snapToGrid w:val="0"/>
        <w:spacing w:line="360" w:lineRule="auto"/>
        <w:ind w:left="1440" w:firstLine="5"/>
        <w:rPr>
          <w:rFonts w:ascii="宋体" w:hAnsi="宋体" w:cs="宋体"/>
          <w:color w:val="auto"/>
          <w:sz w:val="24"/>
          <w:highlight w:val="none"/>
        </w:rPr>
      </w:pPr>
      <w:r>
        <w:rPr>
          <w:rFonts w:hint="eastAsia" w:ascii="宋体" w:hAnsi="宋体" w:cs="宋体"/>
          <w:color w:val="auto"/>
          <w:sz w:val="24"/>
          <w:highlight w:val="none"/>
        </w:rPr>
        <w:t>投标文件格式</w:t>
      </w:r>
    </w:p>
    <w:p w14:paraId="77E32C3B">
      <w:pPr>
        <w:numPr>
          <w:ilvl w:val="1"/>
          <w:numId w:val="9"/>
        </w:numPr>
        <w:tabs>
          <w:tab w:val="left" w:pos="1080"/>
          <w:tab w:val="left" w:pos="2014"/>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投标人应认真阅读招标文件的全部内容。投标人应按照招标文件要求提交投标文件并保证所提供的全部资料的真实性，并对招标文件做出实质性响应，否则</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2716B28F">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r>
        <w:rPr>
          <w:rFonts w:hint="eastAsia" w:ascii="宋体" w:hAnsi="宋体" w:cs="宋体"/>
          <w:color w:val="auto"/>
          <w:sz w:val="24"/>
          <w:highlight w:val="none"/>
        </w:rPr>
        <w:t>对招标文件的澄清或修改</w:t>
      </w:r>
    </w:p>
    <w:p w14:paraId="62398060">
      <w:pPr>
        <w:numPr>
          <w:ilvl w:val="1"/>
          <w:numId w:val="9"/>
        </w:numPr>
        <w:tabs>
          <w:tab w:val="left" w:pos="1080"/>
          <w:tab w:val="left" w:pos="1561"/>
          <w:tab w:val="left" w:pos="2014"/>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采购人或采购代理机构对已发出的招标文件进行必要澄清或者修改的，将在原公告发布媒体上发布更正公告，并以书面形式通知所有获取招标文件的潜在投标人。</w:t>
      </w:r>
    </w:p>
    <w:p w14:paraId="40AEA510">
      <w:pPr>
        <w:numPr>
          <w:ilvl w:val="1"/>
          <w:numId w:val="9"/>
        </w:numPr>
        <w:tabs>
          <w:tab w:val="left" w:pos="1080"/>
          <w:tab w:val="left" w:pos="1561"/>
          <w:tab w:val="left" w:pos="2014"/>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上述书面通知，按照获取招标文件的潜在投标人提供的联系方式发出，因提供的信息有误导致通知延迟或无法通知的，采购人或采购代理机构不承担责任。</w:t>
      </w:r>
    </w:p>
    <w:p w14:paraId="49E2C20B">
      <w:pPr>
        <w:numPr>
          <w:ilvl w:val="1"/>
          <w:numId w:val="9"/>
        </w:numPr>
        <w:tabs>
          <w:tab w:val="left" w:pos="1080"/>
          <w:tab w:val="left" w:pos="1561"/>
          <w:tab w:val="left" w:pos="2014"/>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6A837B3">
      <w:pPr>
        <w:tabs>
          <w:tab w:val="left" w:pos="1080"/>
          <w:tab w:val="left" w:pos="1561"/>
        </w:tabs>
        <w:snapToGrid w:val="0"/>
        <w:spacing w:line="360" w:lineRule="auto"/>
        <w:ind w:left="1080"/>
        <w:rPr>
          <w:rFonts w:ascii="宋体" w:hAnsi="宋体" w:cs="宋体"/>
          <w:color w:val="auto"/>
          <w:sz w:val="28"/>
          <w:highlight w:val="none"/>
        </w:rPr>
      </w:pPr>
      <w:bookmarkStart w:id="208" w:name="_Toc516367020"/>
      <w:bookmarkStart w:id="209" w:name="_Toc150774626"/>
      <w:bookmarkStart w:id="210" w:name="_Toc150509277"/>
      <w:bookmarkStart w:id="211" w:name="_Toc151193696"/>
      <w:bookmarkStart w:id="212" w:name="_Toc226309770"/>
      <w:bookmarkStart w:id="213" w:name="_Toc151193624"/>
      <w:bookmarkStart w:id="214" w:name="_Toc520356150"/>
      <w:bookmarkStart w:id="215" w:name="_Toc264969216"/>
      <w:bookmarkStart w:id="216" w:name="_Toc151193914"/>
      <w:bookmarkStart w:id="217" w:name="_Toc150480764"/>
      <w:bookmarkStart w:id="218" w:name="_Toc195842891"/>
      <w:bookmarkStart w:id="219" w:name="_Toc305158868"/>
      <w:bookmarkStart w:id="220" w:name="_Toc226965716"/>
      <w:bookmarkStart w:id="221" w:name="_Toc226965799"/>
      <w:bookmarkStart w:id="222" w:name="_Toc151190153"/>
      <w:bookmarkStart w:id="223" w:name="_Toc305158794"/>
      <w:bookmarkStart w:id="224" w:name="_Toc151193840"/>
      <w:bookmarkStart w:id="225" w:name="_Toc265228364"/>
      <w:bookmarkStart w:id="226" w:name="_Toc127151526"/>
      <w:bookmarkStart w:id="227" w:name="_Toc150774731"/>
      <w:bookmarkStart w:id="228" w:name="_Toc142311028"/>
      <w:bookmarkStart w:id="229" w:name="_Toc226337222"/>
      <w:bookmarkStart w:id="230" w:name="_Toc151193768"/>
    </w:p>
    <w:p w14:paraId="3742567E">
      <w:pPr>
        <w:pStyle w:val="3"/>
        <w:spacing w:before="0" w:line="360" w:lineRule="auto"/>
        <w:rPr>
          <w:rFonts w:ascii="宋体" w:hAnsi="宋体" w:eastAsia="宋体" w:cs="宋体"/>
          <w:color w:val="auto"/>
          <w:sz w:val="28"/>
          <w:highlight w:val="none"/>
        </w:rPr>
      </w:pPr>
      <w:r>
        <w:rPr>
          <w:rFonts w:hint="eastAsia" w:ascii="宋体" w:hAnsi="宋体" w:eastAsia="宋体" w:cs="宋体"/>
          <w:color w:val="auto"/>
          <w:sz w:val="28"/>
          <w:highlight w:val="none"/>
        </w:rPr>
        <w:t>三   投标文件</w:t>
      </w:r>
      <w:bookmarkEnd w:id="208"/>
      <w:r>
        <w:rPr>
          <w:rFonts w:hint="eastAsia" w:ascii="宋体" w:hAnsi="宋体" w:eastAsia="宋体" w:cs="宋体"/>
          <w:color w:val="auto"/>
          <w:sz w:val="28"/>
          <w:highlight w:val="none"/>
        </w:rPr>
        <w:t>的编制</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45C28E41">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bookmarkStart w:id="231" w:name="_Toc164608796"/>
      <w:bookmarkStart w:id="232" w:name="_Toc151193625"/>
      <w:bookmarkStart w:id="233" w:name="_Toc195842892"/>
      <w:bookmarkStart w:id="234" w:name="_Toc150774732"/>
      <w:bookmarkStart w:id="235" w:name="_Toc226965717"/>
      <w:bookmarkStart w:id="236" w:name="_Toc164229222"/>
      <w:bookmarkStart w:id="237" w:name="_Toc142311029"/>
      <w:bookmarkStart w:id="238" w:name="_Toc264969217"/>
      <w:bookmarkStart w:id="239" w:name="_Toc127161441"/>
      <w:bookmarkStart w:id="240" w:name="_Toc127151728"/>
      <w:bookmarkStart w:id="241" w:name="_Toc151190154"/>
      <w:bookmarkStart w:id="242" w:name="_Toc149720820"/>
      <w:bookmarkStart w:id="243" w:name="_Toc150480765"/>
      <w:bookmarkStart w:id="244" w:name="_Toc265228365"/>
      <w:bookmarkStart w:id="245" w:name="_Toc151193841"/>
      <w:bookmarkStart w:id="246" w:name="_Toc151193697"/>
      <w:bookmarkStart w:id="247" w:name="_Toc127151527"/>
      <w:bookmarkStart w:id="248" w:name="_Toc150509278"/>
      <w:bookmarkStart w:id="249" w:name="_Toc164608641"/>
      <w:bookmarkStart w:id="250" w:name="_Toc151193769"/>
      <w:bookmarkStart w:id="251" w:name="_Toc151193915"/>
      <w:bookmarkStart w:id="252" w:name="_Toc226337223"/>
      <w:bookmarkStart w:id="253" w:name="_Toc226309771"/>
      <w:bookmarkStart w:id="254" w:name="_Toc305158869"/>
      <w:bookmarkStart w:id="255" w:name="_Toc305158795"/>
      <w:bookmarkStart w:id="256" w:name="_Toc226965800"/>
      <w:bookmarkStart w:id="257" w:name="_Toc516367021"/>
      <w:bookmarkStart w:id="258" w:name="_Toc164229368"/>
      <w:bookmarkStart w:id="259" w:name="_Toc520356151"/>
      <w:bookmarkStart w:id="260" w:name="_Toc164351621"/>
      <w:bookmarkStart w:id="261" w:name="_Toc150774627"/>
      <w:r>
        <w:rPr>
          <w:rFonts w:hint="eastAsia" w:ascii="宋体" w:hAnsi="宋体" w:cs="宋体"/>
          <w:color w:val="auto"/>
          <w:sz w:val="24"/>
          <w:highlight w:val="none"/>
        </w:rPr>
        <w:t>投标范围、投标文件中计量单位的使用</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宋体" w:hAnsi="宋体" w:cs="宋体"/>
          <w:color w:val="auto"/>
          <w:sz w:val="24"/>
          <w:highlight w:val="none"/>
        </w:rPr>
        <w:t>及投标语言</w:t>
      </w:r>
    </w:p>
    <w:p w14:paraId="394B98DD">
      <w:pPr>
        <w:numPr>
          <w:ilvl w:val="1"/>
          <w:numId w:val="9"/>
        </w:numPr>
        <w:tabs>
          <w:tab w:val="left" w:pos="1080"/>
          <w:tab w:val="left" w:pos="2014"/>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color w:val="auto"/>
          <w:sz w:val="24"/>
          <w:highlight w:val="none"/>
        </w:rPr>
        <w:t>无效投标</w:t>
      </w:r>
      <w:r>
        <w:rPr>
          <w:rFonts w:hint="eastAsia" w:ascii="宋体" w:hAnsi="宋体" w:cs="宋体"/>
          <w:color w:val="auto"/>
          <w:sz w:val="24"/>
          <w:highlight w:val="none"/>
        </w:rPr>
        <w:t>。</w:t>
      </w:r>
    </w:p>
    <w:p w14:paraId="355977A9">
      <w:pPr>
        <w:numPr>
          <w:ilvl w:val="1"/>
          <w:numId w:val="9"/>
        </w:numPr>
        <w:tabs>
          <w:tab w:val="left" w:pos="1080"/>
          <w:tab w:val="left" w:pos="2014"/>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除招标文件有特殊要求外，本项目投标所使用的计量单位，应采用中华人民共和国法定计量单位。</w:t>
      </w:r>
    </w:p>
    <w:p w14:paraId="05483023">
      <w:pPr>
        <w:numPr>
          <w:ilvl w:val="1"/>
          <w:numId w:val="9"/>
        </w:numPr>
        <w:tabs>
          <w:tab w:val="left" w:pos="1080"/>
          <w:tab w:val="left" w:pos="2014"/>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F96B5AF">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bookmarkStart w:id="262" w:name="_Toc516367022"/>
      <w:bookmarkStart w:id="263" w:name="_Ref467306676"/>
      <w:bookmarkStart w:id="264" w:name="_Ref467306195"/>
      <w:bookmarkStart w:id="265" w:name="_Toc150480766"/>
      <w:bookmarkStart w:id="266" w:name="_Toc142311030"/>
      <w:bookmarkStart w:id="267" w:name="_Toc226309772"/>
      <w:bookmarkStart w:id="268" w:name="_Toc151193698"/>
      <w:bookmarkStart w:id="269" w:name="_Toc305158796"/>
      <w:bookmarkStart w:id="270" w:name="_Toc127151729"/>
      <w:bookmarkStart w:id="271" w:name="_Toc195842893"/>
      <w:bookmarkStart w:id="272" w:name="_Toc226965801"/>
      <w:bookmarkStart w:id="273" w:name="_Toc264969218"/>
      <w:bookmarkStart w:id="274" w:name="_Toc151193626"/>
      <w:bookmarkStart w:id="275" w:name="_Toc150509279"/>
      <w:bookmarkStart w:id="276" w:name="_Toc305158870"/>
      <w:bookmarkStart w:id="277" w:name="_Toc226337224"/>
      <w:bookmarkStart w:id="278" w:name="_Toc520356152"/>
      <w:bookmarkStart w:id="279" w:name="_Toc150774628"/>
      <w:bookmarkStart w:id="280" w:name="_Toc151193770"/>
      <w:bookmarkStart w:id="281" w:name="_Toc164229369"/>
      <w:bookmarkStart w:id="282" w:name="_Toc164608797"/>
      <w:bookmarkStart w:id="283" w:name="_Toc164229223"/>
      <w:bookmarkStart w:id="284" w:name="_Toc164608642"/>
      <w:bookmarkStart w:id="285" w:name="_Toc265228366"/>
      <w:bookmarkStart w:id="286" w:name="_Toc151193916"/>
      <w:bookmarkStart w:id="287" w:name="_Toc150774733"/>
      <w:bookmarkStart w:id="288" w:name="_Toc151193842"/>
      <w:bookmarkStart w:id="289" w:name="_Toc149720821"/>
      <w:bookmarkStart w:id="290" w:name="_Toc151190155"/>
      <w:bookmarkStart w:id="291" w:name="_Toc226965718"/>
      <w:bookmarkStart w:id="292" w:name="_Toc164351622"/>
      <w:bookmarkStart w:id="293" w:name="_Toc127151528"/>
      <w:bookmarkStart w:id="294" w:name="_Toc127161442"/>
      <w:r>
        <w:rPr>
          <w:rFonts w:hint="eastAsia" w:ascii="宋体" w:hAnsi="宋体" w:cs="宋体"/>
          <w:color w:val="auto"/>
          <w:sz w:val="24"/>
          <w:highlight w:val="none"/>
        </w:rPr>
        <w:t>投标文件</w:t>
      </w:r>
      <w:bookmarkEnd w:id="262"/>
      <w:bookmarkEnd w:id="263"/>
      <w:bookmarkEnd w:id="264"/>
      <w:r>
        <w:rPr>
          <w:rFonts w:hint="eastAsia" w:ascii="宋体" w:hAnsi="宋体" w:cs="宋体"/>
          <w:color w:val="auto"/>
          <w:sz w:val="24"/>
          <w:highlight w:val="none"/>
        </w:rPr>
        <w:t>构成</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68286F6C">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bookmarkStart w:id="295" w:name="_Ref467052588"/>
      <w:r>
        <w:rPr>
          <w:rFonts w:hint="eastAsia" w:ascii="宋体" w:hAnsi="宋体" w:cs="宋体"/>
          <w:color w:val="auto"/>
          <w:sz w:val="24"/>
          <w:highlight w:val="none"/>
        </w:rPr>
        <w:t>投标人应当按照招标文件的要求编制投标文件。投标文件应由《资格证明文件》、《商务技术文件》两部分构成。投标文件的部分格式要求，见第七章《投标文件格式》。</w:t>
      </w:r>
    </w:p>
    <w:p w14:paraId="5E2D6927">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kern w:val="0"/>
          <w:sz w:val="24"/>
          <w:highlight w:val="none"/>
        </w:rPr>
        <w:t>对于招标文件中标记了“实质性格式”文件的，</w:t>
      </w:r>
      <w:r>
        <w:rPr>
          <w:rFonts w:hint="eastAsia" w:ascii="宋体" w:hAnsi="宋体" w:cs="宋体"/>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color w:val="auto"/>
          <w:kern w:val="0"/>
          <w:sz w:val="24"/>
          <w:highlight w:val="none"/>
        </w:rPr>
        <w:t>否则</w:t>
      </w:r>
      <w:r>
        <w:rPr>
          <w:rFonts w:hint="eastAsia" w:ascii="宋体" w:hAnsi="宋体" w:cs="宋体"/>
          <w:b/>
          <w:color w:val="auto"/>
          <w:kern w:val="0"/>
          <w:sz w:val="24"/>
          <w:highlight w:val="none"/>
        </w:rPr>
        <w:t>投标无效</w:t>
      </w:r>
      <w:r>
        <w:rPr>
          <w:rFonts w:hint="eastAsia" w:ascii="宋体" w:hAnsi="宋体" w:cs="宋体"/>
          <w:color w:val="auto"/>
          <w:kern w:val="0"/>
          <w:sz w:val="24"/>
          <w:highlight w:val="none"/>
        </w:rPr>
        <w:t>。未标记“实质性格式”的文件和招标文件未提供格式的内容，可由投标人自行编写。</w:t>
      </w:r>
    </w:p>
    <w:p w14:paraId="740635C5">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第四章《评标程序、评标方法和评标标准》中涉及的证明文件。</w:t>
      </w:r>
    </w:p>
    <w:p w14:paraId="3EE4B3B7">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F7C38A1">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投标人认为应附的其他材料。</w:t>
      </w:r>
      <w:bookmarkEnd w:id="295"/>
    </w:p>
    <w:p w14:paraId="1C4E6534">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bookmarkStart w:id="296" w:name="_Toc151193628"/>
      <w:bookmarkStart w:id="297" w:name="_Toc150480768"/>
      <w:bookmarkStart w:id="298" w:name="_Toc142311032"/>
      <w:bookmarkStart w:id="299" w:name="_Toc164351624"/>
      <w:bookmarkStart w:id="300" w:name="_Toc164229225"/>
      <w:bookmarkStart w:id="301" w:name="_Toc151193918"/>
      <w:bookmarkStart w:id="302" w:name="_Toc150509281"/>
      <w:bookmarkStart w:id="303" w:name="_Toc164229371"/>
      <w:bookmarkStart w:id="304" w:name="_Toc520356155"/>
      <w:bookmarkStart w:id="305" w:name="_Toc151190157"/>
      <w:bookmarkStart w:id="306" w:name="_Toc151193772"/>
      <w:bookmarkStart w:id="307" w:name="_Toc149720823"/>
      <w:bookmarkStart w:id="308" w:name="_Toc127151530"/>
      <w:bookmarkStart w:id="309" w:name="_Toc150774630"/>
      <w:bookmarkStart w:id="310" w:name="_Toc151193844"/>
      <w:bookmarkStart w:id="311" w:name="_Toc164608644"/>
      <w:bookmarkStart w:id="312" w:name="_Toc127151731"/>
      <w:bookmarkStart w:id="313" w:name="_Toc195842895"/>
      <w:bookmarkStart w:id="314" w:name="_Toc127161444"/>
      <w:bookmarkStart w:id="315" w:name="_Toc151193700"/>
      <w:bookmarkStart w:id="316" w:name="_Toc150774735"/>
      <w:bookmarkStart w:id="317" w:name="_Toc164608799"/>
      <w:r>
        <w:rPr>
          <w:rFonts w:hint="eastAsia" w:ascii="宋体" w:hAnsi="宋体" w:cs="宋体"/>
          <w:color w:val="auto"/>
          <w:sz w:val="24"/>
          <w:highlight w:val="none"/>
        </w:rPr>
        <w:t>投标报价</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42681B4D">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所有投标均以人民币报价。</w:t>
      </w:r>
    </w:p>
    <w:p w14:paraId="277B22BC">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投标人的报价应包括为完成本项目所发生的一切费用和税费，采购人将不再支付报价以外的任何费用。投标人的报价应包括但不限于下列内容，《投标人须知资料表》中有特殊规定的，从其规定。</w:t>
      </w:r>
    </w:p>
    <w:p w14:paraId="6417F7F7">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4DBF6A4A">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按照招标文件要求完成本项目的全部相关服务费用。 </w:t>
      </w:r>
    </w:p>
    <w:p w14:paraId="13C56A0C">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采购人不得向供应商索要或者接受其给予的赠品、回扣或者与采购无关的其他商品、服务。</w:t>
      </w:r>
    </w:p>
    <w:p w14:paraId="4F73AED8">
      <w:pPr>
        <w:numPr>
          <w:ilvl w:val="1"/>
          <w:numId w:val="9"/>
        </w:numPr>
        <w:tabs>
          <w:tab w:val="left" w:pos="1080"/>
          <w:tab w:val="left" w:pos="2014"/>
        </w:tabs>
        <w:snapToGrid w:val="0"/>
        <w:spacing w:line="360" w:lineRule="auto"/>
        <w:ind w:left="1080" w:hanging="720"/>
        <w:rPr>
          <w:rFonts w:ascii="宋体" w:hAnsi="宋体" w:cs="宋体"/>
          <w:color w:val="auto"/>
          <w:sz w:val="24"/>
          <w:highlight w:val="none"/>
        </w:rPr>
      </w:pPr>
      <w:r>
        <w:rPr>
          <w:rFonts w:hint="eastAsia" w:ascii="宋体" w:hAnsi="宋体" w:cs="宋体"/>
          <w:color w:val="auto"/>
          <w:sz w:val="24"/>
          <w:highlight w:val="none"/>
        </w:rPr>
        <w:t>投标人不能提供任何有选择性或可调整的报价，否则其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760AFEF8">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bookmarkStart w:id="318" w:name="_Toc195842896"/>
      <w:bookmarkStart w:id="319" w:name="_Toc305158873"/>
      <w:bookmarkStart w:id="320" w:name="_Toc127151732"/>
      <w:bookmarkStart w:id="321" w:name="_Toc226965804"/>
      <w:bookmarkStart w:id="322" w:name="_Toc164351625"/>
      <w:bookmarkStart w:id="323" w:name="_Toc226337227"/>
      <w:bookmarkStart w:id="324" w:name="_Toc151193629"/>
      <w:bookmarkStart w:id="325" w:name="_Toc142311033"/>
      <w:bookmarkStart w:id="326" w:name="_Toc164229226"/>
      <w:bookmarkStart w:id="327" w:name="_Toc149720824"/>
      <w:bookmarkStart w:id="328" w:name="_Toc226309775"/>
      <w:bookmarkStart w:id="329" w:name="_Toc164229372"/>
      <w:bookmarkStart w:id="330" w:name="_Toc150774631"/>
      <w:bookmarkStart w:id="331" w:name="_Toc164608800"/>
      <w:bookmarkStart w:id="332" w:name="_Toc151193845"/>
      <w:bookmarkStart w:id="333" w:name="_Toc127161445"/>
      <w:bookmarkStart w:id="334" w:name="_Toc151193773"/>
      <w:bookmarkStart w:id="335" w:name="_Toc151193701"/>
      <w:bookmarkStart w:id="336" w:name="_Toc150774736"/>
      <w:bookmarkStart w:id="337" w:name="_Toc264969221"/>
      <w:bookmarkStart w:id="338" w:name="_Toc127151531"/>
      <w:bookmarkStart w:id="339" w:name="_Toc164608645"/>
      <w:bookmarkStart w:id="340" w:name="_Toc265228369"/>
      <w:bookmarkStart w:id="341" w:name="_Toc226965721"/>
      <w:bookmarkStart w:id="342" w:name="_Toc151193919"/>
      <w:bookmarkStart w:id="343" w:name="_Toc151190158"/>
      <w:bookmarkStart w:id="344" w:name="_Toc520356156"/>
      <w:bookmarkStart w:id="345" w:name="_Toc150480769"/>
      <w:bookmarkStart w:id="346" w:name="_Toc305158799"/>
      <w:bookmarkStart w:id="347" w:name="_Ref467306513"/>
      <w:bookmarkStart w:id="348" w:name="_Toc150509282"/>
      <w:r>
        <w:rPr>
          <w:rFonts w:hint="eastAsia" w:ascii="宋体" w:hAnsi="宋体" w:cs="宋体"/>
          <w:color w:val="auto"/>
          <w:sz w:val="24"/>
          <w:highlight w:val="none"/>
        </w:rPr>
        <w:t>投标保证金</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65D595FF">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bookmarkStart w:id="349" w:name="_Ref467306302"/>
      <w:r>
        <w:rPr>
          <w:rFonts w:hint="eastAsia" w:ascii="宋体" w:hAnsi="宋体" w:cs="宋体"/>
          <w:color w:val="auto"/>
          <w:sz w:val="24"/>
          <w:highlight w:val="none"/>
        </w:rPr>
        <w:t>投标人应按《投标人须知资料表》中规定的金额及要求交纳投标保证金</w:t>
      </w:r>
      <w:bookmarkEnd w:id="349"/>
      <w:r>
        <w:rPr>
          <w:rFonts w:hint="eastAsia" w:ascii="宋体" w:hAnsi="宋体" w:cs="宋体"/>
          <w:color w:val="auto"/>
          <w:sz w:val="24"/>
          <w:highlight w:val="none"/>
        </w:rPr>
        <w:t>。</w:t>
      </w:r>
    </w:p>
    <w:p w14:paraId="64075A10">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交纳投标保证金可采用的形式：政府采购法律法规接受的支票、汇票、本票、网上银行支付或者金融机构、担保机构出具的保函等非现金形式。</w:t>
      </w:r>
    </w:p>
    <w:p w14:paraId="55518DE8">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28F2F898">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投标保证金有效期同投标有效期。</w:t>
      </w:r>
    </w:p>
    <w:p w14:paraId="19F94BF6">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投标人为联合体投标的，可以由联合体中的一方或者多方共同交纳投标保证金，其交纳的投保保证金对联合体各方均具有约束力。</w:t>
      </w:r>
    </w:p>
    <w:p w14:paraId="65812659">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405D9496">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投标人在投标截止时间前撤回已提交的投标文件的，自收到投标人书面撤回通知之日起5个工作日内退还已收取的投标保证金；</w:t>
      </w:r>
    </w:p>
    <w:p w14:paraId="49308712">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中标人的投标保证金，自采购合同签订之日起5个工作日内退还中标人；</w:t>
      </w:r>
    </w:p>
    <w:p w14:paraId="77AD4F60">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未中标投标人的投标保证金，自中标通知书发出之日起5个工作日内退还未中标人；</w:t>
      </w:r>
    </w:p>
    <w:p w14:paraId="005DA416">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终止招标项目已经收取投标保证金的，自终止采购活动后5个工作日内退还已收取的投标保证金及其在银行产生的孳息。</w:t>
      </w:r>
    </w:p>
    <w:p w14:paraId="3FDE2285">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有下列情形之一的，采购人或采购代理机构可以不予退还投标保证金：</w:t>
      </w:r>
    </w:p>
    <w:p w14:paraId="26508A48">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投标有效期内投标人撤销投标文件的；</w:t>
      </w:r>
    </w:p>
    <w:p w14:paraId="6C3DB4D8">
      <w:pPr>
        <w:numPr>
          <w:ilvl w:val="2"/>
          <w:numId w:val="9"/>
        </w:numPr>
        <w:tabs>
          <w:tab w:val="left" w:pos="900"/>
          <w:tab w:val="left" w:pos="1080"/>
          <w:tab w:val="left" w:pos="2014"/>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《投标人须知资料表》中规定的其他情形。</w:t>
      </w:r>
    </w:p>
    <w:p w14:paraId="696D4E9E">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bookmarkStart w:id="350" w:name="_Toc127151532"/>
      <w:bookmarkStart w:id="351" w:name="_Toc520356157"/>
      <w:bookmarkStart w:id="352" w:name="_Toc195842897"/>
      <w:bookmarkStart w:id="353" w:name="_Toc164351626"/>
      <w:bookmarkStart w:id="354" w:name="_Toc164608646"/>
      <w:bookmarkStart w:id="355" w:name="_Toc305158800"/>
      <w:bookmarkStart w:id="356" w:name="_Toc226965805"/>
      <w:bookmarkStart w:id="357" w:name="_Toc164608801"/>
      <w:bookmarkStart w:id="358" w:name="_Toc151193920"/>
      <w:bookmarkStart w:id="359" w:name="_Toc305158874"/>
      <w:bookmarkStart w:id="360" w:name="_Toc151190159"/>
      <w:bookmarkStart w:id="361" w:name="_Toc150774737"/>
      <w:bookmarkStart w:id="362" w:name="_Toc226965722"/>
      <w:bookmarkStart w:id="363" w:name="_Toc226337228"/>
      <w:bookmarkStart w:id="364" w:name="_Toc127151733"/>
      <w:bookmarkStart w:id="365" w:name="_Toc150480770"/>
      <w:bookmarkStart w:id="366" w:name="_Toc265228370"/>
      <w:bookmarkStart w:id="367" w:name="_Toc151193846"/>
      <w:bookmarkStart w:id="368" w:name="_Toc151193774"/>
      <w:bookmarkStart w:id="369" w:name="_Toc150509283"/>
      <w:bookmarkStart w:id="370" w:name="_Toc151193630"/>
      <w:bookmarkStart w:id="371" w:name="_Toc150774632"/>
      <w:bookmarkStart w:id="372" w:name="_Toc151193702"/>
      <w:bookmarkStart w:id="373" w:name="_Toc127161446"/>
      <w:bookmarkStart w:id="374" w:name="_Toc149720825"/>
      <w:bookmarkStart w:id="375" w:name="_Toc264969222"/>
      <w:bookmarkStart w:id="376" w:name="_Toc164229227"/>
      <w:bookmarkStart w:id="377" w:name="_Toc142311034"/>
      <w:bookmarkStart w:id="378" w:name="_Toc164229373"/>
      <w:bookmarkStart w:id="379" w:name="_Toc226309776"/>
      <w:r>
        <w:rPr>
          <w:rFonts w:hint="eastAsia" w:ascii="宋体" w:hAnsi="宋体" w:cs="宋体"/>
          <w:color w:val="auto"/>
          <w:sz w:val="24"/>
          <w:highlight w:val="none"/>
        </w:rPr>
        <w:t>投标有效期</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1676260C">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投标文件应在本招标文件《投标人须知资料表》中规定的投标有效期内保持有效，投标有效期少于招标文件规定期限的，其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3E253D10">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bookmarkStart w:id="380" w:name="_Toc164351627"/>
      <w:bookmarkStart w:id="381" w:name="_Toc142311035"/>
      <w:bookmarkStart w:id="382" w:name="_Toc151193631"/>
      <w:bookmarkStart w:id="383" w:name="_Toc265228371"/>
      <w:bookmarkStart w:id="384" w:name="_Toc305158875"/>
      <w:bookmarkStart w:id="385" w:name="_Toc195842898"/>
      <w:bookmarkStart w:id="386" w:name="_Toc127161447"/>
      <w:bookmarkStart w:id="387" w:name="_Toc164608802"/>
      <w:bookmarkStart w:id="388" w:name="_Toc127151533"/>
      <w:bookmarkStart w:id="389" w:name="_Toc520356158"/>
      <w:bookmarkStart w:id="390" w:name="_Toc226965723"/>
      <w:bookmarkStart w:id="391" w:name="_Toc151193775"/>
      <w:bookmarkStart w:id="392" w:name="_Toc226965806"/>
      <w:bookmarkStart w:id="393" w:name="_Toc150774738"/>
      <w:bookmarkStart w:id="394" w:name="_Toc305158801"/>
      <w:bookmarkStart w:id="395" w:name="_Toc164229228"/>
      <w:bookmarkStart w:id="396" w:name="_Toc150774633"/>
      <w:bookmarkStart w:id="397" w:name="_Toc264969223"/>
      <w:bookmarkStart w:id="398" w:name="_Toc164608647"/>
      <w:bookmarkStart w:id="399" w:name="_Toc151193847"/>
      <w:bookmarkStart w:id="400" w:name="_Toc150509284"/>
      <w:bookmarkStart w:id="401" w:name="_Toc151190160"/>
      <w:bookmarkStart w:id="402" w:name="_Toc226337229"/>
      <w:bookmarkStart w:id="403" w:name="_Toc149720826"/>
      <w:bookmarkStart w:id="404" w:name="_Toc226309777"/>
      <w:bookmarkStart w:id="405" w:name="_Toc164229374"/>
      <w:bookmarkStart w:id="406" w:name="_Toc151193703"/>
      <w:bookmarkStart w:id="407" w:name="_Toc127151734"/>
      <w:bookmarkStart w:id="408" w:name="_Toc150480771"/>
      <w:bookmarkStart w:id="409" w:name="_Toc151193921"/>
      <w:r>
        <w:rPr>
          <w:rFonts w:hint="eastAsia" w:ascii="宋体" w:hAnsi="宋体" w:cs="宋体"/>
          <w:color w:val="auto"/>
          <w:sz w:val="24"/>
          <w:highlight w:val="none"/>
        </w:rPr>
        <w:t>投标文件的签署</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rFonts w:hint="eastAsia" w:ascii="宋体" w:hAnsi="宋体" w:cs="宋体"/>
          <w:color w:val="auto"/>
          <w:sz w:val="24"/>
          <w:highlight w:val="none"/>
        </w:rPr>
        <w:t>、盖章</w:t>
      </w:r>
    </w:p>
    <w:p w14:paraId="5FAD6C3A">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bookmarkStart w:id="410" w:name="_Toc305158876"/>
      <w:bookmarkStart w:id="411" w:name="_Toc151193848"/>
      <w:bookmarkStart w:id="412" w:name="_Toc226309778"/>
      <w:bookmarkStart w:id="413" w:name="_Toc305158802"/>
      <w:bookmarkStart w:id="414" w:name="_Toc150509285"/>
      <w:bookmarkStart w:id="415" w:name="_Toc142311036"/>
      <w:bookmarkStart w:id="416" w:name="_Toc226965807"/>
      <w:bookmarkStart w:id="417" w:name="_Toc151193632"/>
      <w:bookmarkStart w:id="418" w:name="_Toc151193704"/>
      <w:bookmarkStart w:id="419" w:name="_Toc127151534"/>
      <w:bookmarkStart w:id="420" w:name="_Toc226337230"/>
      <w:bookmarkStart w:id="421" w:name="_Toc226965724"/>
      <w:bookmarkStart w:id="422" w:name="_Toc264969224"/>
      <w:bookmarkStart w:id="423" w:name="_Toc520356159"/>
      <w:bookmarkStart w:id="424" w:name="_Toc150480772"/>
      <w:bookmarkStart w:id="425" w:name="_Toc151193776"/>
      <w:bookmarkStart w:id="426" w:name="_Toc265228372"/>
      <w:bookmarkStart w:id="427" w:name="_Toc150774634"/>
      <w:bookmarkStart w:id="428" w:name="_Toc151193922"/>
      <w:bookmarkStart w:id="429" w:name="_Toc195842899"/>
      <w:bookmarkStart w:id="430" w:name="_Toc151190161"/>
      <w:bookmarkStart w:id="431" w:name="_Toc150774739"/>
      <w:r>
        <w:rPr>
          <w:rFonts w:hint="eastAsia" w:ascii="宋体" w:hAnsi="宋体" w:cs="宋体"/>
          <w:color w:val="auto"/>
          <w:sz w:val="24"/>
          <w:highlight w:val="none"/>
        </w:rPr>
        <w:t>招标文件要求签字的内容（如授权委托书等），可以使用电子签章或使用原件 的电子件（电子件指扫描件、照片等形式电子文件）；要求第三方出具的盖章 件原件（如联合协议、分包意向协议、制造商授权书等），投标文件中应使用原件的电子件。</w:t>
      </w:r>
    </w:p>
    <w:p w14:paraId="5FA6A27A">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招标文件要求盖章的内容，一般通过投标文件编制工具加盖电子签章。</w:t>
      </w:r>
    </w:p>
    <w:p w14:paraId="0C422E33">
      <w:pPr>
        <w:tabs>
          <w:tab w:val="left" w:pos="900"/>
          <w:tab w:val="left" w:pos="1080"/>
        </w:tabs>
        <w:snapToGrid w:val="0"/>
        <w:spacing w:line="360" w:lineRule="auto"/>
        <w:ind w:left="357"/>
        <w:rPr>
          <w:rFonts w:ascii="宋体" w:hAnsi="宋体" w:cs="宋体"/>
          <w:color w:val="auto"/>
          <w:highlight w:val="none"/>
        </w:rPr>
      </w:pPr>
    </w:p>
    <w:p w14:paraId="4BA58BB5">
      <w:pPr>
        <w:pStyle w:val="3"/>
        <w:spacing w:before="0" w:line="360" w:lineRule="auto"/>
        <w:rPr>
          <w:rFonts w:ascii="宋体" w:hAnsi="宋体" w:eastAsia="宋体" w:cs="宋体"/>
          <w:color w:val="auto"/>
          <w:sz w:val="28"/>
          <w:highlight w:val="none"/>
        </w:rPr>
      </w:pPr>
      <w:r>
        <w:rPr>
          <w:rFonts w:hint="eastAsia" w:ascii="宋体" w:hAnsi="宋体" w:eastAsia="宋体" w:cs="宋体"/>
          <w:color w:val="auto"/>
          <w:sz w:val="28"/>
          <w:highlight w:val="none"/>
        </w:rPr>
        <w:t>四   投标文件的提交</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07165F34">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bookmarkStart w:id="432" w:name="_Toc151193849"/>
      <w:bookmarkStart w:id="433" w:name="_Toc305158877"/>
      <w:bookmarkStart w:id="434" w:name="_Toc151193777"/>
      <w:bookmarkStart w:id="435" w:name="_Toc150774635"/>
      <w:bookmarkStart w:id="436" w:name="_Toc150509286"/>
      <w:bookmarkStart w:id="437" w:name="_Toc127151736"/>
      <w:bookmarkStart w:id="438" w:name="_Toc151193705"/>
      <w:bookmarkStart w:id="439" w:name="_Toc127151535"/>
      <w:bookmarkStart w:id="440" w:name="_Toc226965808"/>
      <w:bookmarkStart w:id="441" w:name="_Toc164229230"/>
      <w:bookmarkStart w:id="442" w:name="_Toc151190162"/>
      <w:bookmarkStart w:id="443" w:name="_Toc164608804"/>
      <w:bookmarkStart w:id="444" w:name="_Toc226337231"/>
      <w:bookmarkStart w:id="445" w:name="_Toc226309779"/>
      <w:bookmarkStart w:id="446" w:name="_Toc127161449"/>
      <w:bookmarkStart w:id="447" w:name="_Toc164229376"/>
      <w:bookmarkStart w:id="448" w:name="_Toc520356160"/>
      <w:bookmarkStart w:id="449" w:name="_Toc151193633"/>
      <w:bookmarkStart w:id="450" w:name="_Toc151193923"/>
      <w:bookmarkStart w:id="451" w:name="_Toc164351629"/>
      <w:bookmarkStart w:id="452" w:name="_Toc305158803"/>
      <w:bookmarkStart w:id="453" w:name="_Toc142311037"/>
      <w:bookmarkStart w:id="454" w:name="_Toc150480773"/>
      <w:bookmarkStart w:id="455" w:name="_Toc149720828"/>
      <w:bookmarkStart w:id="456" w:name="_Toc226965725"/>
      <w:bookmarkStart w:id="457" w:name="_Toc164608649"/>
      <w:bookmarkStart w:id="458" w:name="_Toc150774740"/>
      <w:bookmarkStart w:id="459" w:name="_Toc264969225"/>
      <w:bookmarkStart w:id="460" w:name="_Toc265228373"/>
      <w:bookmarkStart w:id="461" w:name="_Toc195842900"/>
      <w:r>
        <w:rPr>
          <w:rFonts w:hint="eastAsia" w:ascii="宋体" w:hAnsi="宋体" w:cs="宋体"/>
          <w:color w:val="auto"/>
          <w:sz w:val="24"/>
          <w:highlight w:val="none"/>
        </w:rPr>
        <w:t>投标文件的</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rFonts w:hint="eastAsia" w:ascii="宋体" w:hAnsi="宋体" w:cs="宋体"/>
          <w:color w:val="auto"/>
          <w:sz w:val="24"/>
          <w:highlight w:val="none"/>
        </w:rPr>
        <w:t>提交</w:t>
      </w:r>
    </w:p>
    <w:p w14:paraId="1E996311">
      <w:pPr>
        <w:tabs>
          <w:tab w:val="left" w:pos="1080"/>
          <w:tab w:val="left" w:pos="1589"/>
          <w:tab w:val="left" w:pos="2014"/>
        </w:tabs>
        <w:snapToGrid w:val="0"/>
        <w:spacing w:line="360" w:lineRule="auto"/>
        <w:ind w:left="990" w:leftChars="99" w:hanging="782" w:hangingChars="326"/>
        <w:rPr>
          <w:rFonts w:ascii="宋体" w:hAnsi="宋体" w:cs="宋体"/>
          <w:color w:val="auto"/>
          <w:sz w:val="24"/>
          <w:highlight w:val="none"/>
        </w:rPr>
      </w:pPr>
      <w:r>
        <w:rPr>
          <w:rFonts w:hint="eastAsia" w:ascii="宋体" w:hAnsi="宋体" w:cs="宋体"/>
          <w:color w:val="auto"/>
          <w:sz w:val="24"/>
          <w:highlight w:val="none"/>
        </w:rPr>
        <w:t xml:space="preserve">15.1 </w:t>
      </w:r>
      <w:r>
        <w:rPr>
          <w:rFonts w:hint="eastAsia" w:ascii="宋体" w:hAnsi="宋体" w:cs="宋体"/>
          <w:b/>
          <w:color w:val="auto"/>
          <w:sz w:val="24"/>
          <w:highlight w:val="none"/>
        </w:rPr>
        <w:t xml:space="preserve"> </w:t>
      </w:r>
      <w:r>
        <w:rPr>
          <w:rFonts w:hint="eastAsia" w:ascii="宋体" w:hAnsi="宋体" w:cs="宋体"/>
          <w:color w:val="auto"/>
          <w:sz w:val="24"/>
          <w:highlight w:val="none"/>
        </w:rPr>
        <w:t>本项目使用北京市政府采购电子交易平台。投标人根据招标文件及电子交易平台供应商操作手册要求编制、生成并提交电子投标文件。</w:t>
      </w:r>
    </w:p>
    <w:p w14:paraId="5685C4DE">
      <w:pPr>
        <w:tabs>
          <w:tab w:val="left" w:pos="851"/>
          <w:tab w:val="left" w:pos="1589"/>
          <w:tab w:val="left" w:pos="2014"/>
        </w:tabs>
        <w:snapToGrid w:val="0"/>
        <w:spacing w:line="360" w:lineRule="auto"/>
        <w:ind w:left="992" w:leftChars="99" w:hanging="784" w:hangingChars="327"/>
        <w:rPr>
          <w:rFonts w:ascii="宋体" w:hAnsi="宋体" w:cs="宋体"/>
          <w:b/>
          <w:color w:val="auto"/>
          <w:sz w:val="24"/>
          <w:highlight w:val="none"/>
        </w:rPr>
      </w:pPr>
      <w:r>
        <w:rPr>
          <w:rFonts w:hint="eastAsia" w:ascii="宋体" w:hAnsi="宋体" w:cs="宋体"/>
          <w:color w:val="auto"/>
          <w:sz w:val="24"/>
          <w:highlight w:val="none"/>
        </w:rPr>
        <w:t>15.2  采购人及采购代理机构拒绝接受通过电子交易平台以外任何形式提交的投标文件，投标保证金除外。</w:t>
      </w:r>
    </w:p>
    <w:p w14:paraId="13E981ED">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bookmarkStart w:id="462" w:name="_Toc151193706"/>
      <w:bookmarkStart w:id="463" w:name="_Toc150774741"/>
      <w:bookmarkStart w:id="464" w:name="_Toc164229377"/>
      <w:bookmarkStart w:id="465" w:name="_Toc164608805"/>
      <w:bookmarkStart w:id="466" w:name="_Toc265228374"/>
      <w:bookmarkStart w:id="467" w:name="_Toc226965809"/>
      <w:bookmarkStart w:id="468" w:name="_Toc127151737"/>
      <w:bookmarkStart w:id="469" w:name="_Toc520356161"/>
      <w:bookmarkStart w:id="470" w:name="_Toc151193778"/>
      <w:bookmarkStart w:id="471" w:name="_Toc305158878"/>
      <w:bookmarkStart w:id="472" w:name="_Toc164608650"/>
      <w:bookmarkStart w:id="473" w:name="_Toc195842901"/>
      <w:bookmarkStart w:id="474" w:name="_Toc226309780"/>
      <w:bookmarkStart w:id="475" w:name="_Toc151193850"/>
      <w:bookmarkStart w:id="476" w:name="_Toc226337232"/>
      <w:bookmarkStart w:id="477" w:name="_Toc164351630"/>
      <w:bookmarkStart w:id="478" w:name="_Toc151193924"/>
      <w:bookmarkStart w:id="479" w:name="_Toc127151536"/>
      <w:bookmarkStart w:id="480" w:name="_Toc150509287"/>
      <w:bookmarkStart w:id="481" w:name="_Toc164229231"/>
      <w:bookmarkStart w:id="482" w:name="_Toc264969226"/>
      <w:bookmarkStart w:id="483" w:name="_Toc150480774"/>
      <w:bookmarkStart w:id="484" w:name="_Toc151190163"/>
      <w:bookmarkStart w:id="485" w:name="_Toc151193634"/>
      <w:bookmarkStart w:id="486" w:name="_Toc142311038"/>
      <w:bookmarkStart w:id="487" w:name="_Toc305158804"/>
      <w:bookmarkStart w:id="488" w:name="_Toc149720829"/>
      <w:bookmarkStart w:id="489" w:name="_Toc226965726"/>
      <w:bookmarkStart w:id="490" w:name="_Toc127161450"/>
      <w:bookmarkStart w:id="491" w:name="_Toc150774636"/>
      <w:r>
        <w:rPr>
          <w:rFonts w:hint="eastAsia" w:ascii="宋体" w:hAnsi="宋体" w:cs="宋体"/>
          <w:color w:val="auto"/>
          <w:sz w:val="24"/>
          <w:highlight w:val="none"/>
        </w:rPr>
        <w:t>投标截止</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Pr>
          <w:rFonts w:hint="eastAsia" w:ascii="宋体" w:hAnsi="宋体" w:cs="宋体"/>
          <w:color w:val="auto"/>
          <w:sz w:val="24"/>
          <w:highlight w:val="none"/>
        </w:rPr>
        <w:t>时间</w:t>
      </w:r>
    </w:p>
    <w:p w14:paraId="64121882">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投标人应在招标文件要求提交投标文件截止时间前，将电子投标文件提交至电子交易平台。</w:t>
      </w:r>
    </w:p>
    <w:p w14:paraId="2A6F6287">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bookmarkStart w:id="492" w:name="_Toc151193851"/>
      <w:bookmarkStart w:id="493" w:name="_Toc226965810"/>
      <w:bookmarkStart w:id="494" w:name="_Toc305158805"/>
      <w:bookmarkStart w:id="495" w:name="_Toc195842902"/>
      <w:bookmarkStart w:id="496" w:name="_Toc305158879"/>
      <w:bookmarkStart w:id="497" w:name="_Toc151193635"/>
      <w:bookmarkStart w:id="498" w:name="_Toc151193925"/>
      <w:bookmarkStart w:id="499" w:name="_Toc151190164"/>
      <w:bookmarkStart w:id="500" w:name="_Toc150509288"/>
      <w:bookmarkStart w:id="501" w:name="_Toc149720830"/>
      <w:bookmarkStart w:id="502" w:name="_Toc127151738"/>
      <w:bookmarkStart w:id="503" w:name="_Toc164608806"/>
      <w:bookmarkStart w:id="504" w:name="_Toc151193779"/>
      <w:bookmarkStart w:id="505" w:name="_Toc142311039"/>
      <w:bookmarkStart w:id="506" w:name="_Toc226309781"/>
      <w:bookmarkStart w:id="507" w:name="_Toc127161451"/>
      <w:bookmarkStart w:id="508" w:name="_Toc264969227"/>
      <w:bookmarkStart w:id="509" w:name="_Toc164229378"/>
      <w:bookmarkStart w:id="510" w:name="_Toc150480775"/>
      <w:bookmarkStart w:id="511" w:name="_Toc127151537"/>
      <w:bookmarkStart w:id="512" w:name="_Toc265228375"/>
      <w:bookmarkStart w:id="513" w:name="_Toc150774742"/>
      <w:bookmarkStart w:id="514" w:name="_Toc164351631"/>
      <w:bookmarkStart w:id="515" w:name="_Toc164608651"/>
      <w:bookmarkStart w:id="516" w:name="_Toc164229232"/>
      <w:bookmarkStart w:id="517" w:name="_Toc520356162"/>
      <w:bookmarkStart w:id="518" w:name="_Toc226337233"/>
      <w:bookmarkStart w:id="519" w:name="_Toc151193707"/>
      <w:bookmarkStart w:id="520" w:name="_Toc150774637"/>
      <w:bookmarkStart w:id="521" w:name="_Toc226965727"/>
      <w:r>
        <w:rPr>
          <w:rFonts w:hint="eastAsia" w:ascii="宋体" w:hAnsi="宋体" w:cs="宋体"/>
          <w:color w:val="auto"/>
          <w:sz w:val="24"/>
          <w:highlight w:val="none"/>
        </w:rPr>
        <w:t>投标文件的修改与撤回</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4B45BD88">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7B094C66">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投标人对投标文件的补充、修改的内容应当按照招标文件要求签署、盖章，作为投标文件的组成部分。</w:t>
      </w:r>
    </w:p>
    <w:p w14:paraId="64FB02CE">
      <w:pPr>
        <w:spacing w:line="360" w:lineRule="auto"/>
        <w:rPr>
          <w:rFonts w:ascii="宋体" w:hAnsi="宋体" w:cs="宋体"/>
          <w:color w:val="auto"/>
          <w:sz w:val="24"/>
          <w:highlight w:val="none"/>
        </w:rPr>
      </w:pPr>
    </w:p>
    <w:p w14:paraId="5C8B0CC3">
      <w:pPr>
        <w:pStyle w:val="3"/>
        <w:spacing w:before="0" w:line="360" w:lineRule="auto"/>
        <w:rPr>
          <w:rFonts w:ascii="宋体" w:hAnsi="宋体" w:eastAsia="宋体" w:cs="宋体"/>
          <w:color w:val="auto"/>
          <w:sz w:val="28"/>
          <w:highlight w:val="none"/>
        </w:rPr>
      </w:pPr>
      <w:bookmarkStart w:id="522" w:name="_Toc151193926"/>
      <w:bookmarkStart w:id="523" w:name="_Toc195842903"/>
      <w:bookmarkStart w:id="524" w:name="_Toc226337234"/>
      <w:bookmarkStart w:id="525" w:name="_Toc151193852"/>
      <w:bookmarkStart w:id="526" w:name="_Toc151190165"/>
      <w:bookmarkStart w:id="527" w:name="_Toc226965811"/>
      <w:bookmarkStart w:id="528" w:name="_Toc226965728"/>
      <w:bookmarkStart w:id="529" w:name="_Toc150774743"/>
      <w:bookmarkStart w:id="530" w:name="_Toc150509289"/>
      <w:bookmarkStart w:id="531" w:name="_Toc264969228"/>
      <w:bookmarkStart w:id="532" w:name="_Toc142311040"/>
      <w:bookmarkStart w:id="533" w:name="_Toc151193780"/>
      <w:bookmarkStart w:id="534" w:name="_Toc305158806"/>
      <w:bookmarkStart w:id="535" w:name="_Toc305158880"/>
      <w:bookmarkStart w:id="536" w:name="_Toc265228376"/>
      <w:bookmarkStart w:id="537" w:name="_Toc151193636"/>
      <w:bookmarkStart w:id="538" w:name="_Toc150774638"/>
      <w:bookmarkStart w:id="539" w:name="_Toc226309782"/>
      <w:bookmarkStart w:id="540" w:name="_Toc520356163"/>
      <w:bookmarkStart w:id="541" w:name="_Toc150480776"/>
      <w:bookmarkStart w:id="542" w:name="_Toc127151538"/>
      <w:bookmarkStart w:id="543" w:name="_Toc151193708"/>
      <w:r>
        <w:rPr>
          <w:rFonts w:hint="eastAsia" w:ascii="宋体" w:hAnsi="宋体" w:eastAsia="宋体" w:cs="宋体"/>
          <w:color w:val="auto"/>
          <w:sz w:val="28"/>
          <w:highlight w:val="none"/>
        </w:rPr>
        <w:t>五   开标、资格审查及评标</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494AF19C">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bookmarkStart w:id="544" w:name="_Toc142311041"/>
      <w:bookmarkStart w:id="545" w:name="_Toc150774744"/>
      <w:bookmarkStart w:id="546" w:name="_Toc164351633"/>
      <w:bookmarkStart w:id="547" w:name="_Toc151193709"/>
      <w:bookmarkStart w:id="548" w:name="_Toc164608808"/>
      <w:bookmarkStart w:id="549" w:name="_Toc150480777"/>
      <w:bookmarkStart w:id="550" w:name="_Toc226965812"/>
      <w:bookmarkStart w:id="551" w:name="_Toc226965729"/>
      <w:bookmarkStart w:id="552" w:name="_Toc149720832"/>
      <w:bookmarkStart w:id="553" w:name="_Toc150509290"/>
      <w:bookmarkStart w:id="554" w:name="_Toc151190166"/>
      <w:bookmarkStart w:id="555" w:name="_Toc151193781"/>
      <w:bookmarkStart w:id="556" w:name="_Toc226337235"/>
      <w:bookmarkStart w:id="557" w:name="_Toc127151539"/>
      <w:bookmarkStart w:id="558" w:name="_Toc150774639"/>
      <w:bookmarkStart w:id="559" w:name="_Toc265228377"/>
      <w:bookmarkStart w:id="560" w:name="_Toc305158807"/>
      <w:bookmarkStart w:id="561" w:name="_Toc127151740"/>
      <w:bookmarkStart w:id="562" w:name="_Toc305158881"/>
      <w:bookmarkStart w:id="563" w:name="_Toc127161453"/>
      <w:bookmarkStart w:id="564" w:name="_Toc164229234"/>
      <w:bookmarkStart w:id="565" w:name="_Toc151193927"/>
      <w:bookmarkStart w:id="566" w:name="_Toc226309783"/>
      <w:bookmarkStart w:id="567" w:name="_Toc264969229"/>
      <w:bookmarkStart w:id="568" w:name="_Toc195842904"/>
      <w:bookmarkStart w:id="569" w:name="_Toc151193853"/>
      <w:bookmarkStart w:id="570" w:name="_Toc520356164"/>
      <w:bookmarkStart w:id="571" w:name="_Toc164229380"/>
      <w:bookmarkStart w:id="572" w:name="_Toc164608653"/>
      <w:bookmarkStart w:id="573" w:name="_Toc151193637"/>
      <w:r>
        <w:rPr>
          <w:rFonts w:hint="eastAsia" w:ascii="宋体" w:hAnsi="宋体" w:cs="宋体"/>
          <w:color w:val="auto"/>
          <w:sz w:val="24"/>
          <w:highlight w:val="none"/>
        </w:rPr>
        <w:t>开标</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454EB1CB">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采购人或采购代理机构将按招标文件的规定，在投标截止时间的同一时间和招标文件预先确定的地点组织开标。</w:t>
      </w:r>
    </w:p>
    <w:p w14:paraId="524808C8">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本项目开标使用北京市政府采购电子交易平台。投标人应在规定的时间内对投标文件进行解密，因非系统原因导致的解密失败，视为</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757B77B9">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开标</w:t>
      </w:r>
      <w:bookmarkStart w:id="574" w:name="_Toc520356165"/>
      <w:r>
        <w:rPr>
          <w:rFonts w:hint="eastAsia" w:ascii="宋体" w:hAnsi="宋体" w:cs="宋体"/>
          <w:color w:val="auto"/>
          <w:sz w:val="24"/>
          <w:highlight w:val="none"/>
        </w:rPr>
        <w:t>过程将使用电子交易平台宣布投标人名称、投标价格和招标文件规定的 需要宣布的其他内容并进行记录，并由参加开标的各投标人确认。投标人未在规定时间内提出疑义或确认一览表的，视同认可开标结果。</w:t>
      </w:r>
    </w:p>
    <w:p w14:paraId="11AA70A1">
      <w:pPr>
        <w:tabs>
          <w:tab w:val="left" w:pos="1080"/>
          <w:tab w:val="left" w:pos="1589"/>
          <w:tab w:val="left" w:pos="2014"/>
        </w:tabs>
        <w:snapToGrid w:val="0"/>
        <w:spacing w:line="360" w:lineRule="auto"/>
        <w:ind w:left="1140" w:leftChars="200" w:hanging="720" w:hangingChars="300"/>
        <w:rPr>
          <w:rFonts w:ascii="宋体" w:hAnsi="宋体" w:cs="宋体"/>
          <w:color w:val="auto"/>
          <w:sz w:val="24"/>
          <w:highlight w:val="none"/>
        </w:rPr>
      </w:pPr>
      <w:r>
        <w:rPr>
          <w:rFonts w:hint="eastAsia" w:ascii="宋体" w:hAnsi="宋体" w:cs="宋体"/>
          <w:color w:val="auto"/>
          <w:sz w:val="24"/>
          <w:highlight w:val="none"/>
        </w:rPr>
        <w:t>18.4  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8EFE231">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投标人不足3家的，不予开标。</w:t>
      </w:r>
    </w:p>
    <w:p w14:paraId="2E329CEC">
      <w:pPr>
        <w:tabs>
          <w:tab w:val="left" w:pos="360"/>
        </w:tabs>
        <w:snapToGrid w:val="0"/>
        <w:spacing w:line="360" w:lineRule="auto"/>
        <w:outlineLvl w:val="1"/>
        <w:rPr>
          <w:rFonts w:ascii="宋体" w:hAnsi="宋体" w:cs="宋体"/>
          <w:color w:val="auto"/>
          <w:sz w:val="24"/>
          <w:highlight w:val="none"/>
        </w:rPr>
      </w:pPr>
      <w:r>
        <w:rPr>
          <w:rFonts w:hint="eastAsia" w:ascii="宋体" w:hAnsi="宋体" w:cs="宋体"/>
          <w:color w:val="auto"/>
          <w:sz w:val="24"/>
          <w:highlight w:val="none"/>
        </w:rPr>
        <w:t>19 资格审查</w:t>
      </w:r>
    </w:p>
    <w:p w14:paraId="7452F50A">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19.1  见第三章《资格审查》。</w:t>
      </w:r>
    </w:p>
    <w:bookmarkEnd w:id="574"/>
    <w:p w14:paraId="497F2C24">
      <w:pPr>
        <w:tabs>
          <w:tab w:val="left" w:pos="360"/>
        </w:tabs>
        <w:snapToGrid w:val="0"/>
        <w:spacing w:line="360" w:lineRule="auto"/>
        <w:outlineLvl w:val="1"/>
        <w:rPr>
          <w:rFonts w:ascii="宋体" w:hAnsi="宋体" w:cs="宋体"/>
          <w:color w:val="auto"/>
          <w:sz w:val="24"/>
          <w:highlight w:val="none"/>
        </w:rPr>
      </w:pPr>
      <w:bookmarkStart w:id="575" w:name="_Toc151193928"/>
      <w:bookmarkStart w:id="576" w:name="_Toc226965730"/>
      <w:bookmarkStart w:id="577" w:name="_Toc164229381"/>
      <w:bookmarkStart w:id="578" w:name="_Toc226337236"/>
      <w:bookmarkStart w:id="579" w:name="_Toc151193854"/>
      <w:bookmarkStart w:id="580" w:name="_Toc164608809"/>
      <w:bookmarkStart w:id="581" w:name="_Toc226965813"/>
      <w:bookmarkStart w:id="582" w:name="_Toc164608654"/>
      <w:bookmarkStart w:id="583" w:name="_Toc195842905"/>
      <w:bookmarkStart w:id="584" w:name="_Toc150509291"/>
      <w:bookmarkStart w:id="585" w:name="_Toc305158808"/>
      <w:bookmarkStart w:id="586" w:name="_Toc226309784"/>
      <w:bookmarkStart w:id="587" w:name="_Toc151193638"/>
      <w:bookmarkStart w:id="588" w:name="_Toc151193710"/>
      <w:bookmarkStart w:id="589" w:name="_Toc264969230"/>
      <w:bookmarkStart w:id="590" w:name="_Toc151190167"/>
      <w:bookmarkStart w:id="591" w:name="_Toc164351634"/>
      <w:bookmarkStart w:id="592" w:name="_Toc142311042"/>
      <w:bookmarkStart w:id="593" w:name="_Toc127161454"/>
      <w:bookmarkStart w:id="594" w:name="_Toc150480778"/>
      <w:bookmarkStart w:id="595" w:name="_Toc150774745"/>
      <w:bookmarkStart w:id="596" w:name="_Toc127151540"/>
      <w:bookmarkStart w:id="597" w:name="_Toc305158882"/>
      <w:bookmarkStart w:id="598" w:name="_Toc150774640"/>
      <w:bookmarkStart w:id="599" w:name="_Toc127151741"/>
      <w:bookmarkStart w:id="600" w:name="_Toc164229235"/>
      <w:bookmarkStart w:id="601" w:name="_Toc151193782"/>
      <w:bookmarkStart w:id="602" w:name="_Toc149720833"/>
      <w:bookmarkStart w:id="603" w:name="_Toc265228378"/>
      <w:r>
        <w:rPr>
          <w:rFonts w:hint="eastAsia" w:ascii="宋体" w:hAnsi="宋体" w:cs="宋体"/>
          <w:color w:val="auto"/>
          <w:sz w:val="24"/>
          <w:highlight w:val="none"/>
        </w:rPr>
        <w:t>20 评标委员会</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6B79693F">
      <w:pPr>
        <w:tabs>
          <w:tab w:val="left" w:pos="1080"/>
          <w:tab w:val="left" w:pos="1589"/>
          <w:tab w:val="left" w:pos="2014"/>
        </w:tabs>
        <w:snapToGrid w:val="0"/>
        <w:spacing w:line="360" w:lineRule="auto"/>
        <w:ind w:left="1140" w:leftChars="200" w:hanging="720" w:hangingChars="300"/>
        <w:rPr>
          <w:rFonts w:ascii="宋体" w:hAnsi="宋体" w:cs="宋体"/>
          <w:color w:val="auto"/>
          <w:sz w:val="24"/>
          <w:highlight w:val="none"/>
        </w:rPr>
      </w:pPr>
      <w:r>
        <w:rPr>
          <w:rFonts w:hint="eastAsia" w:ascii="宋体" w:hAnsi="宋体" w:cs="宋体"/>
          <w:color w:val="auto"/>
          <w:sz w:val="24"/>
          <w:highlight w:val="none"/>
        </w:rPr>
        <w:t>20.1 评标委员会根据政府采购有关规定和本次采购项目的特点进行组建，并负责具体评标事务，独立履行职责。</w:t>
      </w:r>
      <w:bookmarkStart w:id="604" w:name="_Toc520356166"/>
    </w:p>
    <w:p w14:paraId="308B4FE5">
      <w:pPr>
        <w:tabs>
          <w:tab w:val="left" w:pos="1080"/>
          <w:tab w:val="left" w:pos="1589"/>
          <w:tab w:val="left" w:pos="2014"/>
        </w:tabs>
        <w:snapToGrid w:val="0"/>
        <w:spacing w:line="360" w:lineRule="auto"/>
        <w:ind w:left="991" w:leftChars="200" w:hanging="571" w:hangingChars="238"/>
        <w:rPr>
          <w:rFonts w:ascii="宋体" w:hAnsi="宋体" w:cs="宋体"/>
          <w:color w:val="auto"/>
          <w:sz w:val="24"/>
          <w:highlight w:val="none"/>
        </w:rPr>
      </w:pPr>
      <w:r>
        <w:rPr>
          <w:rFonts w:hint="eastAsia" w:ascii="宋体" w:hAnsi="宋体" w:cs="宋体"/>
          <w:color w:val="auto"/>
          <w:sz w:val="24"/>
          <w:highlight w:val="none"/>
        </w:rPr>
        <w:t>20.2 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04"/>
      <w:bookmarkStart w:id="605" w:name="_Toc520356169"/>
    </w:p>
    <w:p w14:paraId="5787B30E">
      <w:pPr>
        <w:tabs>
          <w:tab w:val="left" w:pos="360"/>
        </w:tabs>
        <w:snapToGrid w:val="0"/>
        <w:spacing w:line="360" w:lineRule="auto"/>
        <w:outlineLvl w:val="1"/>
        <w:rPr>
          <w:rFonts w:ascii="宋体" w:hAnsi="宋体" w:cs="宋体"/>
          <w:color w:val="auto"/>
          <w:sz w:val="24"/>
          <w:highlight w:val="none"/>
        </w:rPr>
      </w:pPr>
      <w:r>
        <w:rPr>
          <w:rFonts w:hint="eastAsia" w:ascii="宋体" w:hAnsi="宋体" w:cs="宋体"/>
          <w:color w:val="auto"/>
          <w:sz w:val="24"/>
          <w:highlight w:val="none"/>
        </w:rPr>
        <w:t>21评标程序、评标方法和评标标准</w:t>
      </w:r>
    </w:p>
    <w:p w14:paraId="08A3EB24">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21.1见第四章《评标程序、评标方法和评标标准》。</w:t>
      </w:r>
    </w:p>
    <w:p w14:paraId="19AC46EA">
      <w:pPr>
        <w:tabs>
          <w:tab w:val="left" w:pos="360"/>
          <w:tab w:val="left" w:pos="1080"/>
        </w:tabs>
        <w:snapToGrid w:val="0"/>
        <w:spacing w:line="360" w:lineRule="auto"/>
        <w:ind w:left="1080"/>
        <w:rPr>
          <w:rFonts w:ascii="宋体" w:hAnsi="宋体" w:cs="宋体"/>
          <w:color w:val="auto"/>
          <w:sz w:val="24"/>
          <w:highlight w:val="none"/>
        </w:rPr>
      </w:pPr>
    </w:p>
    <w:p w14:paraId="79530FDE">
      <w:pPr>
        <w:pStyle w:val="3"/>
        <w:spacing w:before="0" w:line="360" w:lineRule="auto"/>
        <w:rPr>
          <w:rFonts w:ascii="宋体" w:hAnsi="宋体" w:eastAsia="宋体" w:cs="宋体"/>
          <w:color w:val="auto"/>
          <w:sz w:val="28"/>
          <w:highlight w:val="none"/>
        </w:rPr>
      </w:pPr>
      <w:bookmarkStart w:id="606" w:name="_Toc150774645"/>
      <w:bookmarkStart w:id="607" w:name="_Toc150480783"/>
      <w:bookmarkStart w:id="608" w:name="_Toc226965818"/>
      <w:bookmarkStart w:id="609" w:name="_Toc151193787"/>
      <w:bookmarkStart w:id="610" w:name="_Toc305158813"/>
      <w:bookmarkStart w:id="611" w:name="_Toc151190172"/>
      <w:bookmarkStart w:id="612" w:name="_Toc264969235"/>
      <w:bookmarkStart w:id="613" w:name="_Toc265228383"/>
      <w:bookmarkStart w:id="614" w:name="_Toc142311047"/>
      <w:bookmarkStart w:id="615" w:name="_Toc195842910"/>
      <w:bookmarkStart w:id="616" w:name="_Toc226337241"/>
      <w:bookmarkStart w:id="617" w:name="_Toc151193643"/>
      <w:bookmarkStart w:id="618" w:name="_Toc150774750"/>
      <w:bookmarkStart w:id="619" w:name="_Toc305158887"/>
      <w:bookmarkStart w:id="620" w:name="_Toc226309789"/>
      <w:bookmarkStart w:id="621" w:name="_Toc226965735"/>
      <w:bookmarkStart w:id="622" w:name="_Toc151193933"/>
      <w:bookmarkStart w:id="623" w:name="_Toc151193859"/>
      <w:bookmarkStart w:id="624" w:name="_Toc151193715"/>
      <w:bookmarkStart w:id="625" w:name="_Toc127151545"/>
      <w:bookmarkStart w:id="626" w:name="_Toc150509296"/>
      <w:r>
        <w:rPr>
          <w:rFonts w:hint="eastAsia" w:ascii="宋体" w:hAnsi="宋体" w:eastAsia="宋体" w:cs="宋体"/>
          <w:color w:val="auto"/>
          <w:sz w:val="28"/>
          <w:highlight w:val="none"/>
        </w:rPr>
        <w:t xml:space="preserve">六   </w:t>
      </w:r>
      <w:bookmarkEnd w:id="605"/>
      <w:r>
        <w:rPr>
          <w:rFonts w:hint="eastAsia" w:ascii="宋体" w:hAnsi="宋体" w:eastAsia="宋体" w:cs="宋体"/>
          <w:color w:val="auto"/>
          <w:sz w:val="28"/>
          <w:highlight w:val="none"/>
        </w:rPr>
        <w:t>确定中标</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Start w:id="627" w:name="_Toc264969237"/>
      <w:bookmarkStart w:id="628" w:name="_Toc151193789"/>
      <w:bookmarkStart w:id="629" w:name="_Toc226965737"/>
      <w:bookmarkStart w:id="630" w:name="_Toc150774752"/>
      <w:bookmarkStart w:id="631" w:name="_Toc142311049"/>
      <w:bookmarkStart w:id="632" w:name="_Toc151193717"/>
      <w:bookmarkStart w:id="633" w:name="_Toc127161461"/>
      <w:bookmarkStart w:id="634" w:name="_Toc164351641"/>
      <w:bookmarkStart w:id="635" w:name="_Toc151193861"/>
      <w:bookmarkStart w:id="636" w:name="_Toc305158815"/>
      <w:bookmarkStart w:id="637" w:name="_Toc164608816"/>
      <w:bookmarkStart w:id="638" w:name="_Toc127151748"/>
      <w:bookmarkStart w:id="639" w:name="_Toc164229242"/>
      <w:bookmarkStart w:id="640" w:name="_Toc226337243"/>
      <w:bookmarkStart w:id="641" w:name="_Toc305158889"/>
      <w:bookmarkStart w:id="642" w:name="_Toc265228385"/>
      <w:bookmarkStart w:id="643" w:name="_Toc226309791"/>
      <w:bookmarkStart w:id="644" w:name="_Toc150774647"/>
      <w:bookmarkStart w:id="645" w:name="_Toc149720840"/>
      <w:bookmarkStart w:id="646" w:name="_Toc226965820"/>
      <w:bookmarkStart w:id="647" w:name="_Toc164229388"/>
      <w:bookmarkStart w:id="648" w:name="_Toc151190174"/>
      <w:bookmarkStart w:id="649" w:name="_Toc164608661"/>
      <w:bookmarkStart w:id="650" w:name="_Toc195842912"/>
      <w:bookmarkStart w:id="651" w:name="_Toc151193935"/>
      <w:bookmarkStart w:id="652" w:name="_Toc151193645"/>
      <w:bookmarkStart w:id="653" w:name="_Toc150480785"/>
      <w:bookmarkStart w:id="654" w:name="_Toc127151547"/>
      <w:bookmarkStart w:id="655" w:name="_Toc150509298"/>
    </w:p>
    <w:p w14:paraId="41A3CF55">
      <w:pPr>
        <w:tabs>
          <w:tab w:val="left" w:pos="360"/>
        </w:tabs>
        <w:snapToGrid w:val="0"/>
        <w:spacing w:line="360" w:lineRule="auto"/>
        <w:outlineLvl w:val="1"/>
        <w:rPr>
          <w:rFonts w:ascii="宋体" w:hAnsi="宋体" w:cs="宋体"/>
          <w:color w:val="auto"/>
          <w:sz w:val="24"/>
          <w:highlight w:val="none"/>
        </w:rPr>
      </w:pPr>
      <w:r>
        <w:rPr>
          <w:rFonts w:hint="eastAsia" w:ascii="宋体" w:hAnsi="宋体" w:cs="宋体"/>
          <w:color w:val="auto"/>
          <w:sz w:val="24"/>
          <w:highlight w:val="none"/>
        </w:rPr>
        <w:t>22确定中标人</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71970FD5">
      <w:pPr>
        <w:tabs>
          <w:tab w:val="left" w:pos="284"/>
          <w:tab w:val="left" w:pos="426"/>
          <w:tab w:val="left" w:pos="1589"/>
          <w:tab w:val="left" w:pos="2014"/>
        </w:tabs>
        <w:snapToGrid w:val="0"/>
        <w:spacing w:line="360" w:lineRule="auto"/>
        <w:ind w:left="706" w:leftChars="100" w:hanging="496" w:hangingChars="207"/>
        <w:rPr>
          <w:rFonts w:ascii="宋体" w:hAnsi="宋体" w:cs="宋体"/>
          <w:color w:val="auto"/>
          <w:sz w:val="24"/>
          <w:highlight w:val="none"/>
        </w:rPr>
      </w:pPr>
      <w:r>
        <w:rPr>
          <w:rFonts w:hint="eastAsia" w:ascii="宋体" w:hAnsi="宋体" w:cs="宋体"/>
          <w:color w:val="auto"/>
          <w:sz w:val="24"/>
          <w:highlight w:val="none"/>
        </w:rPr>
        <w:t>22.1 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37158170">
      <w:pPr>
        <w:tabs>
          <w:tab w:val="left" w:pos="360"/>
        </w:tabs>
        <w:snapToGrid w:val="0"/>
        <w:spacing w:line="360" w:lineRule="auto"/>
        <w:outlineLvl w:val="1"/>
        <w:rPr>
          <w:rFonts w:ascii="宋体" w:hAnsi="宋体" w:cs="宋体"/>
          <w:color w:val="auto"/>
          <w:sz w:val="24"/>
          <w:highlight w:val="none"/>
        </w:rPr>
      </w:pPr>
      <w:bookmarkStart w:id="656" w:name="_Toc305158817"/>
      <w:bookmarkStart w:id="657" w:name="_Toc305158891"/>
      <w:bookmarkStart w:id="658" w:name="_Toc226337245"/>
      <w:bookmarkStart w:id="659" w:name="_Toc151190176"/>
      <w:bookmarkStart w:id="660" w:name="_Toc151193791"/>
      <w:bookmarkStart w:id="661" w:name="_Toc151193863"/>
      <w:bookmarkStart w:id="662" w:name="_Toc226309793"/>
      <w:bookmarkStart w:id="663" w:name="_Toc151193937"/>
      <w:bookmarkStart w:id="664" w:name="_Toc150509300"/>
      <w:bookmarkStart w:id="665" w:name="_Toc264969239"/>
      <w:bookmarkStart w:id="666" w:name="_Toc226965822"/>
      <w:bookmarkStart w:id="667" w:name="_Toc151193719"/>
      <w:bookmarkStart w:id="668" w:name="_Toc164229244"/>
      <w:bookmarkStart w:id="669" w:name="_Toc164608818"/>
      <w:bookmarkStart w:id="670" w:name="_Toc142311051"/>
      <w:bookmarkStart w:id="671" w:name="_Toc226965739"/>
      <w:bookmarkStart w:id="672" w:name="_Toc127151750"/>
      <w:bookmarkStart w:id="673" w:name="_Toc265228387"/>
      <w:bookmarkStart w:id="674" w:name="_Toc149720842"/>
      <w:bookmarkStart w:id="675" w:name="_Toc127151549"/>
      <w:bookmarkStart w:id="676" w:name="_Toc150480787"/>
      <w:bookmarkStart w:id="677" w:name="_Toc195842914"/>
      <w:bookmarkStart w:id="678" w:name="_Toc164229390"/>
      <w:bookmarkStart w:id="679" w:name="_Toc150774754"/>
      <w:bookmarkStart w:id="680" w:name="_Toc164351643"/>
      <w:bookmarkStart w:id="681" w:name="_Toc151193647"/>
      <w:bookmarkStart w:id="682" w:name="_Toc127161463"/>
      <w:bookmarkStart w:id="683" w:name="_Toc150774649"/>
      <w:bookmarkStart w:id="684" w:name="_Toc164608663"/>
      <w:bookmarkStart w:id="685" w:name="_Ref467307090"/>
      <w:bookmarkStart w:id="686" w:name="_Ref467306425"/>
      <w:bookmarkStart w:id="687" w:name="_Toc520356176"/>
      <w:r>
        <w:rPr>
          <w:rFonts w:hint="eastAsia" w:ascii="宋体" w:hAnsi="宋体" w:cs="宋体"/>
          <w:color w:val="auto"/>
          <w:sz w:val="24"/>
          <w:highlight w:val="none"/>
        </w:rPr>
        <w:t>23中标公告与中标通知书</w:t>
      </w:r>
      <w:bookmarkEnd w:id="656"/>
      <w:bookmarkEnd w:id="657"/>
    </w:p>
    <w:p w14:paraId="602F846D">
      <w:pPr>
        <w:tabs>
          <w:tab w:val="left" w:pos="1080"/>
          <w:tab w:val="left" w:pos="1589"/>
          <w:tab w:val="left" w:pos="2014"/>
        </w:tabs>
        <w:snapToGrid w:val="0"/>
        <w:spacing w:line="360" w:lineRule="auto"/>
        <w:ind w:left="930" w:leftChars="100" w:hanging="720" w:hangingChars="300"/>
        <w:rPr>
          <w:rFonts w:ascii="宋体" w:hAnsi="宋体" w:cs="宋体"/>
          <w:color w:val="auto"/>
          <w:sz w:val="24"/>
          <w:highlight w:val="none"/>
        </w:rPr>
      </w:pPr>
      <w:r>
        <w:rPr>
          <w:rFonts w:hint="eastAsia" w:ascii="宋体" w:hAnsi="宋体" w:cs="宋体"/>
          <w:color w:val="auto"/>
          <w:sz w:val="24"/>
          <w:highlight w:val="none"/>
        </w:rPr>
        <w:t>23.1  采购人或采购代理机构自中标人确定之日起2个工作日内，</w:t>
      </w:r>
      <w:r>
        <w:rPr>
          <w:rFonts w:hint="eastAsia" w:ascii="宋体" w:hAnsi="宋体" w:cs="宋体"/>
          <w:color w:val="auto"/>
          <w:kern w:val="0"/>
          <w:sz w:val="24"/>
          <w:highlight w:val="none"/>
        </w:rPr>
        <w:t>在北京市政府采购网公告中标结果</w:t>
      </w:r>
      <w:r>
        <w:rPr>
          <w:rFonts w:hint="eastAsia" w:ascii="宋体" w:hAnsi="宋体" w:cs="宋体"/>
          <w:color w:val="auto"/>
          <w:sz w:val="24"/>
          <w:highlight w:val="none"/>
        </w:rPr>
        <w:t>，同时向中标人发出中标通知书，中标公告期限为1个工作日。</w:t>
      </w:r>
    </w:p>
    <w:p w14:paraId="7C8A8523">
      <w:pPr>
        <w:tabs>
          <w:tab w:val="left" w:pos="1080"/>
          <w:tab w:val="left" w:pos="1589"/>
          <w:tab w:val="left" w:pos="2014"/>
        </w:tabs>
        <w:snapToGrid w:val="0"/>
        <w:spacing w:line="360" w:lineRule="auto"/>
        <w:ind w:left="930" w:leftChars="100" w:hanging="720" w:hangingChars="300"/>
        <w:rPr>
          <w:rFonts w:ascii="宋体" w:hAnsi="宋体" w:cs="宋体"/>
          <w:color w:val="auto"/>
          <w:sz w:val="24"/>
          <w:highlight w:val="none"/>
        </w:rPr>
      </w:pPr>
      <w:r>
        <w:rPr>
          <w:rFonts w:hint="eastAsia" w:ascii="宋体" w:hAnsi="宋体" w:cs="宋体"/>
          <w:color w:val="auto"/>
          <w:sz w:val="24"/>
          <w:highlight w:val="none"/>
        </w:rPr>
        <w:t>23.2  中标通知书对采购人和中标供应商均具有法律效力。中标通知书发出后，采购人改变中标结果的，或者中标供应商放弃中标项目的，应当依法承担法律责任。</w:t>
      </w:r>
    </w:p>
    <w:p w14:paraId="4B917796">
      <w:pPr>
        <w:tabs>
          <w:tab w:val="left" w:pos="360"/>
        </w:tabs>
        <w:snapToGrid w:val="0"/>
        <w:spacing w:line="360" w:lineRule="auto"/>
        <w:outlineLvl w:val="1"/>
        <w:rPr>
          <w:rFonts w:ascii="宋体" w:hAnsi="宋体" w:cs="宋体"/>
          <w:color w:val="auto"/>
          <w:sz w:val="24"/>
          <w:highlight w:val="none"/>
        </w:rPr>
      </w:pPr>
      <w:r>
        <w:rPr>
          <w:rFonts w:hint="eastAsia" w:ascii="宋体" w:hAnsi="宋体" w:cs="宋体"/>
          <w:color w:val="auto"/>
          <w:sz w:val="24"/>
          <w:highlight w:val="none"/>
        </w:rPr>
        <w:t>24废标</w:t>
      </w:r>
    </w:p>
    <w:p w14:paraId="578DF320">
      <w:pPr>
        <w:tabs>
          <w:tab w:val="left" w:pos="1080"/>
          <w:tab w:val="left" w:pos="1589"/>
          <w:tab w:val="left" w:pos="2014"/>
        </w:tabs>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24.1   在招标采购中，出现下列情形之一的，应予废标：</w:t>
      </w:r>
    </w:p>
    <w:p w14:paraId="7C05BA0E">
      <w:pPr>
        <w:tabs>
          <w:tab w:val="left" w:pos="1980"/>
        </w:tabs>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24.1.1符合专业条件的供应商或者对招标文件作实质响应的供应商不足三家的；</w:t>
      </w:r>
    </w:p>
    <w:p w14:paraId="4720A93F">
      <w:pPr>
        <w:tabs>
          <w:tab w:val="left" w:pos="1980"/>
        </w:tabs>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24.1.2出现影响采购公正的违法、违规行为的；</w:t>
      </w:r>
    </w:p>
    <w:p w14:paraId="328EFAF6">
      <w:pPr>
        <w:tabs>
          <w:tab w:val="left" w:pos="1980"/>
        </w:tabs>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24.1.3投标人的报价均超过了采购预算，采购人不能支付的；</w:t>
      </w:r>
    </w:p>
    <w:p w14:paraId="5526E373">
      <w:pPr>
        <w:tabs>
          <w:tab w:val="left" w:pos="1980"/>
        </w:tabs>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24.1.4因重大变故，采购任务取消的。</w:t>
      </w:r>
    </w:p>
    <w:p w14:paraId="2FE11422">
      <w:pPr>
        <w:tabs>
          <w:tab w:val="left" w:pos="1080"/>
          <w:tab w:val="left" w:pos="1589"/>
          <w:tab w:val="left" w:pos="2014"/>
        </w:tabs>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24.2   废标后，采购人将废标理由通知所有投标人。</w:t>
      </w:r>
    </w:p>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14:paraId="0A766D85">
      <w:pPr>
        <w:tabs>
          <w:tab w:val="left" w:pos="360"/>
        </w:tabs>
        <w:snapToGrid w:val="0"/>
        <w:spacing w:line="360" w:lineRule="auto"/>
        <w:outlineLvl w:val="1"/>
        <w:rPr>
          <w:rFonts w:ascii="宋体" w:hAnsi="宋体" w:cs="宋体"/>
          <w:color w:val="auto"/>
          <w:sz w:val="24"/>
          <w:highlight w:val="none"/>
        </w:rPr>
      </w:pPr>
      <w:bookmarkStart w:id="688" w:name="_Toc127151751"/>
      <w:bookmarkStart w:id="689" w:name="_Toc265228388"/>
      <w:bookmarkStart w:id="690" w:name="_Toc226309794"/>
      <w:bookmarkStart w:id="691" w:name="_Toc264969240"/>
      <w:bookmarkStart w:id="692" w:name="_Toc195842915"/>
      <w:bookmarkStart w:id="693" w:name="_Toc226965823"/>
      <w:bookmarkStart w:id="694" w:name="_Ref467306978"/>
      <w:bookmarkStart w:id="695" w:name="_Toc150509301"/>
      <w:bookmarkStart w:id="696" w:name="_Toc150774650"/>
      <w:bookmarkStart w:id="697" w:name="_Toc164229391"/>
      <w:bookmarkStart w:id="698" w:name="_Ref467307062"/>
      <w:bookmarkStart w:id="699" w:name="_Toc151193864"/>
      <w:bookmarkStart w:id="700" w:name="_Toc305158892"/>
      <w:bookmarkStart w:id="701" w:name="_Toc164351644"/>
      <w:bookmarkStart w:id="702" w:name="_Toc164608819"/>
      <w:bookmarkStart w:id="703" w:name="_Toc127161464"/>
      <w:bookmarkStart w:id="704" w:name="_Toc142311052"/>
      <w:bookmarkStart w:id="705" w:name="_Ref467306377"/>
      <w:bookmarkStart w:id="706" w:name="_Ref467307204"/>
      <w:bookmarkStart w:id="707" w:name="_Toc150774755"/>
      <w:bookmarkStart w:id="708" w:name="_Toc151193648"/>
      <w:bookmarkStart w:id="709" w:name="_Toc226337246"/>
      <w:bookmarkStart w:id="710" w:name="_Toc151193720"/>
      <w:bookmarkStart w:id="711" w:name="_Toc305158818"/>
      <w:bookmarkStart w:id="712" w:name="_Toc151190177"/>
      <w:bookmarkStart w:id="713" w:name="_Toc164608664"/>
      <w:bookmarkStart w:id="714" w:name="_Toc150480788"/>
      <w:bookmarkStart w:id="715" w:name="_Toc520356175"/>
      <w:bookmarkStart w:id="716" w:name="_Toc226965740"/>
      <w:bookmarkStart w:id="717" w:name="_Toc127151550"/>
      <w:bookmarkStart w:id="718" w:name="_Toc149720843"/>
      <w:bookmarkStart w:id="719" w:name="_Toc151193792"/>
      <w:bookmarkStart w:id="720" w:name="_Toc151193938"/>
      <w:bookmarkStart w:id="721" w:name="_Toc164229245"/>
      <w:r>
        <w:rPr>
          <w:rFonts w:hint="eastAsia" w:ascii="宋体" w:hAnsi="宋体" w:cs="宋体"/>
          <w:color w:val="auto"/>
          <w:sz w:val="24"/>
          <w:highlight w:val="none"/>
        </w:rPr>
        <w:t>25签订合同</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230C6E42">
      <w:pPr>
        <w:tabs>
          <w:tab w:val="left" w:pos="993"/>
          <w:tab w:val="left" w:pos="1589"/>
          <w:tab w:val="left" w:pos="2014"/>
        </w:tabs>
        <w:snapToGrid w:val="0"/>
        <w:spacing w:line="360" w:lineRule="auto"/>
        <w:ind w:left="991" w:leftChars="200" w:hanging="571" w:hangingChars="238"/>
        <w:rPr>
          <w:rFonts w:ascii="宋体" w:hAnsi="宋体" w:cs="宋体"/>
          <w:color w:val="auto"/>
          <w:sz w:val="24"/>
          <w:highlight w:val="none"/>
        </w:rPr>
      </w:pPr>
      <w:r>
        <w:rPr>
          <w:rFonts w:hint="eastAsia" w:ascii="宋体" w:hAnsi="宋体" w:cs="宋体"/>
          <w:color w:val="auto"/>
          <w:sz w:val="24"/>
          <w:highlight w:val="none"/>
        </w:rPr>
        <w:t>25.1 中标人、采购人应当自中标通知书发出之日起30日内，按照招标文件和中标人投标文件的规定签订书面合同。所签订的合同不得对招标文件确定的事项和中标人投标文件作实质性修改。</w:t>
      </w:r>
    </w:p>
    <w:p w14:paraId="0694AD8C">
      <w:pPr>
        <w:tabs>
          <w:tab w:val="left" w:pos="1080"/>
          <w:tab w:val="left" w:pos="1589"/>
          <w:tab w:val="left" w:pos="2014"/>
        </w:tabs>
        <w:snapToGrid w:val="0"/>
        <w:spacing w:line="360" w:lineRule="auto"/>
        <w:ind w:left="991" w:leftChars="200" w:hanging="571" w:hangingChars="238"/>
        <w:rPr>
          <w:rFonts w:ascii="宋体" w:hAnsi="宋体" w:cs="宋体"/>
          <w:color w:val="auto"/>
          <w:sz w:val="24"/>
          <w:highlight w:val="none"/>
        </w:rPr>
      </w:pPr>
      <w:r>
        <w:rPr>
          <w:rFonts w:hint="eastAsia" w:ascii="宋体" w:hAnsi="宋体" w:cs="宋体"/>
          <w:color w:val="auto"/>
          <w:sz w:val="24"/>
          <w:highlight w:val="none"/>
        </w:rPr>
        <w:t>25.2 中标人拒绝与采购人签订合同的，采购人可以按照评标报告推荐的中标候选人名单排序，确定下一候选人为中标人，也可以重新开展政府采购活动。</w:t>
      </w:r>
    </w:p>
    <w:p w14:paraId="35631268">
      <w:pPr>
        <w:tabs>
          <w:tab w:val="left" w:pos="1589"/>
          <w:tab w:val="left" w:pos="2014"/>
        </w:tabs>
        <w:snapToGrid w:val="0"/>
        <w:spacing w:line="360" w:lineRule="auto"/>
        <w:ind w:left="991" w:leftChars="200" w:hanging="571" w:hangingChars="238"/>
        <w:rPr>
          <w:rFonts w:ascii="宋体" w:hAnsi="宋体" w:cs="宋体"/>
          <w:color w:val="auto"/>
          <w:sz w:val="24"/>
          <w:highlight w:val="none"/>
        </w:rPr>
      </w:pPr>
      <w:r>
        <w:rPr>
          <w:rFonts w:hint="eastAsia" w:ascii="宋体" w:hAnsi="宋体" w:cs="宋体"/>
          <w:color w:val="auto"/>
          <w:sz w:val="24"/>
          <w:highlight w:val="none"/>
        </w:rPr>
        <w:t>25.3 联合体中标的，联合体各方应当共同与采购人签订合同，就采购合同约定的事项向采购人承担连带责任。</w:t>
      </w:r>
    </w:p>
    <w:p w14:paraId="76F784C5">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25.4 政府采购合同不能转包。</w:t>
      </w:r>
    </w:p>
    <w:p w14:paraId="02E97D40">
      <w:pPr>
        <w:tabs>
          <w:tab w:val="left" w:pos="1080"/>
          <w:tab w:val="left" w:pos="1589"/>
          <w:tab w:val="left" w:pos="2014"/>
        </w:tabs>
        <w:snapToGrid w:val="0"/>
        <w:spacing w:line="360" w:lineRule="auto"/>
        <w:ind w:left="900" w:leftChars="200" w:hanging="480" w:hangingChars="200"/>
        <w:rPr>
          <w:rFonts w:ascii="宋体" w:hAnsi="宋体" w:cs="宋体"/>
          <w:color w:val="auto"/>
          <w:sz w:val="24"/>
          <w:highlight w:val="none"/>
        </w:rPr>
      </w:pPr>
      <w:r>
        <w:rPr>
          <w:rFonts w:hint="eastAsia" w:ascii="宋体" w:hAnsi="宋体" w:cs="宋体"/>
          <w:color w:val="auto"/>
          <w:sz w:val="24"/>
          <w:highlight w:val="none"/>
        </w:rPr>
        <w:t>25.5 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hint="eastAsia" w:ascii="宋体" w:hAnsi="宋体" w:cs="宋体"/>
          <w:b/>
          <w:color w:val="auto"/>
          <w:sz w:val="24"/>
          <w:highlight w:val="none"/>
        </w:rPr>
        <w:t>投标无效</w:t>
      </w:r>
      <w:r>
        <w:rPr>
          <w:rFonts w:hint="eastAsia" w:ascii="宋体" w:hAnsi="宋体" w:cs="宋体"/>
          <w:color w:val="auto"/>
          <w:sz w:val="24"/>
          <w:highlight w:val="none"/>
        </w:rPr>
        <w:t>。中标人就采购项目和分包项目向采购人负责，分包供应商就分包项目承担责任。</w:t>
      </w:r>
    </w:p>
    <w:bookmarkEnd w:id="685"/>
    <w:bookmarkEnd w:id="686"/>
    <w:bookmarkEnd w:id="687"/>
    <w:p w14:paraId="125F0801">
      <w:pPr>
        <w:tabs>
          <w:tab w:val="left" w:pos="360"/>
        </w:tabs>
        <w:snapToGrid w:val="0"/>
        <w:spacing w:line="360" w:lineRule="auto"/>
        <w:outlineLvl w:val="1"/>
        <w:rPr>
          <w:rFonts w:ascii="宋体" w:hAnsi="宋体" w:cs="宋体"/>
          <w:color w:val="auto"/>
          <w:sz w:val="24"/>
          <w:highlight w:val="none"/>
        </w:rPr>
      </w:pPr>
      <w:r>
        <w:rPr>
          <w:rFonts w:hint="eastAsia" w:ascii="宋体" w:hAnsi="宋体" w:cs="宋体"/>
          <w:color w:val="auto"/>
          <w:sz w:val="24"/>
          <w:highlight w:val="none"/>
        </w:rPr>
        <w:t>26询问与质疑</w:t>
      </w:r>
    </w:p>
    <w:p w14:paraId="0C708012">
      <w:pPr>
        <w:tabs>
          <w:tab w:val="left" w:pos="1080"/>
          <w:tab w:val="left" w:pos="1589"/>
          <w:tab w:val="left" w:pos="2014"/>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26.1询问</w:t>
      </w:r>
    </w:p>
    <w:p w14:paraId="34637DA5">
      <w:pPr>
        <w:tabs>
          <w:tab w:val="left" w:pos="1980"/>
        </w:tabs>
        <w:snapToGrid w:val="0"/>
        <w:spacing w:line="360" w:lineRule="auto"/>
        <w:ind w:left="1770" w:leftChars="500" w:hanging="720" w:hangingChars="300"/>
        <w:rPr>
          <w:rFonts w:ascii="宋体" w:hAnsi="宋体" w:cs="宋体"/>
          <w:color w:val="auto"/>
          <w:sz w:val="24"/>
          <w:highlight w:val="none"/>
        </w:rPr>
      </w:pPr>
      <w:r>
        <w:rPr>
          <w:rFonts w:hint="eastAsia" w:ascii="宋体" w:hAnsi="宋体" w:cs="宋体"/>
          <w:color w:val="auto"/>
          <w:sz w:val="24"/>
          <w:highlight w:val="none"/>
        </w:rPr>
        <w:t>26.1.1 投标人对政府采购活动事项有疑问的，可依法提出询问，并按《投标人须知资料表》载明的形式送达采购人或采购代理机构。</w:t>
      </w:r>
    </w:p>
    <w:p w14:paraId="75913B26">
      <w:pPr>
        <w:tabs>
          <w:tab w:val="left" w:pos="1980"/>
        </w:tabs>
        <w:snapToGrid w:val="0"/>
        <w:spacing w:line="360" w:lineRule="auto"/>
        <w:ind w:left="1770" w:leftChars="500" w:hanging="720" w:hangingChars="300"/>
        <w:rPr>
          <w:rFonts w:ascii="宋体" w:hAnsi="宋体" w:cs="宋体"/>
          <w:color w:val="auto"/>
          <w:sz w:val="24"/>
          <w:highlight w:val="none"/>
        </w:rPr>
      </w:pPr>
      <w:r>
        <w:rPr>
          <w:rFonts w:hint="eastAsia" w:ascii="宋体" w:hAnsi="宋体" w:cs="宋体"/>
          <w:color w:val="auto"/>
          <w:sz w:val="24"/>
          <w:highlight w:val="none"/>
        </w:rPr>
        <w:t>26.1.2 采购人或采购代理机构对供应商依法提出的询问，在3个工作日内作出答复，但答复的内容不得涉及商业秘密。</w:t>
      </w:r>
    </w:p>
    <w:p w14:paraId="39F3C8F3">
      <w:pPr>
        <w:tabs>
          <w:tab w:val="left" w:pos="1080"/>
          <w:tab w:val="left" w:pos="1589"/>
          <w:tab w:val="left" w:pos="2014"/>
        </w:tabs>
        <w:snapToGrid w:val="0"/>
        <w:spacing w:line="360" w:lineRule="auto"/>
        <w:ind w:left="568"/>
        <w:rPr>
          <w:rFonts w:ascii="宋体" w:hAnsi="宋体" w:cs="宋体"/>
          <w:color w:val="auto"/>
          <w:sz w:val="24"/>
          <w:highlight w:val="none"/>
        </w:rPr>
      </w:pPr>
      <w:r>
        <w:rPr>
          <w:rFonts w:hint="eastAsia" w:ascii="宋体" w:hAnsi="宋体" w:cs="宋体"/>
          <w:color w:val="auto"/>
          <w:sz w:val="24"/>
          <w:highlight w:val="none"/>
        </w:rPr>
        <w:t>26.2质疑</w:t>
      </w:r>
    </w:p>
    <w:p w14:paraId="07B756DA">
      <w:pPr>
        <w:tabs>
          <w:tab w:val="left" w:pos="1980"/>
        </w:tabs>
        <w:snapToGrid w:val="0"/>
        <w:spacing w:line="360" w:lineRule="auto"/>
        <w:ind w:left="1770" w:leftChars="500" w:hanging="720" w:hangingChars="300"/>
        <w:rPr>
          <w:rFonts w:ascii="宋体" w:hAnsi="宋体" w:cs="宋体"/>
          <w:color w:val="auto"/>
          <w:sz w:val="24"/>
          <w:highlight w:val="none"/>
        </w:rPr>
      </w:pPr>
      <w:r>
        <w:rPr>
          <w:rFonts w:hint="eastAsia" w:ascii="宋体" w:hAnsi="宋体" w:cs="宋体"/>
          <w:color w:val="auto"/>
          <w:sz w:val="24"/>
          <w:highlight w:val="none"/>
        </w:rPr>
        <w:t>26.2.1 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231FE4C9">
      <w:pPr>
        <w:tabs>
          <w:tab w:val="left" w:pos="1980"/>
        </w:tabs>
        <w:snapToGrid w:val="0"/>
        <w:spacing w:line="360" w:lineRule="auto"/>
        <w:ind w:left="1770" w:leftChars="500" w:hanging="720" w:hangingChars="300"/>
        <w:rPr>
          <w:rFonts w:ascii="宋体" w:hAnsi="宋体" w:cs="宋体"/>
          <w:color w:val="auto"/>
          <w:sz w:val="24"/>
          <w:highlight w:val="none"/>
        </w:rPr>
      </w:pPr>
      <w:r>
        <w:rPr>
          <w:rFonts w:hint="eastAsia" w:ascii="宋体" w:hAnsi="宋体" w:cs="宋体"/>
          <w:color w:val="auto"/>
          <w:sz w:val="24"/>
          <w:highlight w:val="none"/>
        </w:rPr>
        <w:t>26.2.2 质疑函须使用财政部制定的范本文件。投标人为自然人的， 质疑函应 当由本人签字； 投标人为法人或者其他组织的， 质疑函应当由法定代表人、主要负责人，或者其授权代表签字或者盖章，并加盖公章。</w:t>
      </w:r>
    </w:p>
    <w:p w14:paraId="52F8BAEF">
      <w:pPr>
        <w:tabs>
          <w:tab w:val="left" w:pos="1980"/>
        </w:tabs>
        <w:snapToGrid w:val="0"/>
        <w:spacing w:line="360" w:lineRule="auto"/>
        <w:ind w:left="1843" w:leftChars="472" w:hanging="852" w:hangingChars="355"/>
        <w:rPr>
          <w:rFonts w:ascii="宋体" w:hAnsi="宋体" w:cs="宋体"/>
          <w:color w:val="auto"/>
          <w:sz w:val="24"/>
          <w:highlight w:val="none"/>
        </w:rPr>
      </w:pPr>
      <w:r>
        <w:rPr>
          <w:rFonts w:hint="eastAsia" w:ascii="宋体" w:hAnsi="宋体" w:cs="宋体"/>
          <w:color w:val="auto"/>
          <w:sz w:val="24"/>
          <w:highlight w:val="none"/>
        </w:rPr>
        <w:t>26.2.3  投标人委托代理人进行质疑的，应当随质疑函同时提交投标人签署的授权委托书。授权委托书应当载明代理人的姓名或者名称、代理事项、 具体权限、期限和相关事项。投标人为自然人的，应当由本人签字； 投标人为法人或者其他组织的， 应当由法定代表人、主要负责人签字</w:t>
      </w:r>
    </w:p>
    <w:p w14:paraId="793B9881">
      <w:pPr>
        <w:tabs>
          <w:tab w:val="left" w:pos="1980"/>
        </w:tabs>
        <w:snapToGrid w:val="0"/>
        <w:spacing w:line="360" w:lineRule="auto"/>
        <w:ind w:left="1621" w:leftChars="772" w:firstLine="240" w:firstLineChars="100"/>
        <w:rPr>
          <w:rFonts w:ascii="宋体" w:hAnsi="宋体" w:cs="宋体"/>
          <w:color w:val="auto"/>
          <w:sz w:val="24"/>
          <w:highlight w:val="none"/>
        </w:rPr>
      </w:pPr>
      <w:r>
        <w:rPr>
          <w:rFonts w:hint="eastAsia" w:ascii="宋体" w:hAnsi="宋体" w:cs="宋体"/>
          <w:color w:val="auto"/>
          <w:sz w:val="24"/>
          <w:highlight w:val="none"/>
        </w:rPr>
        <w:t>或者盖章，并加盖公章。</w:t>
      </w:r>
    </w:p>
    <w:p w14:paraId="7AA2A1EB">
      <w:pPr>
        <w:snapToGrid w:val="0"/>
        <w:spacing w:line="360" w:lineRule="auto"/>
        <w:ind w:left="1810" w:leftChars="500" w:hanging="760" w:hangingChars="317"/>
        <w:rPr>
          <w:rFonts w:ascii="宋体" w:hAnsi="宋体" w:cs="宋体"/>
          <w:color w:val="auto"/>
          <w:sz w:val="24"/>
          <w:highlight w:val="none"/>
        </w:rPr>
      </w:pPr>
      <w:r>
        <w:rPr>
          <w:rFonts w:hint="eastAsia" w:ascii="宋体" w:hAnsi="宋体" w:cs="宋体"/>
          <w:color w:val="auto"/>
          <w:sz w:val="24"/>
          <w:highlight w:val="none"/>
        </w:rPr>
        <w:t>26.2.4  投标人应在法定质疑期内一次性提出针对同一采购程序环节的质疑，法定质疑期内针对同一采购程序环节再次提出的质疑，采购人、采购代理机构有权不予答复。</w:t>
      </w:r>
    </w:p>
    <w:p w14:paraId="6E4C10F2">
      <w:pPr>
        <w:tabs>
          <w:tab w:val="left" w:pos="1080"/>
          <w:tab w:val="left" w:pos="1589"/>
          <w:tab w:val="left" w:pos="2014"/>
        </w:tabs>
        <w:snapToGrid w:val="0"/>
        <w:spacing w:line="360" w:lineRule="auto"/>
        <w:ind w:left="568"/>
        <w:rPr>
          <w:rFonts w:ascii="宋体" w:hAnsi="宋体" w:cs="宋体"/>
          <w:color w:val="auto"/>
          <w:sz w:val="24"/>
          <w:highlight w:val="none"/>
        </w:rPr>
      </w:pPr>
      <w:r>
        <w:rPr>
          <w:rFonts w:hint="eastAsia" w:ascii="宋体" w:hAnsi="宋体" w:cs="宋体"/>
          <w:color w:val="auto"/>
          <w:sz w:val="24"/>
          <w:highlight w:val="none"/>
        </w:rPr>
        <w:t>26.3接收询问和质疑的联系部门、联系电话和通讯地址见《投标人须知资料表》。</w:t>
      </w:r>
    </w:p>
    <w:p w14:paraId="40CB392D">
      <w:pPr>
        <w:tabs>
          <w:tab w:val="left" w:pos="360"/>
        </w:tabs>
        <w:snapToGrid w:val="0"/>
        <w:spacing w:line="360" w:lineRule="auto"/>
        <w:outlineLvl w:val="1"/>
        <w:rPr>
          <w:rFonts w:ascii="宋体" w:hAnsi="宋体" w:cs="宋体"/>
          <w:color w:val="auto"/>
          <w:sz w:val="24"/>
          <w:highlight w:val="none"/>
        </w:rPr>
      </w:pPr>
      <w:r>
        <w:rPr>
          <w:rFonts w:hint="eastAsia" w:ascii="宋体" w:hAnsi="宋体" w:cs="宋体"/>
          <w:color w:val="auto"/>
          <w:sz w:val="24"/>
          <w:highlight w:val="none"/>
        </w:rPr>
        <w:t>27代理费</w:t>
      </w:r>
    </w:p>
    <w:p w14:paraId="45CB8CE5">
      <w:pPr>
        <w:tabs>
          <w:tab w:val="left" w:pos="1080"/>
          <w:tab w:val="left" w:pos="1589"/>
          <w:tab w:val="left" w:pos="2014"/>
        </w:tabs>
        <w:snapToGrid w:val="0"/>
        <w:spacing w:line="360" w:lineRule="auto"/>
        <w:ind w:firstLine="480" w:firstLineChars="200"/>
        <w:jc w:val="center"/>
        <w:rPr>
          <w:rFonts w:ascii="宋体" w:hAnsi="宋体" w:cs="宋体"/>
          <w:b/>
          <w:color w:val="auto"/>
          <w:sz w:val="36"/>
          <w:szCs w:val="36"/>
          <w:highlight w:val="none"/>
        </w:rPr>
      </w:pPr>
      <w:r>
        <w:rPr>
          <w:rFonts w:hint="eastAsia" w:ascii="宋体" w:hAnsi="宋体" w:cs="宋体"/>
          <w:color w:val="auto"/>
          <w:sz w:val="24"/>
          <w:highlight w:val="none"/>
        </w:rPr>
        <w:t>27.1收费对象、收费标准及缴纳时间见《投标人须知资料表》。由中标人支付的，中标人须一次性向采购代理机构缴纳代理费，投标报价应包含代理费用。</w:t>
      </w:r>
      <w:bookmarkStart w:id="722" w:name="_Toc353873664"/>
      <w:bookmarkStart w:id="723" w:name="_Toc150774759"/>
      <w:bookmarkStart w:id="724" w:name="_Toc264969244"/>
      <w:bookmarkStart w:id="725" w:name="_Toc142311056"/>
      <w:bookmarkStart w:id="726" w:name="_Toc353873934"/>
      <w:bookmarkStart w:id="727" w:name="_Toc353825544"/>
      <w:bookmarkStart w:id="728" w:name="_Toc265228392"/>
      <w:bookmarkStart w:id="729" w:name="_Toc127151554"/>
      <w:bookmarkStart w:id="730" w:name="_Toc226965827"/>
      <w:bookmarkStart w:id="731" w:name="_Toc305158822"/>
      <w:bookmarkStart w:id="732" w:name="_Toc226337250"/>
      <w:bookmarkStart w:id="733" w:name="_Toc150480792"/>
      <w:bookmarkStart w:id="734" w:name="_Toc305158896"/>
      <w:r>
        <w:rPr>
          <w:rFonts w:hint="eastAsia" w:ascii="宋体" w:hAnsi="宋体" w:cs="宋体"/>
          <w:color w:val="auto"/>
          <w:sz w:val="24"/>
          <w:highlight w:val="none"/>
        </w:rPr>
        <w:br w:type="page"/>
      </w:r>
      <w:bookmarkStart w:id="735" w:name="_Toc12817"/>
      <w:r>
        <w:rPr>
          <w:rFonts w:hint="eastAsia" w:ascii="宋体" w:hAnsi="宋体" w:cs="宋体"/>
          <w:b/>
          <w:color w:val="auto"/>
          <w:sz w:val="36"/>
          <w:szCs w:val="36"/>
          <w:highlight w:val="none"/>
        </w:rPr>
        <w:t xml:space="preserve">第三章   </w:t>
      </w:r>
      <w:bookmarkEnd w:id="722"/>
      <w:bookmarkEnd w:id="723"/>
      <w:bookmarkEnd w:id="724"/>
      <w:bookmarkEnd w:id="725"/>
      <w:bookmarkEnd w:id="726"/>
      <w:bookmarkEnd w:id="727"/>
      <w:bookmarkEnd w:id="728"/>
      <w:bookmarkEnd w:id="729"/>
      <w:bookmarkEnd w:id="730"/>
      <w:bookmarkEnd w:id="731"/>
      <w:bookmarkEnd w:id="732"/>
      <w:bookmarkEnd w:id="733"/>
      <w:bookmarkEnd w:id="734"/>
      <w:r>
        <w:rPr>
          <w:rFonts w:hint="eastAsia" w:ascii="宋体" w:hAnsi="宋体" w:cs="宋体"/>
          <w:b/>
          <w:color w:val="auto"/>
          <w:sz w:val="36"/>
          <w:szCs w:val="36"/>
          <w:highlight w:val="none"/>
        </w:rPr>
        <w:t>资格审查</w:t>
      </w:r>
      <w:bookmarkEnd w:id="735"/>
      <w:bookmarkStart w:id="736" w:name="_Toc487900382"/>
    </w:p>
    <w:p w14:paraId="7461913D">
      <w:pPr>
        <w:tabs>
          <w:tab w:val="left" w:pos="360"/>
          <w:tab w:val="left" w:pos="900"/>
        </w:tabs>
        <w:snapToGrid w:val="0"/>
        <w:spacing w:line="360" w:lineRule="auto"/>
        <w:jc w:val="center"/>
        <w:outlineLvl w:val="1"/>
        <w:rPr>
          <w:rFonts w:ascii="宋体" w:hAnsi="宋体" w:cs="宋体"/>
          <w:b/>
          <w:color w:val="auto"/>
          <w:sz w:val="24"/>
          <w:highlight w:val="none"/>
        </w:rPr>
      </w:pPr>
      <w:bookmarkStart w:id="737" w:name="_Toc99301422"/>
      <w:r>
        <w:rPr>
          <w:rFonts w:hint="eastAsia" w:ascii="宋体" w:hAnsi="宋体" w:cs="宋体"/>
          <w:b/>
          <w:color w:val="auto"/>
          <w:sz w:val="24"/>
          <w:highlight w:val="none"/>
        </w:rPr>
        <w:t>一、资格审查程序</w:t>
      </w:r>
      <w:bookmarkEnd w:id="737"/>
    </w:p>
    <w:p w14:paraId="57D50055">
      <w:pPr>
        <w:numPr>
          <w:ilvl w:val="0"/>
          <w:numId w:val="11"/>
        </w:numPr>
        <w:tabs>
          <w:tab w:val="left" w:pos="426"/>
          <w:tab w:val="left" w:pos="851"/>
          <w:tab w:val="clear" w:pos="900"/>
        </w:tabs>
        <w:snapToGrid w:val="0"/>
        <w:spacing w:line="360" w:lineRule="auto"/>
        <w:ind w:left="426" w:hanging="426"/>
        <w:outlineLvl w:val="1"/>
        <w:rPr>
          <w:rFonts w:ascii="宋体" w:hAnsi="宋体" w:cs="宋体"/>
          <w:color w:val="auto"/>
          <w:sz w:val="24"/>
          <w:highlight w:val="none"/>
        </w:rPr>
      </w:pPr>
      <w:r>
        <w:rPr>
          <w:rFonts w:hint="eastAsia" w:ascii="宋体" w:hAnsi="宋体" w:cs="宋体"/>
          <w:color w:val="auto"/>
          <w:sz w:val="24"/>
          <w:highlight w:val="none"/>
        </w:rPr>
        <w:t>开标结束后，采购人或采购代理机构将根据《资格审查要求》中的规定，对投标人进行资格审查，并形成资格审查结果。</w:t>
      </w:r>
    </w:p>
    <w:p w14:paraId="01F227C3">
      <w:pPr>
        <w:numPr>
          <w:ilvl w:val="0"/>
          <w:numId w:val="11"/>
        </w:numPr>
        <w:tabs>
          <w:tab w:val="left" w:pos="426"/>
          <w:tab w:val="left" w:pos="851"/>
          <w:tab w:val="clear" w:pos="900"/>
        </w:tabs>
        <w:snapToGrid w:val="0"/>
        <w:spacing w:line="360" w:lineRule="auto"/>
        <w:ind w:left="426" w:hanging="426"/>
        <w:outlineLvl w:val="1"/>
        <w:rPr>
          <w:rFonts w:ascii="宋体" w:hAnsi="宋体" w:cs="宋体"/>
          <w:color w:val="auto"/>
          <w:sz w:val="24"/>
          <w:highlight w:val="none"/>
        </w:rPr>
      </w:pPr>
      <w:r>
        <w:rPr>
          <w:rFonts w:hint="eastAsia" w:ascii="宋体" w:hAnsi="宋体" w:cs="宋体"/>
          <w:color w:val="auto"/>
          <w:sz w:val="24"/>
          <w:highlight w:val="none"/>
        </w:rPr>
        <w:t>《资格审查要求》中对格式有要求的，除招标文件另有规定外，均为“实质性格式”文件。</w:t>
      </w:r>
    </w:p>
    <w:p w14:paraId="37CFE7EA">
      <w:pPr>
        <w:numPr>
          <w:ilvl w:val="0"/>
          <w:numId w:val="11"/>
        </w:numPr>
        <w:tabs>
          <w:tab w:val="left" w:pos="426"/>
          <w:tab w:val="left" w:pos="851"/>
          <w:tab w:val="clear" w:pos="900"/>
        </w:tabs>
        <w:snapToGrid w:val="0"/>
        <w:spacing w:line="360" w:lineRule="auto"/>
        <w:ind w:left="426" w:hanging="426"/>
        <w:outlineLvl w:val="1"/>
        <w:rPr>
          <w:rFonts w:ascii="宋体" w:hAnsi="宋体" w:cs="宋体"/>
          <w:color w:val="auto"/>
          <w:sz w:val="24"/>
          <w:highlight w:val="none"/>
        </w:rPr>
      </w:pPr>
      <w:r>
        <w:rPr>
          <w:rFonts w:hint="eastAsia" w:ascii="宋体" w:hAnsi="宋体" w:cs="宋体"/>
          <w:color w:val="auto"/>
          <w:sz w:val="24"/>
          <w:highlight w:val="none"/>
        </w:rPr>
        <w:t>投标人《资格证明文件》有任何一项不符合《资格审查要求》的，资格审查不合格，其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17933D16">
      <w:pPr>
        <w:numPr>
          <w:ilvl w:val="0"/>
          <w:numId w:val="11"/>
        </w:numPr>
        <w:tabs>
          <w:tab w:val="left" w:pos="426"/>
          <w:tab w:val="left" w:pos="851"/>
          <w:tab w:val="clear" w:pos="900"/>
        </w:tabs>
        <w:snapToGrid w:val="0"/>
        <w:spacing w:line="360" w:lineRule="auto"/>
        <w:ind w:left="426" w:hanging="426"/>
        <w:outlineLvl w:val="1"/>
        <w:rPr>
          <w:rFonts w:ascii="宋体" w:hAnsi="宋体" w:cs="宋体"/>
          <w:color w:val="auto"/>
          <w:sz w:val="24"/>
          <w:highlight w:val="none"/>
        </w:rPr>
      </w:pPr>
      <w:r>
        <w:rPr>
          <w:rFonts w:hint="eastAsia" w:ascii="宋体" w:hAnsi="宋体" w:cs="宋体"/>
          <w:color w:val="auto"/>
          <w:sz w:val="24"/>
          <w:highlight w:val="none"/>
        </w:rPr>
        <w:t>资格审查合格的投标人不足3家的，不进行评标。</w:t>
      </w:r>
    </w:p>
    <w:p w14:paraId="677A0192">
      <w:pPr>
        <w:widowControl/>
        <w:jc w:val="left"/>
        <w:rPr>
          <w:rFonts w:ascii="宋体" w:hAnsi="宋体" w:cs="宋体"/>
          <w:color w:val="auto"/>
          <w:sz w:val="24"/>
          <w:highlight w:val="none"/>
        </w:rPr>
      </w:pPr>
    </w:p>
    <w:p w14:paraId="4F85CC3A">
      <w:pPr>
        <w:tabs>
          <w:tab w:val="left" w:pos="360"/>
          <w:tab w:val="left" w:pos="900"/>
        </w:tabs>
        <w:snapToGrid w:val="0"/>
        <w:spacing w:line="360" w:lineRule="auto"/>
        <w:jc w:val="center"/>
        <w:outlineLvl w:val="1"/>
        <w:rPr>
          <w:rFonts w:ascii="宋体" w:hAnsi="宋体" w:cs="宋体"/>
          <w:b/>
          <w:color w:val="auto"/>
          <w:sz w:val="24"/>
          <w:highlight w:val="none"/>
        </w:rPr>
      </w:pPr>
      <w:r>
        <w:rPr>
          <w:rFonts w:hint="eastAsia" w:ascii="宋体" w:hAnsi="宋体" w:cs="宋体"/>
          <w:b/>
          <w:color w:val="auto"/>
          <w:sz w:val="24"/>
          <w:highlight w:val="none"/>
        </w:rPr>
        <w:t>二、资格审查要求</w:t>
      </w:r>
    </w:p>
    <w:tbl>
      <w:tblPr>
        <w:tblStyle w:val="4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1981"/>
        <w:gridCol w:w="4828"/>
        <w:gridCol w:w="1639"/>
      </w:tblGrid>
      <w:tr w14:paraId="6E50A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blHeader/>
          <w:jc w:val="center"/>
        </w:trPr>
        <w:tc>
          <w:tcPr>
            <w:tcW w:w="452" w:type="pct"/>
            <w:vAlign w:val="center"/>
          </w:tcPr>
          <w:p w14:paraId="1A0D7BB7">
            <w:pPr>
              <w:tabs>
                <w:tab w:val="left" w:pos="1080"/>
              </w:tabs>
              <w:snapToGrid w:val="0"/>
              <w:jc w:val="center"/>
              <w:rPr>
                <w:rFonts w:ascii="宋体" w:hAnsi="宋体" w:cs="宋体"/>
                <w:b/>
                <w:color w:val="auto"/>
                <w:sz w:val="24"/>
                <w:highlight w:val="none"/>
              </w:rPr>
            </w:pPr>
            <w:bookmarkStart w:id="738" w:name="_Hlt487972895"/>
            <w:bookmarkEnd w:id="738"/>
            <w:r>
              <w:rPr>
                <w:rFonts w:hint="eastAsia" w:ascii="宋体" w:hAnsi="宋体" w:cs="宋体"/>
                <w:b/>
                <w:color w:val="auto"/>
                <w:sz w:val="24"/>
                <w:highlight w:val="none"/>
              </w:rPr>
              <w:t>序号</w:t>
            </w:r>
          </w:p>
        </w:tc>
        <w:tc>
          <w:tcPr>
            <w:tcW w:w="1066" w:type="pct"/>
            <w:vAlign w:val="center"/>
          </w:tcPr>
          <w:p w14:paraId="7F5F24E7">
            <w:pPr>
              <w:tabs>
                <w:tab w:val="left" w:pos="1080"/>
              </w:tabs>
              <w:snapToGrid w:val="0"/>
              <w:jc w:val="center"/>
              <w:rPr>
                <w:rFonts w:ascii="宋体" w:hAnsi="宋体" w:cs="宋体"/>
                <w:b/>
                <w:color w:val="auto"/>
                <w:sz w:val="24"/>
                <w:highlight w:val="none"/>
              </w:rPr>
            </w:pPr>
            <w:r>
              <w:rPr>
                <w:rFonts w:hint="eastAsia" w:ascii="宋体" w:hAnsi="宋体" w:cs="宋体"/>
                <w:b/>
                <w:color w:val="auto"/>
                <w:sz w:val="24"/>
                <w:highlight w:val="none"/>
              </w:rPr>
              <w:t>审查因素</w:t>
            </w:r>
          </w:p>
        </w:tc>
        <w:tc>
          <w:tcPr>
            <w:tcW w:w="2598" w:type="pct"/>
            <w:vAlign w:val="center"/>
          </w:tcPr>
          <w:p w14:paraId="6F5C56DB">
            <w:pPr>
              <w:tabs>
                <w:tab w:val="left" w:pos="1080"/>
              </w:tabs>
              <w:snapToGrid w:val="0"/>
              <w:jc w:val="center"/>
              <w:rPr>
                <w:rFonts w:ascii="宋体" w:hAnsi="宋体" w:cs="宋体"/>
                <w:b/>
                <w:color w:val="auto"/>
                <w:sz w:val="24"/>
                <w:highlight w:val="none"/>
              </w:rPr>
            </w:pPr>
            <w:r>
              <w:rPr>
                <w:rFonts w:hint="eastAsia" w:ascii="宋体" w:hAnsi="宋体" w:cs="宋体"/>
                <w:b/>
                <w:color w:val="auto"/>
                <w:sz w:val="24"/>
                <w:highlight w:val="none"/>
              </w:rPr>
              <w:t>审查内容</w:t>
            </w:r>
          </w:p>
        </w:tc>
        <w:tc>
          <w:tcPr>
            <w:tcW w:w="882" w:type="pct"/>
            <w:vAlign w:val="center"/>
          </w:tcPr>
          <w:p w14:paraId="6AE45726">
            <w:pPr>
              <w:tabs>
                <w:tab w:val="left" w:pos="1080"/>
              </w:tabs>
              <w:snapToGrid w:val="0"/>
              <w:jc w:val="center"/>
              <w:rPr>
                <w:rFonts w:ascii="宋体" w:hAnsi="宋体" w:cs="宋体"/>
                <w:b/>
                <w:color w:val="auto"/>
                <w:sz w:val="24"/>
                <w:highlight w:val="none"/>
              </w:rPr>
            </w:pPr>
            <w:r>
              <w:rPr>
                <w:rFonts w:hint="eastAsia" w:ascii="宋体" w:hAnsi="宋体" w:cs="宋体"/>
                <w:b/>
                <w:color w:val="auto"/>
                <w:sz w:val="24"/>
                <w:highlight w:val="none"/>
              </w:rPr>
              <w:t>格式要求</w:t>
            </w:r>
          </w:p>
        </w:tc>
      </w:tr>
      <w:tr w14:paraId="2566F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452" w:type="pct"/>
            <w:vAlign w:val="center"/>
          </w:tcPr>
          <w:p w14:paraId="3CFA0C64">
            <w:pPr>
              <w:tabs>
                <w:tab w:val="left" w:pos="1080"/>
              </w:tabs>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066" w:type="pct"/>
            <w:vAlign w:val="center"/>
          </w:tcPr>
          <w:p w14:paraId="74D426B3">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满足《中华人民共和国政府采购法》第二十二条</w:t>
            </w:r>
          </w:p>
          <w:p w14:paraId="37D8A21F">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规定</w:t>
            </w:r>
          </w:p>
        </w:tc>
        <w:tc>
          <w:tcPr>
            <w:tcW w:w="2598" w:type="pct"/>
            <w:vAlign w:val="center"/>
          </w:tcPr>
          <w:p w14:paraId="14E23037">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具体规定见第一章《投标邀请》</w:t>
            </w:r>
          </w:p>
        </w:tc>
        <w:tc>
          <w:tcPr>
            <w:tcW w:w="882" w:type="pct"/>
            <w:vAlign w:val="center"/>
          </w:tcPr>
          <w:p w14:paraId="5A410CA3">
            <w:pPr>
              <w:tabs>
                <w:tab w:val="left" w:pos="1080"/>
              </w:tabs>
              <w:snapToGrid w:val="0"/>
              <w:jc w:val="center"/>
              <w:rPr>
                <w:rFonts w:ascii="宋体" w:hAnsi="宋体" w:cs="宋体"/>
                <w:color w:val="auto"/>
                <w:sz w:val="24"/>
                <w:highlight w:val="none"/>
              </w:rPr>
            </w:pPr>
          </w:p>
        </w:tc>
      </w:tr>
      <w:tr w14:paraId="0BB2D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452" w:type="pct"/>
            <w:vAlign w:val="center"/>
          </w:tcPr>
          <w:p w14:paraId="35F0EAF9">
            <w:pPr>
              <w:tabs>
                <w:tab w:val="left" w:pos="1080"/>
              </w:tabs>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066" w:type="pct"/>
            <w:vAlign w:val="center"/>
          </w:tcPr>
          <w:p w14:paraId="0233B46D">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营业执照等证明文件</w:t>
            </w:r>
          </w:p>
        </w:tc>
        <w:tc>
          <w:tcPr>
            <w:tcW w:w="2598" w:type="pct"/>
            <w:vAlign w:val="center"/>
          </w:tcPr>
          <w:p w14:paraId="08EC313E">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投标人为企业（包括合伙企业）的，应提供有效的“营业执照”；</w:t>
            </w:r>
          </w:p>
          <w:p w14:paraId="43325F40">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投标人为事业单位的，应提供有效的“事业单位法人证书”；</w:t>
            </w:r>
          </w:p>
          <w:p w14:paraId="1A07B572">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投标人是非企业机构的，应提供有效的“执业许可证”、“登记证书”等证明文件；</w:t>
            </w:r>
          </w:p>
          <w:p w14:paraId="27346D19">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投标人是个体工商户的，应提供有效的“个体工商户营业执照”；</w:t>
            </w:r>
          </w:p>
          <w:p w14:paraId="7FAB7CB1">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投标人是自然人的，应提供有效的自然人身份证明。</w:t>
            </w:r>
          </w:p>
          <w:p w14:paraId="47842B2F">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882" w:type="pct"/>
            <w:vAlign w:val="center"/>
          </w:tcPr>
          <w:p w14:paraId="12435D02">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提供证明文件的电子件或电子证照</w:t>
            </w:r>
          </w:p>
        </w:tc>
      </w:tr>
      <w:tr w14:paraId="2155A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452" w:type="pct"/>
            <w:vAlign w:val="center"/>
          </w:tcPr>
          <w:p w14:paraId="543E2034">
            <w:pPr>
              <w:tabs>
                <w:tab w:val="left" w:pos="1080"/>
              </w:tabs>
              <w:snapToGrid w:val="0"/>
              <w:jc w:val="center"/>
              <w:rPr>
                <w:rFonts w:ascii="宋体" w:hAnsi="宋体" w:cs="宋体"/>
                <w:color w:val="auto"/>
                <w:sz w:val="24"/>
                <w:highlight w:val="none"/>
              </w:rPr>
            </w:pPr>
            <w:r>
              <w:rPr>
                <w:rFonts w:hint="eastAsia" w:ascii="宋体" w:hAnsi="宋体" w:cs="宋体"/>
                <w:color w:val="auto"/>
                <w:sz w:val="24"/>
                <w:highlight w:val="none"/>
              </w:rPr>
              <w:t>1-2</w:t>
            </w:r>
          </w:p>
        </w:tc>
        <w:tc>
          <w:tcPr>
            <w:tcW w:w="1066" w:type="pct"/>
            <w:vAlign w:val="center"/>
          </w:tcPr>
          <w:p w14:paraId="71E52887">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投标人资格声明书</w:t>
            </w:r>
          </w:p>
        </w:tc>
        <w:tc>
          <w:tcPr>
            <w:tcW w:w="2598" w:type="pct"/>
            <w:vAlign w:val="center"/>
          </w:tcPr>
          <w:p w14:paraId="04CA4174">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提供了符合招标文件要求的《投标人资格声明书》。</w:t>
            </w:r>
          </w:p>
        </w:tc>
        <w:tc>
          <w:tcPr>
            <w:tcW w:w="882" w:type="pct"/>
            <w:vAlign w:val="center"/>
          </w:tcPr>
          <w:p w14:paraId="2B14028D">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格式见《投标文件格式》</w:t>
            </w:r>
          </w:p>
        </w:tc>
      </w:tr>
      <w:tr w14:paraId="5FD5E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452" w:type="pct"/>
            <w:vAlign w:val="center"/>
          </w:tcPr>
          <w:p w14:paraId="5CE3FDC5">
            <w:pPr>
              <w:tabs>
                <w:tab w:val="left" w:pos="1080"/>
              </w:tabs>
              <w:snapToGrid w:val="0"/>
              <w:jc w:val="center"/>
              <w:rPr>
                <w:rFonts w:ascii="宋体" w:hAnsi="宋体" w:cs="宋体"/>
                <w:color w:val="auto"/>
                <w:sz w:val="24"/>
                <w:highlight w:val="none"/>
              </w:rPr>
            </w:pPr>
            <w:r>
              <w:rPr>
                <w:rFonts w:hint="eastAsia" w:ascii="宋体" w:hAnsi="宋体" w:cs="宋体"/>
                <w:color w:val="auto"/>
                <w:sz w:val="24"/>
                <w:highlight w:val="none"/>
              </w:rPr>
              <w:t>1-3</w:t>
            </w:r>
          </w:p>
        </w:tc>
        <w:tc>
          <w:tcPr>
            <w:tcW w:w="1066" w:type="pct"/>
            <w:vAlign w:val="center"/>
          </w:tcPr>
          <w:p w14:paraId="1C536770">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投标人信用记录</w:t>
            </w:r>
          </w:p>
        </w:tc>
        <w:tc>
          <w:tcPr>
            <w:tcW w:w="2598" w:type="pct"/>
            <w:vAlign w:val="center"/>
          </w:tcPr>
          <w:p w14:paraId="62BC2438">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查询渠道：信用中国网站和中国政府采购网（</w:t>
            </w:r>
            <w:r>
              <w:rPr>
                <w:rFonts w:hint="eastAsia" w:ascii="宋体" w:hAnsi="宋体" w:cs="宋体"/>
                <w:color w:val="auto"/>
                <w:highlight w:val="none"/>
              </w:rPr>
              <w:t>www.creditchina.gov.cn</w:t>
            </w:r>
            <w:r>
              <w:rPr>
                <w:rFonts w:hint="eastAsia" w:ascii="宋体" w:hAnsi="宋体" w:cs="宋体"/>
                <w:color w:val="auto"/>
                <w:sz w:val="24"/>
                <w:highlight w:val="none"/>
              </w:rPr>
              <w:t>、</w:t>
            </w:r>
            <w:r>
              <w:rPr>
                <w:rFonts w:hint="eastAsia" w:ascii="宋体" w:hAnsi="宋体" w:cs="宋体"/>
                <w:color w:val="auto"/>
                <w:highlight w:val="none"/>
              </w:rPr>
              <w:t>www.ccgp.gov.cn</w:t>
            </w:r>
            <w:r>
              <w:rPr>
                <w:rFonts w:hint="eastAsia" w:ascii="宋体" w:hAnsi="宋体" w:cs="宋体"/>
                <w:color w:val="auto"/>
                <w:sz w:val="24"/>
                <w:highlight w:val="none"/>
              </w:rPr>
              <w:t>）；</w:t>
            </w:r>
          </w:p>
          <w:p w14:paraId="51ED3A64">
            <w:pPr>
              <w:tabs>
                <w:tab w:val="left" w:pos="900"/>
                <w:tab w:val="left" w:pos="1980"/>
              </w:tabs>
              <w:snapToGrid w:val="0"/>
              <w:rPr>
                <w:rFonts w:ascii="宋体" w:hAnsi="宋体" w:cs="宋体"/>
                <w:color w:val="auto"/>
                <w:sz w:val="24"/>
                <w:highlight w:val="none"/>
              </w:rPr>
            </w:pPr>
            <w:r>
              <w:rPr>
                <w:rFonts w:hint="eastAsia" w:ascii="宋体" w:hAnsi="宋体" w:cs="宋体"/>
                <w:color w:val="auto"/>
                <w:sz w:val="24"/>
                <w:highlight w:val="none"/>
              </w:rPr>
              <w:t>截止时点：投标截止时间以后、资格审查阶段采购人或采购代理机构的实际查询时间；</w:t>
            </w:r>
          </w:p>
          <w:p w14:paraId="09B30388">
            <w:pPr>
              <w:tabs>
                <w:tab w:val="left" w:pos="900"/>
                <w:tab w:val="left" w:pos="1980"/>
              </w:tabs>
              <w:snapToGrid w:val="0"/>
              <w:rPr>
                <w:rFonts w:ascii="宋体" w:hAnsi="宋体" w:cs="宋体"/>
                <w:color w:val="auto"/>
                <w:sz w:val="24"/>
                <w:highlight w:val="none"/>
              </w:rPr>
            </w:pPr>
            <w:r>
              <w:rPr>
                <w:rFonts w:hint="eastAsia" w:ascii="宋体" w:hAnsi="宋体" w:cs="宋体"/>
                <w:color w:val="auto"/>
                <w:sz w:val="24"/>
                <w:highlight w:val="none"/>
              </w:rPr>
              <w:t>信用信息查询记录和证据留存具体方式：查询结果网页打印页作为查询记录和证据，与其他采购文件一并保存；</w:t>
            </w:r>
          </w:p>
          <w:p w14:paraId="596FFCED">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信用信息的使用原则：经认定的被列入失信被执行人、重大税收违法案件当事人名单、政府采购严重违法失信行为记录名单的投标人，其</w:t>
            </w:r>
            <w:r>
              <w:rPr>
                <w:rFonts w:hint="eastAsia" w:ascii="宋体" w:hAnsi="宋体" w:cs="宋体"/>
                <w:b/>
                <w:color w:val="auto"/>
                <w:sz w:val="24"/>
                <w:highlight w:val="none"/>
              </w:rPr>
              <w:t>投标无效</w:t>
            </w:r>
            <w:r>
              <w:rPr>
                <w:rFonts w:hint="eastAsia" w:ascii="宋体" w:hAnsi="宋体" w:cs="宋体"/>
                <w:color w:val="auto"/>
                <w:sz w:val="24"/>
                <w:highlight w:val="none"/>
              </w:rPr>
              <w:t>。联合体形式投标的，联合体成员存在不良信用记录，视同联合体存在不良信用记录。</w:t>
            </w:r>
          </w:p>
        </w:tc>
        <w:tc>
          <w:tcPr>
            <w:tcW w:w="882" w:type="pct"/>
            <w:vAlign w:val="center"/>
          </w:tcPr>
          <w:p w14:paraId="2B2D0B0B">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无须投标人提供，由采购人或采购代理机构查询。</w:t>
            </w:r>
          </w:p>
        </w:tc>
      </w:tr>
      <w:tr w14:paraId="0F2B4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jc w:val="center"/>
        </w:trPr>
        <w:tc>
          <w:tcPr>
            <w:tcW w:w="452" w:type="pct"/>
            <w:vAlign w:val="center"/>
          </w:tcPr>
          <w:p w14:paraId="646F5AEF">
            <w:pPr>
              <w:tabs>
                <w:tab w:val="left" w:pos="1080"/>
              </w:tabs>
              <w:snapToGrid w:val="0"/>
              <w:jc w:val="center"/>
              <w:rPr>
                <w:rFonts w:ascii="宋体" w:hAnsi="宋体" w:cs="宋体"/>
                <w:color w:val="auto"/>
                <w:sz w:val="24"/>
                <w:highlight w:val="none"/>
              </w:rPr>
            </w:pPr>
            <w:r>
              <w:rPr>
                <w:rFonts w:hint="eastAsia" w:ascii="宋体" w:hAnsi="宋体" w:cs="宋体"/>
                <w:color w:val="auto"/>
                <w:sz w:val="24"/>
                <w:highlight w:val="none"/>
              </w:rPr>
              <w:t>1-4</w:t>
            </w:r>
          </w:p>
        </w:tc>
        <w:tc>
          <w:tcPr>
            <w:tcW w:w="1066" w:type="pct"/>
            <w:vAlign w:val="center"/>
          </w:tcPr>
          <w:p w14:paraId="0061143C">
            <w:pPr>
              <w:tabs>
                <w:tab w:val="left" w:pos="1080"/>
              </w:tabs>
              <w:snapToGrid w:val="0"/>
              <w:rPr>
                <w:rFonts w:ascii="宋体" w:hAnsi="宋体" w:cs="宋体"/>
                <w:color w:val="auto"/>
                <w:sz w:val="24"/>
                <w:highlight w:val="none"/>
              </w:rPr>
            </w:pPr>
            <w:r>
              <w:rPr>
                <w:color w:val="auto"/>
                <w:spacing w:val="11"/>
                <w:sz w:val="24"/>
                <w:highlight w:val="none"/>
              </w:rPr>
              <w:t>法律、行政法规</w:t>
            </w:r>
            <w:r>
              <w:rPr>
                <w:color w:val="auto"/>
                <w:sz w:val="24"/>
                <w:highlight w:val="none"/>
              </w:rPr>
              <w:t>规定的其他条件</w:t>
            </w:r>
          </w:p>
        </w:tc>
        <w:tc>
          <w:tcPr>
            <w:tcW w:w="2598" w:type="pct"/>
            <w:vAlign w:val="center"/>
          </w:tcPr>
          <w:p w14:paraId="608A42F7">
            <w:pPr>
              <w:pStyle w:val="252"/>
              <w:spacing w:before="2" w:line="242" w:lineRule="auto"/>
              <w:ind w:left="108" w:right="95"/>
              <w:rPr>
                <w:color w:val="auto"/>
                <w:spacing w:val="11"/>
                <w:sz w:val="24"/>
                <w:highlight w:val="none"/>
                <w:lang w:eastAsia="zh-CN"/>
              </w:rPr>
            </w:pPr>
            <w:r>
              <w:rPr>
                <w:color w:val="auto"/>
                <w:spacing w:val="11"/>
                <w:sz w:val="24"/>
                <w:highlight w:val="none"/>
                <w:lang w:eastAsia="zh-CN"/>
              </w:rPr>
              <w:t>法律、行政法规规定的其他条件</w:t>
            </w:r>
          </w:p>
        </w:tc>
        <w:tc>
          <w:tcPr>
            <w:tcW w:w="882" w:type="pct"/>
            <w:vAlign w:val="center"/>
          </w:tcPr>
          <w:p w14:paraId="3DEE8849">
            <w:pPr>
              <w:tabs>
                <w:tab w:val="left" w:pos="1080"/>
              </w:tabs>
              <w:snapToGrid w:val="0"/>
              <w:rPr>
                <w:rFonts w:ascii="宋体" w:hAnsi="宋体" w:cs="宋体"/>
                <w:color w:val="auto"/>
                <w:sz w:val="24"/>
                <w:highlight w:val="none"/>
              </w:rPr>
            </w:pPr>
          </w:p>
        </w:tc>
      </w:tr>
      <w:tr w14:paraId="66F86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jc w:val="center"/>
        </w:trPr>
        <w:tc>
          <w:tcPr>
            <w:tcW w:w="452" w:type="pct"/>
            <w:vAlign w:val="center"/>
          </w:tcPr>
          <w:p w14:paraId="592FFFFD">
            <w:pPr>
              <w:tabs>
                <w:tab w:val="left" w:pos="1080"/>
              </w:tabs>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066" w:type="pct"/>
            <w:vAlign w:val="center"/>
          </w:tcPr>
          <w:p w14:paraId="32BCD2A0">
            <w:pPr>
              <w:tabs>
                <w:tab w:val="left" w:pos="1080"/>
              </w:tabs>
              <w:snapToGrid w:val="0"/>
              <w:rPr>
                <w:color w:val="auto"/>
                <w:spacing w:val="11"/>
                <w:sz w:val="24"/>
                <w:highlight w:val="none"/>
              </w:rPr>
            </w:pPr>
            <w:r>
              <w:rPr>
                <w:color w:val="auto"/>
                <w:spacing w:val="11"/>
                <w:sz w:val="24"/>
                <w:highlight w:val="none"/>
              </w:rPr>
              <w:t>落实政府采购政策需满足的资格要求</w:t>
            </w:r>
          </w:p>
        </w:tc>
        <w:tc>
          <w:tcPr>
            <w:tcW w:w="2598" w:type="pct"/>
            <w:vAlign w:val="center"/>
          </w:tcPr>
          <w:p w14:paraId="66538386">
            <w:pPr>
              <w:pStyle w:val="252"/>
              <w:spacing w:before="2" w:line="242" w:lineRule="auto"/>
              <w:ind w:left="108" w:right="95"/>
              <w:rPr>
                <w:color w:val="auto"/>
                <w:spacing w:val="11"/>
                <w:sz w:val="24"/>
                <w:highlight w:val="none"/>
                <w:lang w:eastAsia="zh-CN"/>
              </w:rPr>
            </w:pPr>
            <w:r>
              <w:rPr>
                <w:color w:val="auto"/>
                <w:spacing w:val="11"/>
                <w:sz w:val="24"/>
                <w:highlight w:val="none"/>
                <w:lang w:eastAsia="zh-CN"/>
              </w:rPr>
              <w:t>具体要求见第一章《投标邀请》</w:t>
            </w:r>
          </w:p>
        </w:tc>
        <w:tc>
          <w:tcPr>
            <w:tcW w:w="882" w:type="pct"/>
            <w:vAlign w:val="center"/>
          </w:tcPr>
          <w:p w14:paraId="6034AAA7">
            <w:pPr>
              <w:tabs>
                <w:tab w:val="left" w:pos="1080"/>
              </w:tabs>
              <w:snapToGrid w:val="0"/>
              <w:rPr>
                <w:rFonts w:ascii="宋体" w:hAnsi="宋体" w:cs="宋体"/>
                <w:color w:val="auto"/>
                <w:sz w:val="24"/>
                <w:highlight w:val="none"/>
              </w:rPr>
            </w:pPr>
          </w:p>
        </w:tc>
      </w:tr>
      <w:tr w14:paraId="37293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jc w:val="center"/>
        </w:trPr>
        <w:tc>
          <w:tcPr>
            <w:tcW w:w="452" w:type="pct"/>
            <w:vAlign w:val="center"/>
          </w:tcPr>
          <w:p w14:paraId="5D7A3A60">
            <w:pPr>
              <w:tabs>
                <w:tab w:val="left" w:pos="1080"/>
              </w:tabs>
              <w:snapToGrid w:val="0"/>
              <w:jc w:val="center"/>
              <w:rPr>
                <w:rFonts w:ascii="宋体" w:hAnsi="宋体" w:cs="宋体"/>
                <w:color w:val="auto"/>
                <w:sz w:val="24"/>
                <w:highlight w:val="none"/>
              </w:rPr>
            </w:pPr>
            <w:r>
              <w:rPr>
                <w:rFonts w:hint="eastAsia" w:ascii="宋体" w:hAnsi="宋体" w:cs="宋体"/>
                <w:color w:val="auto"/>
                <w:sz w:val="24"/>
                <w:highlight w:val="none"/>
              </w:rPr>
              <w:t>2-1</w:t>
            </w:r>
          </w:p>
        </w:tc>
        <w:tc>
          <w:tcPr>
            <w:tcW w:w="1066" w:type="pct"/>
            <w:vAlign w:val="center"/>
          </w:tcPr>
          <w:p w14:paraId="5D065E7A">
            <w:pPr>
              <w:tabs>
                <w:tab w:val="left" w:pos="1080"/>
              </w:tabs>
              <w:snapToGrid w:val="0"/>
              <w:rPr>
                <w:color w:val="auto"/>
                <w:spacing w:val="11"/>
                <w:sz w:val="24"/>
                <w:highlight w:val="none"/>
              </w:rPr>
            </w:pPr>
            <w:r>
              <w:rPr>
                <w:rFonts w:hint="eastAsia"/>
                <w:color w:val="auto"/>
                <w:spacing w:val="11"/>
                <w:sz w:val="24"/>
                <w:highlight w:val="none"/>
              </w:rPr>
              <w:t>中小企业政策</w:t>
            </w:r>
          </w:p>
        </w:tc>
        <w:tc>
          <w:tcPr>
            <w:tcW w:w="2598" w:type="pct"/>
            <w:vAlign w:val="center"/>
          </w:tcPr>
          <w:p w14:paraId="63A8AF06">
            <w:pPr>
              <w:pStyle w:val="252"/>
              <w:spacing w:before="2" w:line="242" w:lineRule="auto"/>
              <w:ind w:left="108" w:right="95"/>
              <w:rPr>
                <w:color w:val="auto"/>
                <w:spacing w:val="11"/>
                <w:sz w:val="24"/>
                <w:highlight w:val="none"/>
                <w:lang w:eastAsia="zh-CN"/>
              </w:rPr>
            </w:pPr>
            <w:r>
              <w:rPr>
                <w:color w:val="auto"/>
                <w:spacing w:val="11"/>
                <w:sz w:val="24"/>
                <w:highlight w:val="none"/>
                <w:lang w:eastAsia="zh-CN"/>
              </w:rPr>
              <w:t>具体要求见第一章《投标邀请》</w:t>
            </w:r>
          </w:p>
        </w:tc>
        <w:tc>
          <w:tcPr>
            <w:tcW w:w="882" w:type="pct"/>
            <w:vAlign w:val="center"/>
          </w:tcPr>
          <w:p w14:paraId="4891C403">
            <w:pPr>
              <w:tabs>
                <w:tab w:val="left" w:pos="1080"/>
              </w:tabs>
              <w:snapToGrid w:val="0"/>
              <w:rPr>
                <w:rFonts w:ascii="宋体" w:hAnsi="宋体" w:cs="宋体"/>
                <w:color w:val="auto"/>
                <w:sz w:val="24"/>
                <w:highlight w:val="none"/>
              </w:rPr>
            </w:pPr>
          </w:p>
        </w:tc>
      </w:tr>
      <w:tr w14:paraId="38214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452" w:type="pct"/>
            <w:vAlign w:val="center"/>
          </w:tcPr>
          <w:p w14:paraId="6DDDEB89">
            <w:pPr>
              <w:tabs>
                <w:tab w:val="left" w:pos="1080"/>
              </w:tabs>
              <w:snapToGrid w:val="0"/>
              <w:jc w:val="center"/>
              <w:rPr>
                <w:rFonts w:ascii="宋体" w:hAnsi="宋体" w:cs="宋体"/>
                <w:color w:val="auto"/>
                <w:sz w:val="24"/>
                <w:highlight w:val="none"/>
              </w:rPr>
            </w:pPr>
            <w:r>
              <w:rPr>
                <w:rFonts w:hint="eastAsia" w:ascii="宋体" w:hAnsi="宋体" w:cs="宋体"/>
                <w:color w:val="auto"/>
                <w:sz w:val="24"/>
                <w:highlight w:val="none"/>
              </w:rPr>
              <w:t>2-1-1</w:t>
            </w:r>
          </w:p>
        </w:tc>
        <w:tc>
          <w:tcPr>
            <w:tcW w:w="1066" w:type="pct"/>
            <w:vAlign w:val="center"/>
          </w:tcPr>
          <w:p w14:paraId="2A47241A">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中小企业证明文件</w:t>
            </w:r>
          </w:p>
        </w:tc>
        <w:tc>
          <w:tcPr>
            <w:tcW w:w="2598" w:type="pct"/>
            <w:vAlign w:val="center"/>
          </w:tcPr>
          <w:p w14:paraId="6D1730AF">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当本项目（包）涉及预留份额专门面向中小企业采购，此时建议在《资格证明文件》中提供。</w:t>
            </w:r>
          </w:p>
          <w:p w14:paraId="7B48AFC4">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1、投标人单独投标的，应提供《中小企业声明函》或《残疾人福利性单位声明函》或由省级以上监狱管理局、戒毒管理局（含新疆生产建设兵团）出具的属于监狱企业的证明文件。</w:t>
            </w:r>
          </w:p>
          <w:p w14:paraId="1481BEBC">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w:t>
            </w:r>
          </w:p>
          <w:p w14:paraId="04F03446">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（含新疆生产建设兵团）出具的属于监狱企业的证明文件中如实填报，且满足招标文件</w:t>
            </w:r>
          </w:p>
          <w:p w14:paraId="66826F01">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关于预留份额的要求。</w:t>
            </w:r>
          </w:p>
        </w:tc>
        <w:tc>
          <w:tcPr>
            <w:tcW w:w="882" w:type="pct"/>
            <w:vAlign w:val="center"/>
          </w:tcPr>
          <w:p w14:paraId="4219F969">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格式见《投标文件格式》</w:t>
            </w:r>
          </w:p>
        </w:tc>
      </w:tr>
      <w:tr w14:paraId="5A4FF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452" w:type="pct"/>
            <w:vAlign w:val="center"/>
          </w:tcPr>
          <w:p w14:paraId="41B6D1F7">
            <w:pPr>
              <w:tabs>
                <w:tab w:val="left" w:pos="1080"/>
              </w:tabs>
              <w:snapToGrid w:val="0"/>
              <w:jc w:val="center"/>
              <w:rPr>
                <w:rFonts w:ascii="宋体" w:hAnsi="宋体" w:cs="宋体"/>
                <w:color w:val="auto"/>
                <w:sz w:val="24"/>
                <w:highlight w:val="none"/>
              </w:rPr>
            </w:pPr>
            <w:r>
              <w:rPr>
                <w:rFonts w:hint="eastAsia" w:ascii="宋体" w:hAnsi="宋体" w:cs="宋体"/>
                <w:color w:val="auto"/>
                <w:sz w:val="24"/>
                <w:highlight w:val="none"/>
              </w:rPr>
              <w:t>2-1-2</w:t>
            </w:r>
          </w:p>
        </w:tc>
        <w:tc>
          <w:tcPr>
            <w:tcW w:w="1066" w:type="pct"/>
            <w:vAlign w:val="center"/>
          </w:tcPr>
          <w:p w14:paraId="32AA45F9">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拟分包情况说明及分包意向协议</w:t>
            </w:r>
          </w:p>
        </w:tc>
        <w:tc>
          <w:tcPr>
            <w:tcW w:w="2598" w:type="pct"/>
            <w:vAlign w:val="center"/>
          </w:tcPr>
          <w:p w14:paraId="15B39E0F">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如本项目（包）要求通过分包措施预留部分采购份额面向中小企业采购、且投标人因落实政府采购政策拟进行分包的，必须提供； 否则无须提供。</w:t>
            </w:r>
          </w:p>
          <w:p w14:paraId="728EEAF7">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对于预留份额专门面向中小企业采购的项目</w:t>
            </w:r>
          </w:p>
          <w:p w14:paraId="669AAF3F">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（包），组成联合体或者接受分包合同的中小企业与联合体内其他企业、分包企业之间不得存在直接控股、管理关系。</w:t>
            </w:r>
          </w:p>
        </w:tc>
        <w:tc>
          <w:tcPr>
            <w:tcW w:w="882" w:type="pct"/>
            <w:vAlign w:val="center"/>
          </w:tcPr>
          <w:p w14:paraId="14CC70BD">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格式见《投标文件格式》</w:t>
            </w:r>
          </w:p>
        </w:tc>
      </w:tr>
      <w:tr w14:paraId="4B983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jc w:val="center"/>
        </w:trPr>
        <w:tc>
          <w:tcPr>
            <w:tcW w:w="452" w:type="pct"/>
            <w:vAlign w:val="center"/>
          </w:tcPr>
          <w:p w14:paraId="5240E260">
            <w:pPr>
              <w:tabs>
                <w:tab w:val="left" w:pos="1080"/>
              </w:tabs>
              <w:snapToGrid w:val="0"/>
              <w:jc w:val="center"/>
              <w:rPr>
                <w:rFonts w:ascii="宋体" w:hAnsi="宋体" w:cs="宋体"/>
                <w:color w:val="auto"/>
                <w:sz w:val="24"/>
                <w:highlight w:val="none"/>
              </w:rPr>
            </w:pPr>
            <w:r>
              <w:rPr>
                <w:rFonts w:hint="eastAsia" w:ascii="宋体" w:hAnsi="宋体" w:cs="宋体"/>
                <w:color w:val="auto"/>
                <w:sz w:val="24"/>
                <w:highlight w:val="none"/>
              </w:rPr>
              <w:t>2-2</w:t>
            </w:r>
          </w:p>
        </w:tc>
        <w:tc>
          <w:tcPr>
            <w:tcW w:w="1066" w:type="pct"/>
            <w:vAlign w:val="center"/>
          </w:tcPr>
          <w:p w14:paraId="20E1669B">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其它落实政府采购政策的资格要求</w:t>
            </w:r>
          </w:p>
        </w:tc>
        <w:tc>
          <w:tcPr>
            <w:tcW w:w="2598" w:type="pct"/>
            <w:vAlign w:val="center"/>
          </w:tcPr>
          <w:p w14:paraId="7B2DB3DE">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如有，见第一章《投标邀请》</w:t>
            </w:r>
          </w:p>
        </w:tc>
        <w:tc>
          <w:tcPr>
            <w:tcW w:w="882" w:type="pct"/>
            <w:vAlign w:val="center"/>
          </w:tcPr>
          <w:p w14:paraId="11A035F4">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提供证明文件的电子件或电子证照</w:t>
            </w:r>
          </w:p>
        </w:tc>
      </w:tr>
      <w:tr w14:paraId="6886F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jc w:val="center"/>
        </w:trPr>
        <w:tc>
          <w:tcPr>
            <w:tcW w:w="452" w:type="pct"/>
            <w:vAlign w:val="center"/>
          </w:tcPr>
          <w:p w14:paraId="30F92E9E">
            <w:pPr>
              <w:tabs>
                <w:tab w:val="left" w:pos="1080"/>
              </w:tabs>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066" w:type="pct"/>
            <w:vAlign w:val="center"/>
          </w:tcPr>
          <w:p w14:paraId="7D0AE951">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本项目的特定资格要求</w:t>
            </w:r>
          </w:p>
        </w:tc>
        <w:tc>
          <w:tcPr>
            <w:tcW w:w="2598" w:type="pct"/>
            <w:vAlign w:val="center"/>
          </w:tcPr>
          <w:p w14:paraId="727227EA">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如有，见第一章《投标邀请》</w:t>
            </w:r>
          </w:p>
        </w:tc>
        <w:tc>
          <w:tcPr>
            <w:tcW w:w="882" w:type="pct"/>
            <w:vAlign w:val="center"/>
          </w:tcPr>
          <w:p w14:paraId="2C789DF8">
            <w:pPr>
              <w:tabs>
                <w:tab w:val="left" w:pos="1080"/>
              </w:tabs>
              <w:snapToGrid w:val="0"/>
              <w:rPr>
                <w:rFonts w:ascii="宋体" w:hAnsi="宋体" w:cs="宋体"/>
                <w:color w:val="auto"/>
                <w:sz w:val="24"/>
                <w:highlight w:val="none"/>
              </w:rPr>
            </w:pPr>
          </w:p>
        </w:tc>
      </w:tr>
      <w:tr w14:paraId="04736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jc w:val="center"/>
        </w:trPr>
        <w:tc>
          <w:tcPr>
            <w:tcW w:w="452" w:type="pct"/>
            <w:vAlign w:val="center"/>
          </w:tcPr>
          <w:p w14:paraId="5E971D82">
            <w:pPr>
              <w:tabs>
                <w:tab w:val="left" w:pos="1080"/>
              </w:tabs>
              <w:snapToGrid w:val="0"/>
              <w:jc w:val="center"/>
              <w:rPr>
                <w:rFonts w:ascii="宋体" w:hAnsi="宋体" w:cs="宋体"/>
                <w:color w:val="auto"/>
                <w:sz w:val="24"/>
                <w:highlight w:val="none"/>
              </w:rPr>
            </w:pPr>
            <w:r>
              <w:rPr>
                <w:rFonts w:hint="eastAsia" w:ascii="宋体" w:hAnsi="宋体" w:cs="宋体"/>
                <w:color w:val="auto"/>
                <w:sz w:val="24"/>
                <w:highlight w:val="none"/>
              </w:rPr>
              <w:t>3-1</w:t>
            </w:r>
          </w:p>
        </w:tc>
        <w:tc>
          <w:tcPr>
            <w:tcW w:w="1066" w:type="pct"/>
            <w:vAlign w:val="center"/>
          </w:tcPr>
          <w:p w14:paraId="40C38649">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本项目对于联合体的要求</w:t>
            </w:r>
          </w:p>
        </w:tc>
        <w:tc>
          <w:tcPr>
            <w:tcW w:w="2598" w:type="pct"/>
            <w:vAlign w:val="center"/>
          </w:tcPr>
          <w:p w14:paraId="48C3FF9D">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2A6709DB">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2、联合体各成员单位均须提供本表中序号</w:t>
            </w:r>
          </w:p>
          <w:p w14:paraId="35EBEC54">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1-1、1-2的证明文件。联合体各成员单位均应满足本表3-2及3-3项规定。</w:t>
            </w:r>
          </w:p>
          <w:p w14:paraId="71F31A05">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3、本表序号3-4项规定的其他特定资格要求中的每一小项要求，联合体各方中至少应当有一方符合本表中其他资格要求并提供证明文件。</w:t>
            </w:r>
          </w:p>
          <w:p w14:paraId="064A527D">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4、联合体中有同类资质的供应商按照联合体分工承担相同工作的，应当按照资质等级较低的供应商确定资质等级。</w:t>
            </w:r>
          </w:p>
          <w:p w14:paraId="559F9C16">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5、以联合体形式参加政府采购活动的，联合体各方不得再单独参加或者与其他供应商另外组成联合体参加同一合同项下的政府采购活动。</w:t>
            </w:r>
          </w:p>
          <w:p w14:paraId="6FFB2D51">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6、若联合体中任一成员单位中途退出，则该联合体的投标无效。</w:t>
            </w:r>
          </w:p>
          <w:p w14:paraId="04368F87">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7、本项目不接受联合体投标时，投标人不得</w:t>
            </w:r>
          </w:p>
          <w:p w14:paraId="1B4ABCA3">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为联合体。</w:t>
            </w:r>
          </w:p>
        </w:tc>
        <w:tc>
          <w:tcPr>
            <w:tcW w:w="882" w:type="pct"/>
            <w:vAlign w:val="center"/>
          </w:tcPr>
          <w:p w14:paraId="44242C51">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提供《联合协议》原件的电子件，格式见《投标文件格式》</w:t>
            </w:r>
          </w:p>
        </w:tc>
      </w:tr>
      <w:tr w14:paraId="1AF1B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2" w:type="pct"/>
            <w:vAlign w:val="center"/>
          </w:tcPr>
          <w:p w14:paraId="0BFAC6AC">
            <w:pPr>
              <w:tabs>
                <w:tab w:val="left" w:pos="1080"/>
              </w:tabs>
              <w:snapToGrid w:val="0"/>
              <w:jc w:val="center"/>
              <w:rPr>
                <w:rFonts w:ascii="宋体" w:hAnsi="宋体" w:cs="宋体"/>
                <w:color w:val="auto"/>
                <w:sz w:val="24"/>
                <w:highlight w:val="none"/>
              </w:rPr>
            </w:pPr>
            <w:r>
              <w:rPr>
                <w:rFonts w:hint="eastAsia" w:ascii="宋体" w:hAnsi="宋体" w:cs="宋体"/>
                <w:color w:val="auto"/>
                <w:sz w:val="24"/>
                <w:highlight w:val="none"/>
              </w:rPr>
              <w:t>3-2</w:t>
            </w:r>
          </w:p>
        </w:tc>
        <w:tc>
          <w:tcPr>
            <w:tcW w:w="1066" w:type="pct"/>
            <w:vAlign w:val="center"/>
          </w:tcPr>
          <w:p w14:paraId="496584FE">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政府购买服务承接主体的要求</w:t>
            </w:r>
          </w:p>
        </w:tc>
        <w:tc>
          <w:tcPr>
            <w:tcW w:w="2598" w:type="pct"/>
            <w:vAlign w:val="center"/>
          </w:tcPr>
          <w:p w14:paraId="465EFA28">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如本项目属于政府购买服务，投标人不属于公益一类事业单位、使用事业编制且由财政拨款保障的群团组织。</w:t>
            </w:r>
          </w:p>
        </w:tc>
        <w:tc>
          <w:tcPr>
            <w:tcW w:w="882" w:type="pct"/>
            <w:vAlign w:val="center"/>
          </w:tcPr>
          <w:p w14:paraId="57BB6647">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格式见《投标文件格式》（如属于需承诺）</w:t>
            </w:r>
          </w:p>
        </w:tc>
        <w:bookmarkStart w:id="739" w:name="_Hlt487900425"/>
        <w:bookmarkStart w:id="740" w:name="_Hlt522424701"/>
      </w:tr>
      <w:tr w14:paraId="1A726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2" w:type="pct"/>
            <w:vAlign w:val="center"/>
          </w:tcPr>
          <w:p w14:paraId="3B0096EE">
            <w:pPr>
              <w:tabs>
                <w:tab w:val="left" w:pos="1080"/>
              </w:tabs>
              <w:snapToGrid w:val="0"/>
              <w:jc w:val="center"/>
              <w:rPr>
                <w:rFonts w:ascii="宋体" w:hAnsi="宋体" w:cs="宋体"/>
                <w:color w:val="auto"/>
                <w:sz w:val="24"/>
                <w:highlight w:val="none"/>
              </w:rPr>
            </w:pPr>
            <w:bookmarkStart w:id="741" w:name="_Toc127151779"/>
            <w:bookmarkStart w:id="742" w:name="_Toc127161490"/>
            <w:bookmarkStart w:id="743" w:name="_Toc353825550"/>
            <w:bookmarkStart w:id="744" w:name="_Toc226965858"/>
            <w:bookmarkStart w:id="745" w:name="_Toc353873940"/>
            <w:r>
              <w:rPr>
                <w:rFonts w:hint="eastAsia" w:ascii="宋体" w:hAnsi="宋体" w:cs="宋体"/>
                <w:color w:val="auto"/>
                <w:sz w:val="24"/>
                <w:highlight w:val="none"/>
              </w:rPr>
              <w:t>3-3</w:t>
            </w:r>
          </w:p>
        </w:tc>
        <w:tc>
          <w:tcPr>
            <w:tcW w:w="1066" w:type="pct"/>
            <w:vAlign w:val="center"/>
          </w:tcPr>
          <w:p w14:paraId="1AC72CE9">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其他特定资格要求</w:t>
            </w:r>
          </w:p>
        </w:tc>
        <w:tc>
          <w:tcPr>
            <w:tcW w:w="2598" w:type="pct"/>
            <w:vAlign w:val="center"/>
          </w:tcPr>
          <w:p w14:paraId="63CA282A">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如有，见第一章《投标邀请》</w:t>
            </w:r>
          </w:p>
        </w:tc>
        <w:tc>
          <w:tcPr>
            <w:tcW w:w="882" w:type="pct"/>
            <w:vAlign w:val="center"/>
          </w:tcPr>
          <w:p w14:paraId="14E3640C">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提供证明文件的电子件或电子证照</w:t>
            </w:r>
          </w:p>
        </w:tc>
      </w:tr>
      <w:tr w14:paraId="5C1B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8" w:hRule="atLeast"/>
          <w:jc w:val="center"/>
        </w:trPr>
        <w:tc>
          <w:tcPr>
            <w:tcW w:w="452" w:type="pct"/>
            <w:vAlign w:val="center"/>
          </w:tcPr>
          <w:p w14:paraId="5D2451CD">
            <w:pPr>
              <w:tabs>
                <w:tab w:val="left" w:pos="1080"/>
              </w:tabs>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066" w:type="pct"/>
            <w:vAlign w:val="center"/>
          </w:tcPr>
          <w:p w14:paraId="52F4F4FA">
            <w:pPr>
              <w:tabs>
                <w:tab w:val="left" w:pos="1080"/>
              </w:tabs>
              <w:snapToGrid w:val="0"/>
              <w:rPr>
                <w:rFonts w:ascii="宋体" w:hAnsi="宋体" w:cs="宋体"/>
                <w:color w:val="auto"/>
                <w:sz w:val="24"/>
                <w:highlight w:val="none"/>
              </w:rPr>
            </w:pPr>
            <w:r>
              <w:rPr>
                <w:rFonts w:hint="eastAsia" w:ascii="宋体" w:hAnsi="宋体" w:cs="宋体"/>
                <w:color w:val="auto"/>
                <w:sz w:val="24"/>
                <w:highlight w:val="none"/>
              </w:rPr>
              <w:t>投标保证金</w:t>
            </w:r>
          </w:p>
        </w:tc>
        <w:tc>
          <w:tcPr>
            <w:tcW w:w="2598" w:type="pct"/>
            <w:vAlign w:val="center"/>
          </w:tcPr>
          <w:p w14:paraId="07B109BD">
            <w:pPr>
              <w:tabs>
                <w:tab w:val="left" w:pos="1080"/>
              </w:tabs>
              <w:snapToGrid w:val="0"/>
              <w:rPr>
                <w:rFonts w:ascii="宋体" w:hAnsi="宋体" w:cs="宋体"/>
                <w:color w:val="auto"/>
                <w:sz w:val="24"/>
                <w:highlight w:val="none"/>
              </w:rPr>
            </w:pPr>
            <w:r>
              <w:rPr>
                <w:rFonts w:hint="eastAsia" w:ascii="宋体" w:hAnsi="宋体" w:cs="宋体"/>
                <w:color w:val="auto"/>
                <w:kern w:val="0"/>
                <w:sz w:val="24"/>
                <w:highlight w:val="none"/>
              </w:rPr>
              <w:t>按照招标文件的规定提交投标保证金。</w:t>
            </w:r>
          </w:p>
        </w:tc>
        <w:tc>
          <w:tcPr>
            <w:tcW w:w="882" w:type="pct"/>
            <w:vAlign w:val="center"/>
          </w:tcPr>
          <w:p w14:paraId="476C1C24">
            <w:pPr>
              <w:tabs>
                <w:tab w:val="left" w:pos="1080"/>
              </w:tabs>
              <w:snapToGrid w:val="0"/>
              <w:rPr>
                <w:rFonts w:ascii="宋体" w:hAnsi="宋体" w:cs="宋体"/>
                <w:color w:val="auto"/>
                <w:sz w:val="24"/>
                <w:highlight w:val="none"/>
              </w:rPr>
            </w:pPr>
          </w:p>
        </w:tc>
      </w:tr>
      <w:bookmarkEnd w:id="736"/>
      <w:bookmarkEnd w:id="739"/>
      <w:bookmarkEnd w:id="740"/>
    </w:tbl>
    <w:p w14:paraId="18D987CC">
      <w:pPr>
        <w:widowControl/>
        <w:jc w:val="left"/>
        <w:rPr>
          <w:rFonts w:ascii="宋体" w:hAnsi="宋体" w:cs="宋体"/>
          <w:color w:val="auto"/>
          <w:sz w:val="24"/>
          <w:highlight w:val="none"/>
        </w:rPr>
      </w:pPr>
      <w:r>
        <w:rPr>
          <w:rFonts w:hint="eastAsia" w:ascii="宋体" w:hAnsi="宋体" w:cs="宋体"/>
          <w:color w:val="auto"/>
          <w:sz w:val="24"/>
          <w:highlight w:val="none"/>
        </w:rPr>
        <w:br w:type="page"/>
      </w:r>
    </w:p>
    <w:p w14:paraId="39FA2C1A">
      <w:pPr>
        <w:spacing w:line="360" w:lineRule="auto"/>
        <w:jc w:val="center"/>
        <w:outlineLvl w:val="0"/>
        <w:rPr>
          <w:rFonts w:ascii="宋体" w:hAnsi="宋体" w:cs="宋体"/>
          <w:b/>
          <w:color w:val="auto"/>
          <w:sz w:val="36"/>
          <w:szCs w:val="36"/>
          <w:highlight w:val="none"/>
        </w:rPr>
      </w:pPr>
      <w:bookmarkStart w:id="746" w:name="_Toc14321"/>
      <w:r>
        <w:rPr>
          <w:rFonts w:hint="eastAsia" w:ascii="宋体" w:hAnsi="宋体" w:cs="宋体"/>
          <w:b/>
          <w:color w:val="auto"/>
          <w:sz w:val="36"/>
          <w:szCs w:val="36"/>
          <w:highlight w:val="none"/>
        </w:rPr>
        <w:t xml:space="preserve">第四章   </w:t>
      </w:r>
      <w:bookmarkEnd w:id="741"/>
      <w:bookmarkEnd w:id="742"/>
      <w:bookmarkEnd w:id="743"/>
      <w:bookmarkEnd w:id="744"/>
      <w:bookmarkEnd w:id="745"/>
      <w:bookmarkStart w:id="747" w:name="_Hlt164229061"/>
      <w:bookmarkEnd w:id="747"/>
      <w:r>
        <w:rPr>
          <w:rFonts w:hint="eastAsia" w:ascii="宋体" w:hAnsi="宋体" w:cs="宋体"/>
          <w:b/>
          <w:color w:val="auto"/>
          <w:sz w:val="36"/>
          <w:szCs w:val="36"/>
          <w:highlight w:val="none"/>
        </w:rPr>
        <w:t>评标程序、评标方法和评标标准</w:t>
      </w:r>
      <w:bookmarkEnd w:id="746"/>
    </w:p>
    <w:p w14:paraId="1CB74C3E">
      <w:pPr>
        <w:tabs>
          <w:tab w:val="left" w:pos="360"/>
          <w:tab w:val="left" w:pos="900"/>
        </w:tabs>
        <w:snapToGrid w:val="0"/>
        <w:spacing w:line="360" w:lineRule="auto"/>
        <w:jc w:val="center"/>
        <w:outlineLvl w:val="1"/>
        <w:rPr>
          <w:rFonts w:ascii="宋体" w:hAnsi="宋体" w:cs="宋体"/>
          <w:b/>
          <w:color w:val="auto"/>
          <w:highlight w:val="none"/>
        </w:rPr>
      </w:pPr>
      <w:r>
        <w:rPr>
          <w:rFonts w:hint="eastAsia" w:ascii="宋体" w:hAnsi="宋体" w:cs="宋体"/>
          <w:b/>
          <w:color w:val="auto"/>
          <w:sz w:val="24"/>
          <w:highlight w:val="none"/>
        </w:rPr>
        <w:t>一、评标方法</w:t>
      </w:r>
    </w:p>
    <w:p w14:paraId="182EA1C6">
      <w:pPr>
        <w:numPr>
          <w:ilvl w:val="0"/>
          <w:numId w:val="12"/>
        </w:numPr>
        <w:tabs>
          <w:tab w:val="left" w:pos="360"/>
        </w:tabs>
        <w:snapToGrid w:val="0"/>
        <w:spacing w:line="360" w:lineRule="auto"/>
        <w:outlineLvl w:val="1"/>
        <w:rPr>
          <w:rFonts w:ascii="宋体" w:hAnsi="宋体" w:cs="宋体"/>
          <w:color w:val="auto"/>
          <w:sz w:val="24"/>
          <w:highlight w:val="none"/>
        </w:rPr>
      </w:pPr>
      <w:bookmarkStart w:id="748" w:name="_Toc127151742"/>
      <w:bookmarkStart w:id="749" w:name="_Toc150509292"/>
      <w:bookmarkStart w:id="750" w:name="_Toc150774641"/>
      <w:bookmarkStart w:id="751" w:name="_Toc127161455"/>
      <w:bookmarkStart w:id="752" w:name="_Toc151193855"/>
      <w:bookmarkStart w:id="753" w:name="_Toc305158883"/>
      <w:bookmarkStart w:id="754" w:name="_Toc226965731"/>
      <w:bookmarkStart w:id="755" w:name="_Toc195842906"/>
      <w:bookmarkStart w:id="756" w:name="_Toc265228379"/>
      <w:bookmarkStart w:id="757" w:name="_Toc164608655"/>
      <w:bookmarkStart w:id="758" w:name="_Toc164608810"/>
      <w:bookmarkStart w:id="759" w:name="_Toc150480779"/>
      <w:bookmarkStart w:id="760" w:name="_Toc226337237"/>
      <w:bookmarkStart w:id="761" w:name="_Toc151190168"/>
      <w:bookmarkStart w:id="762" w:name="_Toc151193783"/>
      <w:bookmarkStart w:id="763" w:name="_Toc142311043"/>
      <w:bookmarkStart w:id="764" w:name="_Toc226965814"/>
      <w:bookmarkStart w:id="765" w:name="_Toc164351635"/>
      <w:bookmarkStart w:id="766" w:name="_Toc164229382"/>
      <w:bookmarkStart w:id="767" w:name="_Toc149720834"/>
      <w:bookmarkStart w:id="768" w:name="_Toc305158809"/>
      <w:bookmarkStart w:id="769" w:name="_Toc151193711"/>
      <w:bookmarkStart w:id="770" w:name="_Toc164229236"/>
      <w:bookmarkStart w:id="771" w:name="_Toc264969231"/>
      <w:bookmarkStart w:id="772" w:name="_Toc151193639"/>
      <w:bookmarkStart w:id="773" w:name="_Toc150774746"/>
      <w:bookmarkStart w:id="774" w:name="_Toc226309785"/>
      <w:bookmarkStart w:id="775" w:name="_Toc127151541"/>
      <w:bookmarkStart w:id="776" w:name="_Toc151193929"/>
      <w:bookmarkStart w:id="777" w:name="_Toc353825551"/>
      <w:bookmarkStart w:id="778" w:name="_Toc353873941"/>
      <w:r>
        <w:rPr>
          <w:rFonts w:hint="eastAsia" w:ascii="宋体" w:hAnsi="宋体" w:cs="宋体"/>
          <w:color w:val="auto"/>
          <w:sz w:val="24"/>
          <w:highlight w:val="none"/>
        </w:rPr>
        <w:t>投标文件的符合性审查</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14:paraId="60E037FB">
      <w:pPr>
        <w:numPr>
          <w:ilvl w:val="1"/>
          <w:numId w:val="12"/>
        </w:numPr>
        <w:tabs>
          <w:tab w:val="left" w:pos="1080"/>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评标委员会对资格审查合格的投标人的投标文件进行符合性审查，以确定其是否满足招标文件的实质性要求。</w:t>
      </w:r>
      <w:bookmarkStart w:id="779" w:name="_Toc520356167"/>
    </w:p>
    <w:p w14:paraId="75DD8FAD">
      <w:pPr>
        <w:numPr>
          <w:ilvl w:val="1"/>
          <w:numId w:val="12"/>
        </w:numPr>
        <w:tabs>
          <w:tab w:val="left" w:pos="1080"/>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79"/>
      <w:r>
        <w:rPr>
          <w:rFonts w:hint="eastAsia" w:ascii="宋体" w:hAnsi="宋体" w:cs="宋体"/>
          <w:color w:val="auto"/>
          <w:sz w:val="24"/>
          <w:highlight w:val="none"/>
        </w:rPr>
        <w:t>要求的，</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75A9AC59">
      <w:pPr>
        <w:tabs>
          <w:tab w:val="left" w:pos="900"/>
          <w:tab w:val="left" w:pos="1080"/>
          <w:tab w:val="left" w:pos="1589"/>
        </w:tabs>
        <w:snapToGrid w:val="0"/>
        <w:spacing w:line="360" w:lineRule="auto"/>
        <w:ind w:leftChars="-170" w:hanging="357" w:hangingChars="148"/>
        <w:jc w:val="center"/>
        <w:rPr>
          <w:rFonts w:ascii="宋体" w:hAnsi="宋体" w:cs="宋体"/>
          <w:b/>
          <w:color w:val="auto"/>
          <w:sz w:val="24"/>
          <w:highlight w:val="none"/>
        </w:rPr>
      </w:pPr>
      <w:r>
        <w:rPr>
          <w:rFonts w:hint="eastAsia" w:ascii="宋体" w:hAnsi="宋体" w:cs="宋体"/>
          <w:b/>
          <w:color w:val="auto"/>
          <w:sz w:val="24"/>
          <w:highlight w:val="none"/>
        </w:rPr>
        <w:t>符合性审查要求</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14:paraId="125B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14:paraId="4A59F461">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976" w:type="pct"/>
            <w:vAlign w:val="center"/>
          </w:tcPr>
          <w:p w14:paraId="1C67359A">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审查因素</w:t>
            </w:r>
          </w:p>
        </w:tc>
        <w:tc>
          <w:tcPr>
            <w:tcW w:w="3620" w:type="pct"/>
            <w:vAlign w:val="center"/>
          </w:tcPr>
          <w:p w14:paraId="70362CFD">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审查内容</w:t>
            </w:r>
          </w:p>
        </w:tc>
      </w:tr>
      <w:tr w14:paraId="6F85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960D42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976" w:type="pct"/>
            <w:vAlign w:val="center"/>
          </w:tcPr>
          <w:p w14:paraId="33FB002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授权委托书</w:t>
            </w:r>
          </w:p>
        </w:tc>
        <w:tc>
          <w:tcPr>
            <w:tcW w:w="3620" w:type="pct"/>
            <w:vAlign w:val="center"/>
          </w:tcPr>
          <w:p w14:paraId="4DC2411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按招标文件要求提供授权委托书；</w:t>
            </w:r>
          </w:p>
        </w:tc>
      </w:tr>
      <w:tr w14:paraId="60A3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8EC28B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976" w:type="pct"/>
            <w:vAlign w:val="center"/>
          </w:tcPr>
          <w:p w14:paraId="717C427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投标完整性</w:t>
            </w:r>
          </w:p>
        </w:tc>
        <w:tc>
          <w:tcPr>
            <w:tcW w:w="3620" w:type="pct"/>
            <w:vAlign w:val="center"/>
          </w:tcPr>
          <w:p w14:paraId="7003C334">
            <w:pPr>
              <w:widowControl/>
              <w:jc w:val="left"/>
              <w:rPr>
                <w:rFonts w:ascii="宋体" w:hAnsi="宋体" w:cs="宋体"/>
                <w:color w:val="auto"/>
                <w:kern w:val="0"/>
                <w:sz w:val="24"/>
                <w:highlight w:val="none"/>
              </w:rPr>
            </w:pPr>
            <w:r>
              <w:rPr>
                <w:rFonts w:hint="eastAsia" w:ascii="宋体" w:hAnsi="宋体" w:cs="宋体"/>
                <w:color w:val="auto"/>
                <w:sz w:val="24"/>
                <w:highlight w:val="none"/>
              </w:rPr>
              <w:t>未将一个采购包中的内容拆开投标；</w:t>
            </w:r>
          </w:p>
        </w:tc>
      </w:tr>
      <w:tr w14:paraId="19FF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FDD6AE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976" w:type="pct"/>
            <w:vAlign w:val="center"/>
          </w:tcPr>
          <w:p w14:paraId="17E5AA2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投标报价</w:t>
            </w:r>
          </w:p>
        </w:tc>
        <w:tc>
          <w:tcPr>
            <w:tcW w:w="3620" w:type="pct"/>
            <w:vAlign w:val="center"/>
          </w:tcPr>
          <w:p w14:paraId="65DFD00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投标报价未</w:t>
            </w:r>
            <w:r>
              <w:rPr>
                <w:rFonts w:hint="eastAsia" w:ascii="宋体" w:hAnsi="宋体" w:cs="宋体"/>
                <w:color w:val="auto"/>
                <w:sz w:val="24"/>
                <w:highlight w:val="none"/>
              </w:rPr>
              <w:t>超过招标文件中规定的项目/采购包预算金额或者项目/采购包最高限价</w:t>
            </w:r>
            <w:r>
              <w:rPr>
                <w:rFonts w:hint="eastAsia" w:ascii="宋体" w:hAnsi="宋体" w:cs="宋体"/>
                <w:color w:val="auto"/>
                <w:kern w:val="0"/>
                <w:sz w:val="24"/>
                <w:highlight w:val="none"/>
              </w:rPr>
              <w:t>；</w:t>
            </w:r>
          </w:p>
        </w:tc>
      </w:tr>
      <w:tr w14:paraId="34F5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25F6B8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976" w:type="pct"/>
            <w:vAlign w:val="center"/>
          </w:tcPr>
          <w:p w14:paraId="1B2DCC2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报价唯一性</w:t>
            </w:r>
          </w:p>
        </w:tc>
        <w:tc>
          <w:tcPr>
            <w:tcW w:w="3620" w:type="pct"/>
            <w:vAlign w:val="center"/>
          </w:tcPr>
          <w:p w14:paraId="06CB011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投标文件未</w:t>
            </w:r>
            <w:r>
              <w:rPr>
                <w:rFonts w:hint="eastAsia" w:ascii="宋体" w:hAnsi="宋体" w:cs="宋体"/>
                <w:color w:val="auto"/>
                <w:sz w:val="24"/>
                <w:highlight w:val="none"/>
              </w:rPr>
              <w:t>出现可选择性或可调整的报价（招标文件另有规定的除外）</w:t>
            </w:r>
            <w:r>
              <w:rPr>
                <w:rFonts w:hint="eastAsia" w:ascii="宋体" w:hAnsi="宋体" w:cs="宋体"/>
                <w:color w:val="auto"/>
                <w:kern w:val="0"/>
                <w:sz w:val="24"/>
                <w:highlight w:val="none"/>
              </w:rPr>
              <w:t>；</w:t>
            </w:r>
          </w:p>
        </w:tc>
      </w:tr>
      <w:tr w14:paraId="4F1D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3C5583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976" w:type="pct"/>
            <w:vAlign w:val="center"/>
          </w:tcPr>
          <w:p w14:paraId="2807BE1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投标有效期</w:t>
            </w:r>
          </w:p>
        </w:tc>
        <w:tc>
          <w:tcPr>
            <w:tcW w:w="3620" w:type="pct"/>
            <w:vAlign w:val="center"/>
          </w:tcPr>
          <w:p w14:paraId="237E18F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投标文件中承诺的投标有效期满足招标文件中载明的投标有效期的；</w:t>
            </w:r>
          </w:p>
        </w:tc>
      </w:tr>
      <w:tr w14:paraId="2497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35E38D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976" w:type="pct"/>
            <w:vAlign w:val="center"/>
          </w:tcPr>
          <w:p w14:paraId="611534C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实质性格式</w:t>
            </w:r>
          </w:p>
        </w:tc>
        <w:tc>
          <w:tcPr>
            <w:tcW w:w="3620" w:type="pct"/>
            <w:vAlign w:val="center"/>
          </w:tcPr>
          <w:p w14:paraId="3DA8A1F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标记为“实质性格式”的文件均按招标文件要求提供且签署、盖章的；</w:t>
            </w:r>
          </w:p>
        </w:tc>
      </w:tr>
      <w:tr w14:paraId="6C85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749777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976" w:type="pct"/>
            <w:vAlign w:val="center"/>
          </w:tcPr>
          <w:p w14:paraId="654BE47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★号条款响应</w:t>
            </w:r>
          </w:p>
        </w:tc>
        <w:tc>
          <w:tcPr>
            <w:tcW w:w="3620" w:type="pct"/>
            <w:vAlign w:val="center"/>
          </w:tcPr>
          <w:p w14:paraId="749C1A7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投标文件满足招标文件第五章《采购需求》中★号条款要求的；</w:t>
            </w:r>
          </w:p>
        </w:tc>
      </w:tr>
      <w:tr w14:paraId="08A6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03885D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976" w:type="pct"/>
            <w:vAlign w:val="center"/>
          </w:tcPr>
          <w:p w14:paraId="01EE8EBC">
            <w:pPr>
              <w:widowControl/>
              <w:jc w:val="left"/>
              <w:rPr>
                <w:rFonts w:ascii="宋体" w:hAnsi="宋体" w:cs="宋体"/>
                <w:color w:val="auto"/>
                <w:kern w:val="0"/>
                <w:sz w:val="24"/>
                <w:highlight w:val="none"/>
              </w:rPr>
            </w:pPr>
            <w:r>
              <w:rPr>
                <w:rFonts w:hint="eastAsia" w:ascii="宋体" w:hAnsi="宋体" w:cs="宋体"/>
                <w:color w:val="auto"/>
                <w:spacing w:val="-2"/>
                <w:sz w:val="24"/>
                <w:highlight w:val="none"/>
              </w:rPr>
              <w:t>报价合理性</w:t>
            </w:r>
          </w:p>
        </w:tc>
        <w:tc>
          <w:tcPr>
            <w:tcW w:w="3620" w:type="pct"/>
            <w:vAlign w:val="center"/>
          </w:tcPr>
          <w:p w14:paraId="613F49C8">
            <w:pPr>
              <w:widowControl/>
              <w:jc w:val="left"/>
              <w:rPr>
                <w:rFonts w:ascii="宋体" w:hAnsi="宋体" w:cs="宋体"/>
                <w:color w:val="auto"/>
                <w:kern w:val="0"/>
                <w:sz w:val="24"/>
                <w:highlight w:val="none"/>
              </w:rPr>
            </w:pPr>
            <w:r>
              <w:rPr>
                <w:rFonts w:hint="eastAsia" w:ascii="宋体" w:hAnsi="宋体" w:cs="宋体"/>
                <w:color w:val="auto"/>
                <w:spacing w:val="-1"/>
                <w:sz w:val="24"/>
                <w:highlight w:val="none"/>
              </w:rPr>
              <w:t>报价合理，或投标人的报价明显低于其他通过符合性审查投标人的报价，有可能影响产品质量或者不能诚信履约的，能够应</w:t>
            </w:r>
            <w:r>
              <w:rPr>
                <w:rFonts w:hint="eastAsia" w:ascii="宋体" w:hAnsi="宋体" w:cs="宋体"/>
                <w:color w:val="auto"/>
                <w:spacing w:val="-3"/>
                <w:sz w:val="24"/>
                <w:highlight w:val="none"/>
              </w:rPr>
              <w:t>评标委员会要求在规定时间内证明其报价合理性的；</w:t>
            </w:r>
          </w:p>
        </w:tc>
      </w:tr>
      <w:tr w14:paraId="23F4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1AF4E4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976" w:type="pct"/>
            <w:vAlign w:val="center"/>
          </w:tcPr>
          <w:p w14:paraId="2D6FD7EF">
            <w:pPr>
              <w:pStyle w:val="258"/>
              <w:spacing w:line="271" w:lineRule="auto"/>
              <w:rPr>
                <w:rFonts w:ascii="宋体" w:hAnsi="宋体" w:eastAsia="宋体" w:cs="宋体"/>
                <w:color w:val="auto"/>
                <w:highlight w:val="none"/>
                <w:lang w:eastAsia="zh-CN"/>
              </w:rPr>
            </w:pPr>
            <w:r>
              <w:rPr>
                <w:rFonts w:hint="eastAsia" w:ascii="宋体" w:hAnsi="宋体" w:eastAsia="宋体" w:cs="宋体"/>
                <w:color w:val="auto"/>
                <w:spacing w:val="-6"/>
                <w:sz w:val="24"/>
                <w:szCs w:val="24"/>
                <w:highlight w:val="none"/>
                <w:lang w:eastAsia="zh-CN"/>
              </w:rPr>
              <w:t>国家有关部门</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对投标人的投</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标产品有强制</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性规定或要求</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z w:val="24"/>
                <w:szCs w:val="24"/>
                <w:highlight w:val="none"/>
                <w:lang w:eastAsia="zh-CN"/>
              </w:rPr>
              <w:t>的</w:t>
            </w:r>
          </w:p>
        </w:tc>
        <w:tc>
          <w:tcPr>
            <w:tcW w:w="3620" w:type="pct"/>
          </w:tcPr>
          <w:p w14:paraId="08385C8F">
            <w:pPr>
              <w:spacing w:before="36" w:line="215" w:lineRule="auto"/>
              <w:ind w:right="136"/>
              <w:rPr>
                <w:rFonts w:ascii="宋体" w:hAnsi="宋体" w:cs="宋体"/>
                <w:color w:val="auto"/>
                <w:spacing w:val="-1"/>
                <w:sz w:val="24"/>
                <w:highlight w:val="none"/>
              </w:rPr>
            </w:pPr>
            <w:r>
              <w:rPr>
                <w:rFonts w:hint="eastAsia" w:ascii="宋体" w:hAnsi="宋体" w:cs="宋体"/>
                <w:color w:val="auto"/>
                <w:spacing w:val="-1"/>
                <w:sz w:val="24"/>
                <w:highlight w:val="none"/>
              </w:rPr>
              <w:t>国家有关部门对投标人的投标产品有强制性规定或要求的（如相应技术、安全、节能和环保等），投标人的投标产品应符合相应规定或要求，并提供证明文件电子件：</w:t>
            </w:r>
          </w:p>
          <w:p w14:paraId="32B4A392">
            <w:pPr>
              <w:pStyle w:val="258"/>
              <w:spacing w:before="1" w:line="232" w:lineRule="auto"/>
              <w:ind w:right="136"/>
              <w:jc w:val="both"/>
              <w:rPr>
                <w:rFonts w:ascii="宋体" w:hAnsi="宋体" w:eastAsia="宋体" w:cs="宋体"/>
                <w:snapToGrid/>
                <w:color w:val="auto"/>
                <w:spacing w:val="-1"/>
                <w:kern w:val="2"/>
                <w:sz w:val="24"/>
                <w:szCs w:val="24"/>
                <w:highlight w:val="none"/>
                <w:lang w:eastAsia="zh-CN"/>
              </w:rPr>
            </w:pPr>
            <w:r>
              <w:rPr>
                <w:rFonts w:hint="eastAsia" w:ascii="宋体" w:hAnsi="宋体" w:eastAsia="宋体" w:cs="宋体"/>
                <w:snapToGrid/>
                <w:color w:val="auto"/>
                <w:spacing w:val="-1"/>
                <w:kern w:val="2"/>
                <w:sz w:val="24"/>
                <w:szCs w:val="24"/>
                <w:highlight w:val="none"/>
                <w:lang w:eastAsia="zh-CN"/>
              </w:rPr>
              <w:t>1）采购的产品若属于《节能产品政府采购品目清单》范围中  政府强制采购产品，则投标人所报产品必须获得国家确定的认证机构出具的、处于有效期之内的节能产品认证证书；</w:t>
            </w:r>
          </w:p>
          <w:p w14:paraId="2063F92A">
            <w:pPr>
              <w:pStyle w:val="258"/>
              <w:spacing w:before="27" w:line="236" w:lineRule="auto"/>
              <w:ind w:right="121"/>
              <w:rPr>
                <w:rFonts w:ascii="宋体" w:hAnsi="宋体" w:eastAsia="宋体" w:cs="宋体"/>
                <w:snapToGrid/>
                <w:color w:val="auto"/>
                <w:spacing w:val="-1"/>
                <w:kern w:val="2"/>
                <w:sz w:val="24"/>
                <w:szCs w:val="24"/>
                <w:highlight w:val="none"/>
                <w:lang w:eastAsia="zh-CN"/>
              </w:rPr>
            </w:pPr>
            <w:r>
              <w:rPr>
                <w:rFonts w:hint="eastAsia" w:ascii="宋体" w:hAnsi="宋体" w:eastAsia="宋体" w:cs="宋体"/>
                <w:snapToGrid/>
                <w:color w:val="auto"/>
                <w:spacing w:val="-1"/>
                <w:kern w:val="2"/>
                <w:sz w:val="24"/>
                <w:szCs w:val="24"/>
                <w:highlight w:val="none"/>
                <w:lang w:eastAsia="zh-CN"/>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29DF39D7">
            <w:pPr>
              <w:widowControl/>
              <w:rPr>
                <w:rFonts w:ascii="宋体" w:hAnsi="宋体" w:cs="宋体"/>
                <w:color w:val="auto"/>
                <w:spacing w:val="-1"/>
                <w:sz w:val="24"/>
                <w:highlight w:val="none"/>
              </w:rPr>
            </w:pPr>
            <w:r>
              <w:rPr>
                <w:rFonts w:hint="eastAsia" w:ascii="宋体" w:hAnsi="宋体" w:cs="宋体"/>
                <w:color w:val="auto"/>
                <w:spacing w:val="-1"/>
                <w:sz w:val="24"/>
                <w:highlight w:val="none"/>
              </w:rPr>
              <w:t>3）国家有特殊信息安全要求的项目，采购产品涉及无线局域  网产品和含有无线局域网功能的计算机、通信设备、打印机、  复印机、投影仪等产品的，投标产品须为符合国家无线局域网 安全标准（GB 15629.11/1102）并通过国家产品认证的产品； 4）项目中涉及涂料、胶黏剂、油墨、清洗剂等挥发性有机物  产品，且属于强制性标准的，供应商应执行符合本市和国家的 VOCs  含量限制标准。</w:t>
            </w:r>
          </w:p>
        </w:tc>
      </w:tr>
      <w:tr w14:paraId="520E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BB6896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976" w:type="pct"/>
            <w:vAlign w:val="center"/>
          </w:tcPr>
          <w:p w14:paraId="521992D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公平竞争</w:t>
            </w:r>
          </w:p>
        </w:tc>
        <w:tc>
          <w:tcPr>
            <w:tcW w:w="3620" w:type="pct"/>
            <w:vAlign w:val="center"/>
          </w:tcPr>
          <w:p w14:paraId="092B9C76">
            <w:pPr>
              <w:widowControl/>
              <w:jc w:val="left"/>
              <w:rPr>
                <w:rFonts w:ascii="宋体" w:hAnsi="宋体" w:cs="宋体"/>
                <w:color w:val="auto"/>
                <w:kern w:val="0"/>
                <w:sz w:val="24"/>
                <w:highlight w:val="none"/>
              </w:rPr>
            </w:pPr>
            <w:r>
              <w:rPr>
                <w:rFonts w:hint="eastAsia" w:ascii="宋体" w:hAnsi="宋体" w:cs="宋体"/>
                <w:color w:val="auto"/>
                <w:sz w:val="24"/>
                <w:highlight w:val="none"/>
              </w:rPr>
              <w:t xml:space="preserve">投标人遵循公平竞争的原则，不存在恶意串通，妨碍其他投标人的竞争行为，不存在损害采购人或者其他投标人的合法权益情形的； </w:t>
            </w:r>
          </w:p>
        </w:tc>
      </w:tr>
      <w:tr w14:paraId="37AD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40EF4F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976" w:type="pct"/>
            <w:vAlign w:val="center"/>
          </w:tcPr>
          <w:p w14:paraId="46CBA9C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串通投标</w:t>
            </w:r>
          </w:p>
        </w:tc>
        <w:tc>
          <w:tcPr>
            <w:tcW w:w="3620" w:type="pct"/>
            <w:vAlign w:val="center"/>
          </w:tcPr>
          <w:p w14:paraId="109B8CCE">
            <w:pPr>
              <w:widowControl/>
              <w:jc w:val="left"/>
              <w:rPr>
                <w:rFonts w:ascii="宋体" w:hAnsi="宋体" w:cs="宋体"/>
                <w:color w:val="auto"/>
                <w:kern w:val="0"/>
                <w:sz w:val="24"/>
                <w:highlight w:val="none"/>
              </w:rPr>
            </w:pPr>
            <w:r>
              <w:rPr>
                <w:rFonts w:hint="eastAsia" w:ascii="宋体" w:hAnsi="宋体" w:cs="宋体"/>
                <w:color w:val="auto"/>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61B7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44A7A0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976" w:type="pct"/>
            <w:vAlign w:val="center"/>
          </w:tcPr>
          <w:p w14:paraId="3FCB3F7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附加条件</w:t>
            </w:r>
          </w:p>
        </w:tc>
        <w:tc>
          <w:tcPr>
            <w:tcW w:w="3620" w:type="pct"/>
            <w:vAlign w:val="center"/>
          </w:tcPr>
          <w:p w14:paraId="75777A5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投标文件未含有采购人不能接受的附加条件的；</w:t>
            </w:r>
          </w:p>
        </w:tc>
      </w:tr>
      <w:tr w14:paraId="3F2C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72C5F3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976" w:type="pct"/>
            <w:vAlign w:val="center"/>
          </w:tcPr>
          <w:p w14:paraId="6451292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其他无效情形</w:t>
            </w:r>
          </w:p>
        </w:tc>
        <w:tc>
          <w:tcPr>
            <w:tcW w:w="3620" w:type="pct"/>
            <w:vAlign w:val="center"/>
          </w:tcPr>
          <w:p w14:paraId="542A32B7">
            <w:pPr>
              <w:widowControl/>
              <w:jc w:val="left"/>
              <w:rPr>
                <w:rFonts w:ascii="宋体" w:hAnsi="宋体" w:cs="宋体"/>
                <w:color w:val="auto"/>
                <w:kern w:val="0"/>
                <w:sz w:val="24"/>
                <w:highlight w:val="none"/>
              </w:rPr>
            </w:pPr>
            <w:r>
              <w:rPr>
                <w:rFonts w:hint="eastAsia" w:ascii="宋体" w:hAnsi="宋体" w:cs="宋体"/>
                <w:color w:val="auto"/>
                <w:sz w:val="24"/>
                <w:highlight w:val="none"/>
              </w:rPr>
              <w:t>投标人、投标文件不存在不符合法律、法规和招标文件规定的其他无效情形。</w:t>
            </w:r>
          </w:p>
        </w:tc>
      </w:tr>
    </w:tbl>
    <w:p w14:paraId="26B7F04B">
      <w:pPr>
        <w:tabs>
          <w:tab w:val="left" w:pos="1080"/>
          <w:tab w:val="left" w:pos="1589"/>
        </w:tabs>
        <w:snapToGrid w:val="0"/>
        <w:spacing w:line="360" w:lineRule="auto"/>
        <w:rPr>
          <w:rFonts w:ascii="宋体" w:hAnsi="宋体" w:cs="宋体"/>
          <w:color w:val="auto"/>
          <w:sz w:val="24"/>
          <w:highlight w:val="none"/>
        </w:rPr>
      </w:pPr>
    </w:p>
    <w:p w14:paraId="6847EE60">
      <w:pPr>
        <w:numPr>
          <w:ilvl w:val="0"/>
          <w:numId w:val="12"/>
        </w:numPr>
        <w:tabs>
          <w:tab w:val="left" w:pos="360"/>
        </w:tabs>
        <w:snapToGrid w:val="0"/>
        <w:spacing w:line="360" w:lineRule="auto"/>
        <w:outlineLvl w:val="1"/>
        <w:rPr>
          <w:rFonts w:ascii="宋体" w:hAnsi="宋体" w:cs="宋体"/>
          <w:color w:val="auto"/>
          <w:sz w:val="24"/>
          <w:highlight w:val="none"/>
        </w:rPr>
      </w:pPr>
      <w:r>
        <w:rPr>
          <w:rFonts w:hint="eastAsia" w:ascii="宋体" w:hAnsi="宋体" w:cs="宋体"/>
          <w:color w:val="auto"/>
          <w:sz w:val="24"/>
          <w:highlight w:val="none"/>
        </w:rPr>
        <w:t>投标文件有关事项的澄清或者说明</w:t>
      </w:r>
    </w:p>
    <w:p w14:paraId="5D81E678">
      <w:pPr>
        <w:numPr>
          <w:ilvl w:val="1"/>
          <w:numId w:val="12"/>
        </w:numPr>
        <w:tabs>
          <w:tab w:val="left" w:pos="1080"/>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646144F2">
      <w:pPr>
        <w:numPr>
          <w:ilvl w:val="1"/>
          <w:numId w:val="12"/>
        </w:numPr>
        <w:tabs>
          <w:tab w:val="left" w:pos="1080"/>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color w:val="auto"/>
          <w:sz w:val="24"/>
          <w:highlight w:val="none"/>
        </w:rPr>
        <w:t>无效投标处理</w:t>
      </w:r>
      <w:r>
        <w:rPr>
          <w:rFonts w:hint="eastAsia" w:ascii="宋体" w:hAnsi="宋体" w:cs="宋体"/>
          <w:color w:val="auto"/>
          <w:sz w:val="24"/>
          <w:highlight w:val="none"/>
        </w:rPr>
        <w:t>。</w:t>
      </w:r>
    </w:p>
    <w:p w14:paraId="500D2CDA">
      <w:pPr>
        <w:numPr>
          <w:ilvl w:val="1"/>
          <w:numId w:val="12"/>
        </w:numPr>
        <w:tabs>
          <w:tab w:val="left" w:pos="1080"/>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4F4C83E9">
      <w:pPr>
        <w:numPr>
          <w:ilvl w:val="1"/>
          <w:numId w:val="12"/>
        </w:numPr>
        <w:tabs>
          <w:tab w:val="left" w:pos="1080"/>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投标文件报价出现前后不一致的，按照下列规定修正：</w:t>
      </w:r>
    </w:p>
    <w:p w14:paraId="08BCD2A2">
      <w:pPr>
        <w:numPr>
          <w:ilvl w:val="2"/>
          <w:numId w:val="12"/>
        </w:numPr>
        <w:tabs>
          <w:tab w:val="left" w:pos="1080"/>
          <w:tab w:val="left" w:pos="1589"/>
          <w:tab w:val="left" w:pos="2035"/>
          <w:tab w:val="left" w:pos="2114"/>
        </w:tabs>
        <w:snapToGrid w:val="0"/>
        <w:spacing w:line="360" w:lineRule="auto"/>
        <w:ind w:left="2035"/>
        <w:rPr>
          <w:rFonts w:ascii="宋体" w:hAnsi="宋体" w:cs="宋体"/>
          <w:color w:val="auto"/>
          <w:sz w:val="24"/>
          <w:highlight w:val="none"/>
        </w:rPr>
      </w:pPr>
      <w:r>
        <w:rPr>
          <w:rFonts w:hint="eastAsia" w:ascii="宋体" w:hAnsi="宋体" w:cs="宋体"/>
          <w:color w:val="auto"/>
          <w:sz w:val="24"/>
          <w:highlight w:val="none"/>
        </w:rPr>
        <w:t>招标文件对于报价修正是否另有规定：</w:t>
      </w:r>
    </w:p>
    <w:p w14:paraId="10EB7A6D">
      <w:pPr>
        <w:tabs>
          <w:tab w:val="left" w:pos="1080"/>
          <w:tab w:val="left" w:pos="1589"/>
          <w:tab w:val="left" w:pos="2035"/>
          <w:tab w:val="left" w:pos="2114"/>
        </w:tabs>
        <w:snapToGrid w:val="0"/>
        <w:spacing w:line="360" w:lineRule="auto"/>
        <w:ind w:left="2035"/>
        <w:rPr>
          <w:rFonts w:ascii="宋体" w:hAnsi="宋体" w:cs="宋体"/>
          <w:color w:val="auto"/>
          <w:sz w:val="24"/>
          <w:highlight w:val="none"/>
          <w:u w:val="single"/>
        </w:rPr>
      </w:pPr>
      <w:r>
        <w:rPr>
          <w:rFonts w:hint="eastAsia" w:ascii="宋体" w:hAnsi="宋体" w:cs="宋体"/>
          <w:color w:val="auto"/>
          <w:sz w:val="24"/>
          <w:highlight w:val="none"/>
        </w:rPr>
        <w:t>□有，具体规定为：______________</w:t>
      </w:r>
    </w:p>
    <w:p w14:paraId="0ECD89C5">
      <w:pPr>
        <w:tabs>
          <w:tab w:val="left" w:pos="1080"/>
          <w:tab w:val="left" w:pos="1589"/>
          <w:tab w:val="left" w:pos="2035"/>
          <w:tab w:val="left" w:pos="2114"/>
        </w:tabs>
        <w:snapToGrid w:val="0"/>
        <w:spacing w:line="360" w:lineRule="auto"/>
        <w:ind w:left="2035"/>
        <w:rPr>
          <w:rFonts w:ascii="宋体" w:hAnsi="宋体" w:cs="宋体"/>
          <w:color w:val="auto"/>
          <w:sz w:val="24"/>
          <w:highlight w:val="none"/>
        </w:rPr>
      </w:pPr>
      <w:r>
        <w:rPr>
          <w:rFonts w:hint="eastAsia" w:ascii="宋体" w:hAnsi="宋体" w:cs="宋体"/>
          <w:color w:val="auto"/>
          <w:sz w:val="32"/>
          <w:szCs w:val="32"/>
          <w:highlight w:val="none"/>
        </w:rPr>
        <w:t>■</w:t>
      </w:r>
      <w:r>
        <w:rPr>
          <w:rFonts w:hint="eastAsia" w:ascii="宋体" w:hAnsi="宋体" w:cs="宋体"/>
          <w:color w:val="auto"/>
          <w:sz w:val="24"/>
          <w:highlight w:val="none"/>
        </w:rPr>
        <w:t>无，按下述2.4.2-2.4.7项规定修正。</w:t>
      </w:r>
    </w:p>
    <w:p w14:paraId="48F6DA18">
      <w:pPr>
        <w:numPr>
          <w:ilvl w:val="2"/>
          <w:numId w:val="12"/>
        </w:numPr>
        <w:tabs>
          <w:tab w:val="left" w:pos="2035"/>
          <w:tab w:val="left" w:pos="2114"/>
          <w:tab w:val="left" w:pos="2977"/>
        </w:tabs>
        <w:snapToGrid w:val="0"/>
        <w:spacing w:line="360" w:lineRule="auto"/>
        <w:ind w:left="2035"/>
        <w:rPr>
          <w:rFonts w:ascii="宋体" w:hAnsi="宋体" w:cs="宋体"/>
          <w:color w:val="auto"/>
          <w:sz w:val="24"/>
          <w:highlight w:val="none"/>
        </w:rPr>
      </w:pPr>
      <w:r>
        <w:rPr>
          <w:rFonts w:hint="eastAsia" w:ascii="宋体" w:hAnsi="宋体" w:cs="宋体"/>
          <w:color w:val="auto"/>
          <w:sz w:val="24"/>
          <w:highlight w:val="none"/>
        </w:rPr>
        <w:t>单独递交的开标一览表（报价表）与投标文件中开标一览表（报价表）内容不一致的，以单独递交的开标一览表（报价表）为准；</w:t>
      </w:r>
    </w:p>
    <w:p w14:paraId="7D314EE1">
      <w:pPr>
        <w:numPr>
          <w:ilvl w:val="2"/>
          <w:numId w:val="12"/>
        </w:numPr>
        <w:tabs>
          <w:tab w:val="left" w:pos="2035"/>
          <w:tab w:val="left" w:pos="2114"/>
          <w:tab w:val="left" w:pos="2977"/>
        </w:tabs>
        <w:snapToGrid w:val="0"/>
        <w:spacing w:line="360" w:lineRule="auto"/>
        <w:ind w:left="2035"/>
        <w:rPr>
          <w:rFonts w:ascii="宋体" w:hAnsi="宋体" w:cs="宋体"/>
          <w:color w:val="auto"/>
          <w:sz w:val="24"/>
          <w:highlight w:val="none"/>
        </w:rPr>
      </w:pPr>
      <w:r>
        <w:rPr>
          <w:rFonts w:hint="eastAsia" w:ascii="宋体" w:hAnsi="宋体" w:cs="宋体"/>
          <w:color w:val="auto"/>
          <w:sz w:val="24"/>
          <w:highlight w:val="none"/>
        </w:rPr>
        <w:t>投标文件中开标一览表（报价表）内容与投标文件中相应内容不一致的，以开标一览表（报价表）为准；</w:t>
      </w:r>
    </w:p>
    <w:p w14:paraId="4A16B077">
      <w:pPr>
        <w:numPr>
          <w:ilvl w:val="2"/>
          <w:numId w:val="12"/>
        </w:numPr>
        <w:tabs>
          <w:tab w:val="left" w:pos="2035"/>
          <w:tab w:val="left" w:pos="2114"/>
          <w:tab w:val="left" w:pos="2977"/>
        </w:tabs>
        <w:snapToGrid w:val="0"/>
        <w:spacing w:line="360" w:lineRule="auto"/>
        <w:ind w:left="2035"/>
        <w:rPr>
          <w:rFonts w:ascii="宋体" w:hAnsi="宋体" w:cs="宋体"/>
          <w:color w:val="auto"/>
          <w:sz w:val="24"/>
          <w:highlight w:val="none"/>
        </w:rPr>
      </w:pPr>
      <w:r>
        <w:rPr>
          <w:rFonts w:hint="eastAsia" w:ascii="宋体" w:hAnsi="宋体" w:cs="宋体"/>
          <w:color w:val="auto"/>
          <w:sz w:val="24"/>
          <w:highlight w:val="none"/>
        </w:rPr>
        <w:t>大写金额和小写金额不一致的，以大写金额为准；</w:t>
      </w:r>
    </w:p>
    <w:p w14:paraId="0FA05CDF">
      <w:pPr>
        <w:numPr>
          <w:ilvl w:val="2"/>
          <w:numId w:val="12"/>
        </w:numPr>
        <w:tabs>
          <w:tab w:val="left" w:pos="2035"/>
          <w:tab w:val="left" w:pos="2114"/>
          <w:tab w:val="left" w:pos="2977"/>
        </w:tabs>
        <w:snapToGrid w:val="0"/>
        <w:spacing w:line="360" w:lineRule="auto"/>
        <w:ind w:left="2035"/>
        <w:rPr>
          <w:rFonts w:ascii="宋体" w:hAnsi="宋体" w:cs="宋体"/>
          <w:color w:val="auto"/>
          <w:sz w:val="24"/>
          <w:highlight w:val="none"/>
        </w:rPr>
      </w:pPr>
      <w:r>
        <w:rPr>
          <w:rFonts w:hint="eastAsia" w:ascii="宋体" w:hAnsi="宋体" w:cs="宋体"/>
          <w:color w:val="auto"/>
          <w:sz w:val="24"/>
          <w:highlight w:val="none"/>
        </w:rPr>
        <w:t>单价金额小数点或者百分比有明显错位的，以开标一览表的总价为准，并修改单价；</w:t>
      </w:r>
    </w:p>
    <w:p w14:paraId="155FA56F">
      <w:pPr>
        <w:numPr>
          <w:ilvl w:val="2"/>
          <w:numId w:val="12"/>
        </w:numPr>
        <w:tabs>
          <w:tab w:val="left" w:pos="2035"/>
          <w:tab w:val="left" w:pos="2114"/>
          <w:tab w:val="left" w:pos="2977"/>
        </w:tabs>
        <w:snapToGrid w:val="0"/>
        <w:spacing w:line="360" w:lineRule="auto"/>
        <w:ind w:left="2035"/>
        <w:rPr>
          <w:rFonts w:ascii="宋体" w:hAnsi="宋体" w:cs="宋体"/>
          <w:color w:val="auto"/>
          <w:sz w:val="24"/>
          <w:highlight w:val="none"/>
        </w:rPr>
      </w:pPr>
      <w:r>
        <w:rPr>
          <w:rFonts w:hint="eastAsia" w:ascii="宋体" w:hAnsi="宋体" w:cs="宋体"/>
          <w:color w:val="auto"/>
          <w:sz w:val="24"/>
          <w:highlight w:val="none"/>
        </w:rPr>
        <w:t>总价金额与按单价汇总金额不一致的，以单价金额计算结果为准。</w:t>
      </w:r>
    </w:p>
    <w:p w14:paraId="71639C35">
      <w:pPr>
        <w:numPr>
          <w:ilvl w:val="2"/>
          <w:numId w:val="12"/>
        </w:numPr>
        <w:tabs>
          <w:tab w:val="left" w:pos="1080"/>
          <w:tab w:val="left" w:pos="1589"/>
          <w:tab w:val="left" w:pos="2035"/>
          <w:tab w:val="left" w:pos="2114"/>
        </w:tabs>
        <w:snapToGrid w:val="0"/>
        <w:spacing w:line="360" w:lineRule="auto"/>
        <w:ind w:left="2035"/>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同时出现两种以上不一致的，按照前款规定的顺序修正。修正后的报价经投标人书面确认后产生约束力，投标人不确认的，其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10CA19A4">
      <w:pPr>
        <w:numPr>
          <w:ilvl w:val="1"/>
          <w:numId w:val="12"/>
        </w:numPr>
        <w:tabs>
          <w:tab w:val="left" w:pos="1080"/>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落实政府采购政策的价格调整：只有符合第二章《投标人须知》5.2条规定情形的，可以享受中小企业扶持政策，用扣除后的价格参加评审；否则，评标时价格不予扣除。</w:t>
      </w:r>
    </w:p>
    <w:p w14:paraId="18493E67">
      <w:pPr>
        <w:numPr>
          <w:ilvl w:val="2"/>
          <w:numId w:val="12"/>
        </w:numPr>
        <w:tabs>
          <w:tab w:val="left" w:pos="1080"/>
          <w:tab w:val="left" w:pos="1589"/>
          <w:tab w:val="left" w:pos="2035"/>
        </w:tabs>
        <w:snapToGrid w:val="0"/>
        <w:spacing w:line="360" w:lineRule="auto"/>
        <w:ind w:left="2035"/>
        <w:rPr>
          <w:rFonts w:ascii="宋体" w:hAnsi="宋体" w:cs="宋体"/>
          <w:color w:val="auto"/>
          <w:sz w:val="24"/>
          <w:highlight w:val="none"/>
        </w:rPr>
      </w:pPr>
      <w:r>
        <w:rPr>
          <w:rFonts w:hint="eastAsia" w:ascii="宋体" w:hAnsi="宋体" w:cs="宋体"/>
          <w:color w:val="auto"/>
          <w:sz w:val="24"/>
          <w:highlight w:val="none"/>
        </w:rPr>
        <w:t>对于未预留份额专门面向中小企业采购的采购项目，以及预留份额项目中的非预留部分采购包，对小微企业报价给予</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的扣除，用扣除后的价格参加评审。</w:t>
      </w:r>
    </w:p>
    <w:p w14:paraId="00F8F378">
      <w:pPr>
        <w:numPr>
          <w:ilvl w:val="2"/>
          <w:numId w:val="12"/>
        </w:numPr>
        <w:tabs>
          <w:tab w:val="left" w:pos="1080"/>
          <w:tab w:val="left" w:pos="1589"/>
          <w:tab w:val="left" w:pos="2035"/>
        </w:tabs>
        <w:snapToGrid w:val="0"/>
        <w:spacing w:line="360" w:lineRule="auto"/>
        <w:ind w:left="2035"/>
        <w:rPr>
          <w:rFonts w:ascii="宋体" w:hAnsi="宋体" w:cs="宋体"/>
          <w:color w:val="auto"/>
          <w:sz w:val="24"/>
          <w:highlight w:val="none"/>
        </w:rPr>
      </w:pPr>
      <w:r>
        <w:rPr>
          <w:rFonts w:hint="eastAsia" w:ascii="宋体" w:hAnsi="宋体" w:cs="宋体"/>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的扣除，用扣除后的价格参加评审。</w:t>
      </w:r>
    </w:p>
    <w:p w14:paraId="4D9C7444">
      <w:pPr>
        <w:numPr>
          <w:ilvl w:val="2"/>
          <w:numId w:val="12"/>
        </w:numPr>
        <w:tabs>
          <w:tab w:val="left" w:pos="1080"/>
          <w:tab w:val="left" w:pos="1589"/>
          <w:tab w:val="left" w:pos="2035"/>
        </w:tabs>
        <w:snapToGrid w:val="0"/>
        <w:spacing w:line="360" w:lineRule="auto"/>
        <w:ind w:left="2035"/>
        <w:rPr>
          <w:rFonts w:ascii="宋体" w:hAnsi="宋体" w:cs="宋体"/>
          <w:color w:val="auto"/>
          <w:sz w:val="24"/>
          <w:highlight w:val="none"/>
        </w:rPr>
      </w:pPr>
      <w:r>
        <w:rPr>
          <w:rFonts w:hint="eastAsia" w:ascii="宋体" w:hAnsi="宋体" w:cs="宋体"/>
          <w:color w:val="auto"/>
          <w:sz w:val="24"/>
          <w:highlight w:val="none"/>
        </w:rPr>
        <w:t>组成联合体或者接受分包的小微企业与联合体内其他企业、分包企业之间存在直接控股、管理关系的，不享受价格扣除优惠政策。</w:t>
      </w:r>
    </w:p>
    <w:p w14:paraId="718F5CAA">
      <w:pPr>
        <w:numPr>
          <w:ilvl w:val="2"/>
          <w:numId w:val="12"/>
        </w:numPr>
        <w:tabs>
          <w:tab w:val="left" w:pos="1080"/>
          <w:tab w:val="left" w:pos="1589"/>
          <w:tab w:val="left" w:pos="2035"/>
        </w:tabs>
        <w:snapToGrid w:val="0"/>
        <w:spacing w:line="360" w:lineRule="auto"/>
        <w:ind w:left="2035"/>
        <w:rPr>
          <w:rFonts w:ascii="宋体" w:hAnsi="宋体" w:cs="宋体"/>
          <w:color w:val="auto"/>
          <w:sz w:val="24"/>
          <w:highlight w:val="none"/>
        </w:rPr>
      </w:pPr>
      <w:r>
        <w:rPr>
          <w:rFonts w:hint="eastAsia" w:ascii="宋体" w:hAnsi="宋体" w:cs="宋体"/>
          <w:color w:val="auto"/>
          <w:sz w:val="24"/>
          <w:highlight w:val="none"/>
        </w:rPr>
        <w:t>价格扣除比例对小型企业和微型企业同等对待，不作区分。</w:t>
      </w:r>
    </w:p>
    <w:p w14:paraId="5CA5ABB6">
      <w:pPr>
        <w:numPr>
          <w:ilvl w:val="2"/>
          <w:numId w:val="12"/>
        </w:numPr>
        <w:tabs>
          <w:tab w:val="left" w:pos="1080"/>
          <w:tab w:val="left" w:pos="1589"/>
          <w:tab w:val="left" w:pos="2035"/>
        </w:tabs>
        <w:snapToGrid w:val="0"/>
        <w:spacing w:line="360" w:lineRule="auto"/>
        <w:ind w:left="2035"/>
        <w:rPr>
          <w:rFonts w:ascii="宋体" w:hAnsi="宋体" w:cs="宋体"/>
          <w:color w:val="auto"/>
          <w:sz w:val="24"/>
          <w:highlight w:val="none"/>
        </w:rPr>
      </w:pPr>
      <w:r>
        <w:rPr>
          <w:rFonts w:hint="eastAsia" w:ascii="宋体" w:hAnsi="宋体" w:cs="宋体"/>
          <w:color w:val="auto"/>
          <w:sz w:val="24"/>
          <w:highlight w:val="none"/>
        </w:rPr>
        <w:t>中小企业参加政府采购活动，应当按照招标文件给定的格式出具《中小企业声明函》，否则不得享受相关中小企业扶持政策。</w:t>
      </w:r>
    </w:p>
    <w:p w14:paraId="5DD7A174">
      <w:pPr>
        <w:numPr>
          <w:ilvl w:val="2"/>
          <w:numId w:val="12"/>
        </w:numPr>
        <w:tabs>
          <w:tab w:val="left" w:pos="1080"/>
          <w:tab w:val="left" w:pos="1589"/>
          <w:tab w:val="left" w:pos="2035"/>
        </w:tabs>
        <w:snapToGrid w:val="0"/>
        <w:spacing w:line="360" w:lineRule="auto"/>
        <w:ind w:left="2035"/>
        <w:rPr>
          <w:rFonts w:ascii="宋体" w:hAnsi="宋体" w:cs="宋体"/>
          <w:color w:val="auto"/>
          <w:sz w:val="24"/>
          <w:highlight w:val="none"/>
        </w:rPr>
      </w:pPr>
      <w:r>
        <w:rPr>
          <w:rFonts w:hint="eastAsia" w:ascii="宋体" w:hAnsi="宋体" w:cs="宋体"/>
          <w:color w:val="auto"/>
          <w:sz w:val="24"/>
          <w:highlight w:val="none"/>
        </w:rPr>
        <w:t>监狱企业提供了由省级以上监狱管理局、戒毒管理局（含新疆生产建设兵团）出具的属于监狱企业的证明文件的，视同小微企业。</w:t>
      </w:r>
    </w:p>
    <w:p w14:paraId="39C0EEA1">
      <w:pPr>
        <w:numPr>
          <w:ilvl w:val="2"/>
          <w:numId w:val="12"/>
        </w:numPr>
        <w:tabs>
          <w:tab w:val="left" w:pos="1080"/>
          <w:tab w:val="left" w:pos="1589"/>
          <w:tab w:val="left" w:pos="2035"/>
        </w:tabs>
        <w:snapToGrid w:val="0"/>
        <w:spacing w:line="360" w:lineRule="auto"/>
        <w:ind w:left="2035"/>
        <w:rPr>
          <w:rFonts w:ascii="宋体" w:hAnsi="宋体" w:cs="宋体"/>
          <w:color w:val="auto"/>
          <w:sz w:val="24"/>
          <w:highlight w:val="none"/>
        </w:rPr>
      </w:pPr>
      <w:r>
        <w:rPr>
          <w:rFonts w:hint="eastAsia" w:ascii="宋体" w:hAnsi="宋体" w:cs="宋体"/>
          <w:color w:val="auto"/>
          <w:sz w:val="24"/>
          <w:highlight w:val="none"/>
        </w:rPr>
        <w:t>残疾人福利性单位按招标文件要求提供了《残疾人福利性单位声明函》的，视同小微企业。</w:t>
      </w:r>
    </w:p>
    <w:p w14:paraId="51545CE4">
      <w:pPr>
        <w:numPr>
          <w:ilvl w:val="2"/>
          <w:numId w:val="12"/>
        </w:numPr>
        <w:tabs>
          <w:tab w:val="left" w:pos="1080"/>
          <w:tab w:val="left" w:pos="1589"/>
          <w:tab w:val="left" w:pos="2014"/>
          <w:tab w:val="clear" w:pos="1980"/>
        </w:tabs>
        <w:snapToGrid w:val="0"/>
        <w:spacing w:line="360" w:lineRule="auto"/>
        <w:ind w:left="2035"/>
        <w:rPr>
          <w:rFonts w:ascii="宋体" w:hAnsi="宋体" w:cs="宋体"/>
          <w:color w:val="auto"/>
          <w:sz w:val="24"/>
          <w:highlight w:val="none"/>
        </w:rPr>
      </w:pPr>
      <w:r>
        <w:rPr>
          <w:rFonts w:hint="eastAsia" w:ascii="宋体" w:hAnsi="宋体" w:cs="宋体"/>
          <w:color w:val="auto"/>
          <w:sz w:val="24"/>
          <w:highlight w:val="none"/>
        </w:rPr>
        <w:t>若投标人同时属于小型或微型企业、监狱企业、残疾人福利性单位中的两种及以上，将不重复享受小微企业价格扣减的优惠政策。</w:t>
      </w:r>
    </w:p>
    <w:p w14:paraId="1F161F88">
      <w:pPr>
        <w:numPr>
          <w:ilvl w:val="0"/>
          <w:numId w:val="12"/>
        </w:numPr>
        <w:tabs>
          <w:tab w:val="left" w:pos="360"/>
        </w:tabs>
        <w:snapToGrid w:val="0"/>
        <w:spacing w:line="360" w:lineRule="auto"/>
        <w:outlineLvl w:val="1"/>
        <w:rPr>
          <w:rFonts w:ascii="宋体" w:hAnsi="宋体" w:cs="宋体"/>
          <w:color w:val="auto"/>
          <w:sz w:val="24"/>
          <w:highlight w:val="none"/>
        </w:rPr>
      </w:pPr>
      <w:r>
        <w:rPr>
          <w:rFonts w:hint="eastAsia" w:ascii="宋体" w:hAnsi="宋体" w:cs="宋体"/>
          <w:color w:val="auto"/>
          <w:sz w:val="24"/>
          <w:highlight w:val="none"/>
        </w:rPr>
        <w:t>投标文件的比较和评价</w:t>
      </w:r>
      <w:bookmarkEnd w:id="777"/>
      <w:bookmarkEnd w:id="778"/>
    </w:p>
    <w:p w14:paraId="19CCAAE6">
      <w:pPr>
        <w:numPr>
          <w:ilvl w:val="1"/>
          <w:numId w:val="12"/>
        </w:numPr>
        <w:tabs>
          <w:tab w:val="left" w:pos="1080"/>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49F2B916">
      <w:pPr>
        <w:numPr>
          <w:ilvl w:val="1"/>
          <w:numId w:val="12"/>
        </w:numPr>
        <w:tabs>
          <w:tab w:val="left" w:pos="1080"/>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评标方法和评标标准</w:t>
      </w:r>
    </w:p>
    <w:p w14:paraId="2D1CAB29">
      <w:pPr>
        <w:numPr>
          <w:ilvl w:val="2"/>
          <w:numId w:val="12"/>
        </w:numPr>
        <w:tabs>
          <w:tab w:val="left" w:pos="1080"/>
          <w:tab w:val="left" w:pos="1589"/>
          <w:tab w:val="left" w:pos="2035"/>
        </w:tabs>
        <w:snapToGrid w:val="0"/>
        <w:spacing w:line="360" w:lineRule="auto"/>
        <w:ind w:left="2035"/>
        <w:rPr>
          <w:rFonts w:ascii="宋体" w:hAnsi="宋体" w:cs="宋体"/>
          <w:color w:val="auto"/>
          <w:sz w:val="24"/>
          <w:highlight w:val="none"/>
        </w:rPr>
      </w:pPr>
      <w:r>
        <w:rPr>
          <w:rFonts w:hint="eastAsia" w:ascii="宋体" w:hAnsi="宋体" w:cs="宋体"/>
          <w:color w:val="auto"/>
          <w:sz w:val="24"/>
          <w:highlight w:val="none"/>
        </w:rPr>
        <w:t>本项目采用的评标方法为：</w:t>
      </w:r>
    </w:p>
    <w:p w14:paraId="0E233AF8">
      <w:pPr>
        <w:tabs>
          <w:tab w:val="left" w:pos="900"/>
          <w:tab w:val="left" w:pos="1589"/>
          <w:tab w:val="left" w:pos="1701"/>
        </w:tabs>
        <w:snapToGrid w:val="0"/>
        <w:spacing w:line="360" w:lineRule="auto"/>
        <w:ind w:left="1985"/>
        <w:rPr>
          <w:rFonts w:ascii="宋体" w:hAnsi="宋体" w:cs="宋体"/>
          <w:color w:val="auto"/>
          <w:sz w:val="24"/>
          <w:highlight w:val="none"/>
        </w:rPr>
      </w:pPr>
      <w:r>
        <w:rPr>
          <w:rFonts w:hint="eastAsia" w:ascii="宋体" w:hAnsi="宋体" w:cs="宋体"/>
          <w:color w:val="auto"/>
          <w:sz w:val="32"/>
          <w:szCs w:val="32"/>
          <w:highlight w:val="none"/>
        </w:rPr>
        <w:t>■</w:t>
      </w:r>
      <w:r>
        <w:rPr>
          <w:rFonts w:hint="eastAsia" w:ascii="宋体" w:hAnsi="宋体" w:cs="宋体"/>
          <w:color w:val="auto"/>
          <w:sz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7AE8BC9">
      <w:pPr>
        <w:tabs>
          <w:tab w:val="left" w:pos="900"/>
          <w:tab w:val="left" w:pos="1589"/>
          <w:tab w:val="left" w:pos="1701"/>
        </w:tabs>
        <w:snapToGrid w:val="0"/>
        <w:spacing w:line="360" w:lineRule="auto"/>
        <w:ind w:left="1985"/>
        <w:rPr>
          <w:rFonts w:ascii="宋体" w:hAnsi="宋体" w:cs="宋体"/>
          <w:color w:val="auto"/>
          <w:sz w:val="24"/>
          <w:highlight w:val="none"/>
        </w:rPr>
      </w:pPr>
      <w:r>
        <w:rPr>
          <w:rFonts w:hint="eastAsia" w:ascii="宋体" w:hAnsi="宋体" w:cs="宋体"/>
          <w:color w:val="auto"/>
          <w:sz w:val="24"/>
          <w:highlight w:val="none"/>
        </w:rPr>
        <w:t>□最低评标价法，指投标文件满足招标文件全部实质性要求，且投标报价最低的投标人为中标候选人的评标方法。</w:t>
      </w:r>
    </w:p>
    <w:p w14:paraId="7C2B8654">
      <w:pPr>
        <w:numPr>
          <w:ilvl w:val="2"/>
          <w:numId w:val="12"/>
        </w:numPr>
        <w:tabs>
          <w:tab w:val="left" w:pos="1080"/>
          <w:tab w:val="left" w:pos="1589"/>
          <w:tab w:val="left" w:pos="2035"/>
        </w:tabs>
        <w:snapToGrid w:val="0"/>
        <w:spacing w:line="360" w:lineRule="auto"/>
        <w:ind w:left="2035"/>
        <w:rPr>
          <w:rFonts w:ascii="宋体" w:hAnsi="宋体" w:cs="宋体"/>
          <w:color w:val="auto"/>
          <w:sz w:val="24"/>
          <w:highlight w:val="none"/>
        </w:rPr>
      </w:pPr>
      <w:r>
        <w:rPr>
          <w:rFonts w:hint="eastAsia" w:ascii="宋体" w:hAnsi="宋体" w:cs="宋体"/>
          <w:color w:val="auto"/>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1296CA1B">
      <w:pPr>
        <w:tabs>
          <w:tab w:val="left" w:pos="1080"/>
          <w:tab w:val="left" w:pos="1589"/>
          <w:tab w:val="left" w:pos="2035"/>
        </w:tabs>
        <w:snapToGrid w:val="0"/>
        <w:spacing w:line="360" w:lineRule="auto"/>
        <w:ind w:left="2035"/>
        <w:rPr>
          <w:rFonts w:ascii="宋体" w:hAnsi="宋体" w:cs="宋体"/>
          <w:color w:val="auto"/>
          <w:sz w:val="24"/>
          <w:highlight w:val="none"/>
        </w:rPr>
      </w:pPr>
      <w:r>
        <w:rPr>
          <w:rFonts w:hint="eastAsia" w:ascii="宋体" w:hAnsi="宋体" w:cs="宋体"/>
          <w:color w:val="auto"/>
          <w:sz w:val="24"/>
          <w:highlight w:val="none"/>
        </w:rPr>
        <w:t>□随机抽取</w:t>
      </w:r>
    </w:p>
    <w:p w14:paraId="11CE39E6">
      <w:pPr>
        <w:tabs>
          <w:tab w:val="left" w:pos="1080"/>
          <w:tab w:val="left" w:pos="1589"/>
          <w:tab w:val="left" w:pos="2035"/>
        </w:tabs>
        <w:snapToGrid w:val="0"/>
        <w:spacing w:line="360" w:lineRule="auto"/>
        <w:ind w:left="2035"/>
        <w:rPr>
          <w:rFonts w:ascii="宋体" w:hAnsi="宋体" w:cs="宋体"/>
          <w:color w:val="auto"/>
          <w:sz w:val="24"/>
          <w:highlight w:val="none"/>
          <w:u w:val="single"/>
        </w:rPr>
      </w:pPr>
      <w:r>
        <w:rPr>
          <w:rFonts w:hint="eastAsia" w:ascii="宋体" w:hAnsi="宋体" w:cs="宋体"/>
          <w:color w:val="auto"/>
          <w:sz w:val="24"/>
          <w:highlight w:val="none"/>
        </w:rPr>
        <w:t>□其他方式，具体要求：_____</w:t>
      </w:r>
    </w:p>
    <w:p w14:paraId="48BA0431">
      <w:pPr>
        <w:numPr>
          <w:ilvl w:val="2"/>
          <w:numId w:val="12"/>
        </w:numPr>
        <w:tabs>
          <w:tab w:val="left" w:pos="1080"/>
          <w:tab w:val="left" w:pos="1589"/>
          <w:tab w:val="left" w:pos="2035"/>
        </w:tabs>
        <w:snapToGrid w:val="0"/>
        <w:spacing w:line="360" w:lineRule="auto"/>
        <w:ind w:left="2035"/>
        <w:rPr>
          <w:rFonts w:ascii="宋体" w:hAnsi="宋体" w:cs="宋体"/>
          <w:color w:val="auto"/>
          <w:sz w:val="24"/>
          <w:highlight w:val="none"/>
        </w:rPr>
      </w:pPr>
      <w:r>
        <w:rPr>
          <w:rFonts w:hint="eastAsia" w:ascii="宋体" w:hAnsi="宋体" w:cs="宋体"/>
          <w:color w:val="auto"/>
          <w:sz w:val="24"/>
          <w:highlight w:val="none"/>
        </w:rPr>
        <w:t>非政府强制采购的节能产品或环境标志产品，依据品目清单和认证证书实施政府优先采购。优先采购的具体规定（如涉及）</w:t>
      </w:r>
      <w:r>
        <w:rPr>
          <w:rFonts w:hint="eastAsia" w:ascii="宋体" w:hAnsi="宋体" w:cs="宋体"/>
          <w:color w:val="auto"/>
          <w:sz w:val="24"/>
          <w:szCs w:val="32"/>
          <w:highlight w:val="none"/>
          <w:u w:val="single"/>
        </w:rPr>
        <w:t xml:space="preserve"> </w:t>
      </w:r>
      <w:r>
        <w:rPr>
          <w:rFonts w:hint="eastAsia" w:ascii="宋体" w:hAnsi="宋体" w:cs="宋体"/>
          <w:color w:val="auto"/>
          <w:sz w:val="24"/>
          <w:highlight w:val="none"/>
          <w:u w:val="single"/>
        </w:rPr>
        <w:t xml:space="preserve"> / </w:t>
      </w:r>
      <w:r>
        <w:rPr>
          <w:rFonts w:hint="eastAsia" w:ascii="宋体" w:hAnsi="宋体" w:cs="宋体"/>
          <w:color w:val="auto"/>
          <w:sz w:val="24"/>
          <w:szCs w:val="32"/>
          <w:highlight w:val="none"/>
          <w:u w:val="single"/>
        </w:rPr>
        <w:t xml:space="preserve"> </w:t>
      </w:r>
      <w:r>
        <w:rPr>
          <w:rFonts w:hint="eastAsia" w:ascii="宋体" w:hAnsi="宋体" w:cs="宋体"/>
          <w:color w:val="auto"/>
          <w:sz w:val="24"/>
          <w:highlight w:val="none"/>
        </w:rPr>
        <w:t>。</w:t>
      </w:r>
    </w:p>
    <w:p w14:paraId="63990FAB">
      <w:pPr>
        <w:numPr>
          <w:ilvl w:val="2"/>
          <w:numId w:val="12"/>
        </w:numPr>
        <w:tabs>
          <w:tab w:val="left" w:pos="1080"/>
          <w:tab w:val="left" w:pos="1589"/>
          <w:tab w:val="left" w:pos="2035"/>
        </w:tabs>
        <w:snapToGrid w:val="0"/>
        <w:spacing w:line="360" w:lineRule="auto"/>
        <w:ind w:left="2035"/>
        <w:rPr>
          <w:rFonts w:ascii="宋体" w:hAnsi="宋体" w:cs="宋体"/>
          <w:color w:val="auto"/>
          <w:sz w:val="24"/>
          <w:highlight w:val="none"/>
        </w:rPr>
      </w:pPr>
      <w:r>
        <w:rPr>
          <w:rFonts w:hint="eastAsia" w:ascii="宋体" w:hAnsi="宋体" w:cs="宋体"/>
          <w:color w:val="auto"/>
          <w:sz w:val="24"/>
          <w:highlight w:val="none"/>
        </w:rPr>
        <w:t>关于无线局域网认证产品政府采购清单中的产品，优先采购的具体规定（如涉及）</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1A2F5CB">
      <w:pPr>
        <w:numPr>
          <w:ilvl w:val="0"/>
          <w:numId w:val="12"/>
        </w:numPr>
        <w:tabs>
          <w:tab w:val="left" w:pos="360"/>
        </w:tabs>
        <w:snapToGrid w:val="0"/>
        <w:spacing w:line="360" w:lineRule="auto"/>
        <w:outlineLvl w:val="1"/>
        <w:rPr>
          <w:rFonts w:ascii="宋体" w:hAnsi="宋体" w:cs="宋体"/>
          <w:color w:val="auto"/>
          <w:sz w:val="24"/>
          <w:highlight w:val="none"/>
        </w:rPr>
      </w:pPr>
      <w:r>
        <w:rPr>
          <w:rFonts w:hint="eastAsia" w:ascii="宋体" w:hAnsi="宋体" w:cs="宋体"/>
          <w:color w:val="auto"/>
          <w:sz w:val="24"/>
          <w:highlight w:val="none"/>
        </w:rPr>
        <w:t>确定</w:t>
      </w:r>
      <w:bookmarkStart w:id="780" w:name="_Toc127151747"/>
      <w:bookmarkStart w:id="781" w:name="_Toc151190173"/>
      <w:bookmarkStart w:id="782" w:name="_Toc520356170"/>
      <w:bookmarkStart w:id="783" w:name="_Toc149720839"/>
      <w:bookmarkStart w:id="784" w:name="_Toc305158814"/>
      <w:bookmarkStart w:id="785" w:name="_Toc151193716"/>
      <w:bookmarkStart w:id="786" w:name="_Toc195842911"/>
      <w:bookmarkStart w:id="787" w:name="_Toc150774646"/>
      <w:bookmarkStart w:id="788" w:name="_Toc265228384"/>
      <w:bookmarkStart w:id="789" w:name="_Toc151193788"/>
      <w:bookmarkStart w:id="790" w:name="_Toc305158888"/>
      <w:bookmarkStart w:id="791" w:name="_Toc151193934"/>
      <w:bookmarkStart w:id="792" w:name="_Toc150774751"/>
      <w:bookmarkStart w:id="793" w:name="_Toc226965736"/>
      <w:bookmarkStart w:id="794" w:name="_Toc127151546"/>
      <w:bookmarkStart w:id="795" w:name="_Toc127161460"/>
      <w:bookmarkStart w:id="796" w:name="_Ref467307010"/>
      <w:bookmarkStart w:id="797" w:name="_Toc142311048"/>
      <w:bookmarkStart w:id="798" w:name="_Toc226337242"/>
      <w:bookmarkStart w:id="799" w:name="_Toc164608815"/>
      <w:bookmarkStart w:id="800" w:name="_Toc164351640"/>
      <w:bookmarkStart w:id="801" w:name="_Toc226309790"/>
      <w:bookmarkStart w:id="802" w:name="_Toc164229241"/>
      <w:bookmarkStart w:id="803" w:name="_Toc164608660"/>
      <w:bookmarkStart w:id="804" w:name="_Toc151193644"/>
      <w:bookmarkStart w:id="805" w:name="_Toc150480784"/>
      <w:bookmarkStart w:id="806" w:name="_Toc164229387"/>
      <w:bookmarkStart w:id="807" w:name="_Toc226965819"/>
      <w:bookmarkStart w:id="808" w:name="_Toc264969236"/>
      <w:bookmarkStart w:id="809" w:name="_Toc151193860"/>
      <w:bookmarkStart w:id="810" w:name="_Toc150509297"/>
      <w:r>
        <w:rPr>
          <w:rFonts w:hint="eastAsia" w:ascii="宋体" w:hAnsi="宋体" w:cs="宋体"/>
          <w:color w:val="auto"/>
          <w:sz w:val="24"/>
          <w:highlight w:val="none"/>
        </w:rPr>
        <w:t>中标候选人名单</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63466D07">
      <w:pPr>
        <w:numPr>
          <w:ilvl w:val="1"/>
          <w:numId w:val="12"/>
        </w:numPr>
        <w:tabs>
          <w:tab w:val="left" w:pos="1080"/>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4254E5B">
      <w:pPr>
        <w:pStyle w:val="25"/>
        <w:tabs>
          <w:tab w:val="left" w:pos="900"/>
          <w:tab w:val="left" w:pos="2127"/>
        </w:tabs>
        <w:adjustRightInd w:val="0"/>
        <w:snapToGrid w:val="0"/>
        <w:spacing w:line="360" w:lineRule="auto"/>
        <w:ind w:left="993" w:firstLine="136" w:firstLineChars="57"/>
        <w:rPr>
          <w:rFonts w:hint="default" w:hAnsi="宋体" w:cs="宋体"/>
          <w:color w:val="auto"/>
          <w:sz w:val="24"/>
          <w:szCs w:val="24"/>
          <w:highlight w:val="none"/>
        </w:rPr>
      </w:pPr>
      <w:r>
        <w:rPr>
          <w:rFonts w:hAnsi="宋体" w:cs="宋体"/>
          <w:color w:val="auto"/>
          <w:sz w:val="24"/>
          <w:szCs w:val="24"/>
          <w:highlight w:val="none"/>
        </w:rPr>
        <w:t>□随机抽取</w:t>
      </w:r>
    </w:p>
    <w:p w14:paraId="283B9B3A">
      <w:pPr>
        <w:pStyle w:val="25"/>
        <w:tabs>
          <w:tab w:val="left" w:pos="900"/>
          <w:tab w:val="left" w:pos="2127"/>
        </w:tabs>
        <w:adjustRightInd w:val="0"/>
        <w:snapToGrid w:val="0"/>
        <w:spacing w:line="360" w:lineRule="auto"/>
        <w:ind w:left="993" w:firstLine="136" w:firstLineChars="57"/>
        <w:rPr>
          <w:rFonts w:hint="default" w:hAnsi="宋体" w:cs="宋体"/>
          <w:color w:val="auto"/>
          <w:sz w:val="24"/>
          <w:szCs w:val="24"/>
          <w:highlight w:val="none"/>
        </w:rPr>
      </w:pPr>
      <w:r>
        <w:rPr>
          <w:rFonts w:hAnsi="宋体" w:cs="宋体"/>
          <w:color w:val="auto"/>
          <w:sz w:val="24"/>
          <w:szCs w:val="24"/>
          <w:highlight w:val="none"/>
        </w:rPr>
        <w:t>■其他方式，具体要求：</w:t>
      </w:r>
      <w:r>
        <w:rPr>
          <w:rFonts w:hAnsi="宋体" w:cs="宋体"/>
          <w:color w:val="auto"/>
          <w:sz w:val="24"/>
          <w:highlight w:val="none"/>
        </w:rPr>
        <w:t>评审得分相同的，按照投标报价由低到高顺序排列，得分且投标报价相同的，按技术部分得分由高到低顺序排列，其他同品牌投标人不作为中标候选人。（非单一产品采购项目，采购人应当根据采购项目技术构成、产品价格比重等合理确定核心产品。多家投标人提供的核心产品品牌相同的，按以上规定处理。）</w:t>
      </w:r>
    </w:p>
    <w:p w14:paraId="426AE8B6">
      <w:pPr>
        <w:numPr>
          <w:ilvl w:val="1"/>
          <w:numId w:val="12"/>
        </w:numPr>
        <w:tabs>
          <w:tab w:val="left" w:pos="1080"/>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A978E6F">
      <w:pPr>
        <w:numPr>
          <w:ilvl w:val="1"/>
          <w:numId w:val="12"/>
        </w:numPr>
        <w:tabs>
          <w:tab w:val="left" w:pos="1080"/>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20B8AA38">
      <w:pPr>
        <w:numPr>
          <w:ilvl w:val="1"/>
          <w:numId w:val="12"/>
        </w:numPr>
        <w:tabs>
          <w:tab w:val="left" w:pos="1080"/>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评标委员会要对评分汇总情况进行复核，特别是对排名第一的、报价最低的、投标或投标文件被认定为无效的情形进行重点复核。</w:t>
      </w:r>
    </w:p>
    <w:p w14:paraId="2D507560">
      <w:pPr>
        <w:numPr>
          <w:ilvl w:val="1"/>
          <w:numId w:val="12"/>
        </w:numPr>
        <w:tabs>
          <w:tab w:val="left" w:pos="1080"/>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评标委员会将根据各投标人的评标排序，依次推荐本项目（各采购包）的中标候选人，起草并签署评标报告。本项目（各采购包）评标委员会共（各）推荐3名中标候选人。</w:t>
      </w:r>
    </w:p>
    <w:p w14:paraId="006BE2CE">
      <w:pPr>
        <w:numPr>
          <w:ilvl w:val="0"/>
          <w:numId w:val="12"/>
        </w:numPr>
        <w:tabs>
          <w:tab w:val="left" w:pos="360"/>
        </w:tabs>
        <w:snapToGrid w:val="0"/>
        <w:spacing w:line="360" w:lineRule="auto"/>
        <w:outlineLvl w:val="1"/>
        <w:rPr>
          <w:rFonts w:ascii="宋体" w:hAnsi="宋体" w:cs="宋体"/>
          <w:color w:val="auto"/>
          <w:sz w:val="24"/>
          <w:highlight w:val="none"/>
        </w:rPr>
      </w:pPr>
      <w:r>
        <w:rPr>
          <w:rFonts w:hint="eastAsia" w:ascii="宋体" w:hAnsi="宋体" w:cs="宋体"/>
          <w:color w:val="auto"/>
          <w:sz w:val="24"/>
          <w:highlight w:val="none"/>
        </w:rPr>
        <w:t>报告违法行为</w:t>
      </w:r>
    </w:p>
    <w:p w14:paraId="4D2D9C9F">
      <w:pPr>
        <w:numPr>
          <w:ilvl w:val="1"/>
          <w:numId w:val="12"/>
        </w:numPr>
        <w:tabs>
          <w:tab w:val="left" w:pos="1080"/>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评标委员会在评标过程中发现投标人有行贿、提供虚假材料或者串通等违法行为时，有向采购人、采购代理机构或者有关部门报告的职责。</w:t>
      </w:r>
    </w:p>
    <w:p w14:paraId="0AE9394B">
      <w:pPr>
        <w:widowControl/>
        <w:jc w:val="left"/>
        <w:rPr>
          <w:rFonts w:ascii="宋体" w:hAnsi="宋体" w:cs="宋体"/>
          <w:b/>
          <w:color w:val="auto"/>
          <w:sz w:val="24"/>
          <w:highlight w:val="none"/>
        </w:rPr>
      </w:pPr>
      <w:r>
        <w:rPr>
          <w:rFonts w:hint="eastAsia" w:ascii="宋体" w:hAnsi="宋体" w:cs="宋体"/>
          <w:b/>
          <w:color w:val="auto"/>
          <w:sz w:val="24"/>
          <w:highlight w:val="none"/>
        </w:rPr>
        <w:br w:type="page"/>
      </w:r>
    </w:p>
    <w:p w14:paraId="58F6DBA9">
      <w:pPr>
        <w:tabs>
          <w:tab w:val="left" w:pos="360"/>
          <w:tab w:val="left" w:pos="900"/>
        </w:tabs>
        <w:snapToGrid w:val="0"/>
        <w:spacing w:line="360" w:lineRule="auto"/>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二、评标标准</w:t>
      </w:r>
    </w:p>
    <w:tbl>
      <w:tblPr>
        <w:tblStyle w:val="4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201"/>
        <w:gridCol w:w="704"/>
        <w:gridCol w:w="6288"/>
      </w:tblGrid>
      <w:tr w14:paraId="73F6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vAlign w:val="center"/>
          </w:tcPr>
          <w:p w14:paraId="7E1EB354">
            <w:pPr>
              <w:spacing w:line="240" w:lineRule="auto"/>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w:t>
            </w:r>
          </w:p>
        </w:tc>
        <w:tc>
          <w:tcPr>
            <w:tcW w:w="647" w:type="pct"/>
            <w:vAlign w:val="center"/>
          </w:tcPr>
          <w:p w14:paraId="7331ABBB">
            <w:pPr>
              <w:spacing w:line="240" w:lineRule="auto"/>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c>
          <w:tcPr>
            <w:tcW w:w="379" w:type="pct"/>
            <w:vAlign w:val="center"/>
          </w:tcPr>
          <w:p w14:paraId="219C2F45">
            <w:pPr>
              <w:spacing w:line="240" w:lineRule="auto"/>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3387" w:type="pct"/>
            <w:vAlign w:val="center"/>
          </w:tcPr>
          <w:p w14:paraId="66394EF7">
            <w:pPr>
              <w:spacing w:line="240" w:lineRule="auto"/>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527C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86" w:type="pct"/>
            <w:vAlign w:val="center"/>
          </w:tcPr>
          <w:p w14:paraId="4F4820B4">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价格</w:t>
            </w:r>
          </w:p>
          <w:p w14:paraId="0E63EDA5">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部分</w:t>
            </w:r>
          </w:p>
          <w:p w14:paraId="3E312F60">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（15分）</w:t>
            </w:r>
          </w:p>
        </w:tc>
        <w:tc>
          <w:tcPr>
            <w:tcW w:w="647" w:type="pct"/>
            <w:vAlign w:val="center"/>
          </w:tcPr>
          <w:p w14:paraId="7C54C1E1">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w:t>
            </w:r>
          </w:p>
          <w:p w14:paraId="236A7F69">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w:t>
            </w:r>
          </w:p>
        </w:tc>
        <w:tc>
          <w:tcPr>
            <w:tcW w:w="379" w:type="pct"/>
            <w:vAlign w:val="center"/>
          </w:tcPr>
          <w:p w14:paraId="6DFBD858">
            <w:pPr>
              <w:spacing w:line="240" w:lineRule="auto"/>
              <w:ind w:firstLine="28"/>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c>
          <w:tcPr>
            <w:tcW w:w="3387" w:type="pct"/>
            <w:vAlign w:val="center"/>
          </w:tcPr>
          <w:p w14:paraId="076C63E4">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满足招标文件要求且投标价格最低的投标报价为评标基准价，其价格分为满分。其他投标人的价格分统一按照下列公式计算：</w:t>
            </w:r>
          </w:p>
          <w:p w14:paraId="787D4717">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投标报价得分＝（评标基准价/投标报价）×分值。</w:t>
            </w:r>
          </w:p>
        </w:tc>
      </w:tr>
      <w:tr w14:paraId="75A9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86" w:type="pct"/>
            <w:vMerge w:val="restart"/>
            <w:vAlign w:val="center"/>
          </w:tcPr>
          <w:p w14:paraId="49C598D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p>
          <w:p w14:paraId="00CABE6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w:t>
            </w:r>
          </w:p>
          <w:p w14:paraId="29BD1B56">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47" w:type="pct"/>
            <w:vAlign w:val="center"/>
          </w:tcPr>
          <w:p w14:paraId="12F38530">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人员配备</w:t>
            </w:r>
          </w:p>
        </w:tc>
        <w:tc>
          <w:tcPr>
            <w:tcW w:w="379" w:type="pct"/>
            <w:vAlign w:val="center"/>
          </w:tcPr>
          <w:p w14:paraId="2D413FCD">
            <w:pPr>
              <w:spacing w:line="240" w:lineRule="auto"/>
              <w:ind w:firstLine="28"/>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8</w:t>
            </w:r>
          </w:p>
        </w:tc>
        <w:tc>
          <w:tcPr>
            <w:tcW w:w="3387" w:type="pct"/>
            <w:vAlign w:val="center"/>
          </w:tcPr>
          <w:p w14:paraId="6FB0416C">
            <w:pPr>
              <w:spacing w:line="240" w:lineRule="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根据招标文件第五章采购需求的要求，提供针对本项目的人员团队。团队人员配备合理、岗位分工明确、人员配备充足、专业齐全得</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分；团队人员配备合理性</w:t>
            </w:r>
            <w:r>
              <w:rPr>
                <w:rFonts w:hint="eastAsia" w:ascii="宋体" w:hAnsi="宋体" w:cs="宋体"/>
                <w:bCs/>
                <w:color w:val="auto"/>
                <w:sz w:val="24"/>
                <w:szCs w:val="24"/>
                <w:highlight w:val="none"/>
                <w:lang w:val="en-US" w:eastAsia="zh-CN"/>
              </w:rPr>
              <w:t>一般</w:t>
            </w:r>
            <w:r>
              <w:rPr>
                <w:rFonts w:hint="eastAsia" w:ascii="宋体" w:hAnsi="宋体" w:eastAsia="宋体" w:cs="宋体"/>
                <w:bCs/>
                <w:color w:val="auto"/>
                <w:sz w:val="24"/>
                <w:szCs w:val="24"/>
                <w:highlight w:val="none"/>
              </w:rPr>
              <w:t>、人员配备</w:t>
            </w:r>
            <w:r>
              <w:rPr>
                <w:rFonts w:hint="eastAsia" w:ascii="宋体" w:hAnsi="宋体" w:cs="宋体"/>
                <w:bCs/>
                <w:color w:val="auto"/>
                <w:sz w:val="24"/>
                <w:szCs w:val="24"/>
                <w:highlight w:val="none"/>
                <w:lang w:val="en-US" w:eastAsia="zh-CN"/>
              </w:rPr>
              <w:t>基本</w:t>
            </w:r>
            <w:r>
              <w:rPr>
                <w:rFonts w:hint="eastAsia" w:ascii="宋体" w:hAnsi="宋体" w:eastAsia="宋体" w:cs="宋体"/>
                <w:bCs/>
                <w:color w:val="auto"/>
                <w:sz w:val="24"/>
                <w:szCs w:val="24"/>
                <w:highlight w:val="none"/>
              </w:rPr>
              <w:t>齐全得</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分；团队人员配备合理性欠缺、岗位不明确、人员配备不够齐全、专业不够齐全得</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分；团队人员配备不合理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不充足得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不提供不得分。</w:t>
            </w:r>
          </w:p>
        </w:tc>
      </w:tr>
      <w:tr w14:paraId="6A32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86" w:type="pct"/>
            <w:vMerge w:val="continue"/>
            <w:vAlign w:val="center"/>
          </w:tcPr>
          <w:p w14:paraId="6B7353D6">
            <w:pPr>
              <w:spacing w:line="240" w:lineRule="auto"/>
              <w:jc w:val="center"/>
              <w:rPr>
                <w:rFonts w:hint="eastAsia" w:ascii="宋体" w:hAnsi="宋体" w:eastAsia="宋体" w:cs="宋体"/>
                <w:color w:val="auto"/>
                <w:sz w:val="24"/>
                <w:szCs w:val="24"/>
                <w:highlight w:val="none"/>
              </w:rPr>
            </w:pPr>
          </w:p>
        </w:tc>
        <w:tc>
          <w:tcPr>
            <w:tcW w:w="647" w:type="pct"/>
            <w:vAlign w:val="center"/>
          </w:tcPr>
          <w:p w14:paraId="2349065F">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类似项目</w:t>
            </w:r>
          </w:p>
          <w:p w14:paraId="2B0EA9C0">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业绩</w:t>
            </w:r>
          </w:p>
        </w:tc>
        <w:tc>
          <w:tcPr>
            <w:tcW w:w="379" w:type="pct"/>
            <w:vAlign w:val="center"/>
          </w:tcPr>
          <w:p w14:paraId="1C78FC18">
            <w:pPr>
              <w:spacing w:line="240" w:lineRule="auto"/>
              <w:ind w:firstLine="28"/>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w:t>
            </w:r>
          </w:p>
        </w:tc>
        <w:tc>
          <w:tcPr>
            <w:tcW w:w="3387" w:type="pct"/>
            <w:vAlign w:val="center"/>
          </w:tcPr>
          <w:p w14:paraId="3920C863">
            <w:pPr>
              <w:spacing w:line="240" w:lineRule="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提供近三年（2021年</w:t>
            </w:r>
            <w:r>
              <w:rPr>
                <w:rFonts w:hint="eastAsia" w:ascii="宋体" w:hAnsi="宋体" w:cs="宋体"/>
                <w:bCs/>
                <w:color w:val="auto"/>
                <w:sz w:val="24"/>
                <w:szCs w:val="24"/>
                <w:highlight w:val="none"/>
                <w:lang w:val="en-US" w:eastAsia="zh-CN"/>
              </w:rPr>
              <w:t>11</w:t>
            </w:r>
            <w:r>
              <w:rPr>
                <w:rFonts w:hint="eastAsia" w:ascii="宋体" w:hAnsi="宋体" w:eastAsia="宋体" w:cs="宋体"/>
                <w:bCs/>
                <w:color w:val="auto"/>
                <w:sz w:val="24"/>
                <w:szCs w:val="24"/>
                <w:highlight w:val="none"/>
              </w:rPr>
              <w:t>月1日至今）与本项目采购内容类似项目的业绩，有一项得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分，最高得</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分。以合同</w:t>
            </w:r>
            <w:r>
              <w:rPr>
                <w:rFonts w:hint="eastAsia" w:ascii="宋体" w:hAnsi="宋体" w:cs="宋体"/>
                <w:bCs/>
                <w:color w:val="auto"/>
                <w:sz w:val="24"/>
                <w:szCs w:val="24"/>
                <w:highlight w:val="none"/>
                <w:lang w:val="en-US" w:eastAsia="zh-CN"/>
              </w:rPr>
              <w:t>签订时间</w:t>
            </w:r>
            <w:r>
              <w:rPr>
                <w:rFonts w:hint="eastAsia" w:ascii="宋体" w:hAnsi="宋体" w:eastAsia="宋体" w:cs="宋体"/>
                <w:bCs/>
                <w:color w:val="auto"/>
                <w:sz w:val="24"/>
                <w:szCs w:val="24"/>
                <w:highlight w:val="none"/>
              </w:rPr>
              <w:t>为准。</w:t>
            </w:r>
          </w:p>
        </w:tc>
      </w:tr>
      <w:tr w14:paraId="5292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86" w:type="pct"/>
            <w:vAlign w:val="center"/>
          </w:tcPr>
          <w:p w14:paraId="2A2282A6">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政策</w:t>
            </w:r>
          </w:p>
          <w:p w14:paraId="5345FE3B">
            <w:pPr>
              <w:spacing w:line="276" w:lineRule="auto"/>
              <w:jc w:val="center"/>
              <w:rPr>
                <w:rFonts w:ascii="宋体" w:hAnsi="宋体" w:cs="宋体"/>
                <w:color w:val="auto"/>
                <w:sz w:val="24"/>
                <w:highlight w:val="none"/>
              </w:rPr>
            </w:pPr>
            <w:r>
              <w:rPr>
                <w:rFonts w:hint="eastAsia" w:ascii="宋体" w:hAnsi="宋体" w:cs="宋体"/>
                <w:color w:val="auto"/>
                <w:sz w:val="24"/>
                <w:highlight w:val="none"/>
              </w:rPr>
              <w:t>加分</w:t>
            </w:r>
          </w:p>
          <w:p w14:paraId="58CC7776">
            <w:pPr>
              <w:pStyle w:val="44"/>
              <w:ind w:left="0" w:leftChars="0" w:firstLine="0" w:firstLineChars="0"/>
              <w:rPr>
                <w:rFonts w:hint="eastAsia" w:ascii="宋体" w:hAnsi="宋体" w:eastAsia="宋体" w:cs="宋体"/>
                <w:color w:val="auto"/>
                <w:sz w:val="24"/>
                <w:szCs w:val="24"/>
                <w:highlight w:val="none"/>
              </w:rPr>
            </w:pPr>
            <w:r>
              <w:rPr>
                <w:rFonts w:hint="eastAsia" w:ascii="宋体" w:hAnsi="宋体" w:cs="宋体"/>
                <w:color w:val="auto"/>
                <w:szCs w:val="24"/>
                <w:highlight w:val="none"/>
              </w:rPr>
              <w:t>（2分）</w:t>
            </w:r>
          </w:p>
        </w:tc>
        <w:tc>
          <w:tcPr>
            <w:tcW w:w="647" w:type="pct"/>
            <w:vAlign w:val="center"/>
          </w:tcPr>
          <w:p w14:paraId="087F50D7">
            <w:pPr>
              <w:spacing w:line="276" w:lineRule="auto"/>
              <w:jc w:val="center"/>
              <w:rPr>
                <w:rFonts w:hint="eastAsia" w:ascii="宋体" w:hAnsi="宋体" w:eastAsia="宋体" w:cs="宋体"/>
                <w:bCs/>
                <w:color w:val="auto"/>
                <w:sz w:val="24"/>
                <w:szCs w:val="24"/>
                <w:highlight w:val="none"/>
              </w:rPr>
            </w:pPr>
            <w:r>
              <w:rPr>
                <w:rFonts w:hint="eastAsia" w:ascii="宋体" w:hAnsi="宋体" w:cs="宋体"/>
                <w:color w:val="auto"/>
                <w:sz w:val="24"/>
                <w:highlight w:val="none"/>
              </w:rPr>
              <w:t>节能环保</w:t>
            </w:r>
          </w:p>
        </w:tc>
        <w:tc>
          <w:tcPr>
            <w:tcW w:w="379" w:type="pct"/>
            <w:vAlign w:val="center"/>
          </w:tcPr>
          <w:p w14:paraId="739A2534">
            <w:pPr>
              <w:spacing w:line="276"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color w:val="auto"/>
                <w:sz w:val="24"/>
                <w:highlight w:val="none"/>
              </w:rPr>
              <w:t>2</w:t>
            </w:r>
          </w:p>
        </w:tc>
        <w:tc>
          <w:tcPr>
            <w:tcW w:w="3387" w:type="pct"/>
            <w:vAlign w:val="center"/>
          </w:tcPr>
          <w:p w14:paraId="43037E63">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投标产品中每有一项品目清单范围内属于优先采购节能产品的（须提供国家确定的认证机构出具的、处于有效期之内的节能产品认证证书复印件）得0.5分，最多1分。</w:t>
            </w:r>
          </w:p>
          <w:p w14:paraId="4C88E93F">
            <w:pPr>
              <w:spacing w:line="276" w:lineRule="auto"/>
              <w:rPr>
                <w:rFonts w:hint="eastAsia" w:ascii="宋体" w:hAnsi="宋体" w:eastAsia="宋体" w:cs="宋体"/>
                <w:bCs/>
                <w:color w:val="auto"/>
                <w:sz w:val="24"/>
                <w:szCs w:val="24"/>
                <w:highlight w:val="none"/>
              </w:rPr>
            </w:pPr>
            <w:r>
              <w:rPr>
                <w:rFonts w:hint="eastAsia" w:ascii="宋体" w:hAnsi="宋体" w:cs="宋体"/>
                <w:color w:val="auto"/>
                <w:sz w:val="24"/>
                <w:highlight w:val="none"/>
              </w:rPr>
              <w:t>投标产品中每有一项品目清单范围内属于优先采购环境标志产品的（须提供国家确定的认证机构出具的、处于有效期之内的环境标志产品认证证书复印件）得0.5分，最多1分。</w:t>
            </w:r>
          </w:p>
        </w:tc>
      </w:tr>
      <w:tr w14:paraId="7746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86" w:type="pct"/>
            <w:vMerge w:val="restart"/>
            <w:vAlign w:val="center"/>
          </w:tcPr>
          <w:p w14:paraId="5E34E0F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2FF1CD4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w:t>
            </w:r>
          </w:p>
          <w:p w14:paraId="2C94121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分）</w:t>
            </w:r>
          </w:p>
        </w:tc>
        <w:tc>
          <w:tcPr>
            <w:tcW w:w="647" w:type="pct"/>
            <w:vAlign w:val="center"/>
          </w:tcPr>
          <w:p w14:paraId="3D6B86F9">
            <w:pPr>
              <w:widowControl/>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对本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的重点、难点分析及对策</w:t>
            </w:r>
          </w:p>
        </w:tc>
        <w:tc>
          <w:tcPr>
            <w:tcW w:w="379" w:type="pct"/>
            <w:vAlign w:val="center"/>
          </w:tcPr>
          <w:p w14:paraId="7EB8B2EE">
            <w:pPr>
              <w:spacing w:line="240" w:lineRule="auto"/>
              <w:ind w:firstLine="28"/>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3387" w:type="pct"/>
            <w:vAlign w:val="center"/>
          </w:tcPr>
          <w:p w14:paraId="22ED357A">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针对项目特点和具体情况重点、难点分析准确、对策有针对性</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168E5901">
            <w:pPr>
              <w:pStyle w:val="1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重点、难点分析较准确、对策基本有针对性</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EC0F674">
            <w:pPr>
              <w:pStyle w:val="1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重点、难点分析</w:t>
            </w:r>
            <w:r>
              <w:rPr>
                <w:rFonts w:hint="eastAsia" w:ascii="宋体" w:hAnsi="宋体" w:cs="宋体"/>
                <w:color w:val="auto"/>
                <w:sz w:val="24"/>
                <w:szCs w:val="24"/>
                <w:highlight w:val="none"/>
                <w:lang w:val="en-US" w:eastAsia="zh-CN"/>
              </w:rPr>
              <w:t>基本</w:t>
            </w:r>
            <w:r>
              <w:rPr>
                <w:rFonts w:hint="eastAsia" w:ascii="宋体" w:hAnsi="宋体" w:eastAsia="宋体" w:cs="宋体"/>
                <w:color w:val="auto"/>
                <w:sz w:val="24"/>
                <w:szCs w:val="24"/>
                <w:highlight w:val="none"/>
              </w:rPr>
              <w:t>准确、</w:t>
            </w:r>
            <w:r>
              <w:rPr>
                <w:rFonts w:hint="eastAsia" w:ascii="宋体" w:hAnsi="宋体" w:cs="宋体"/>
                <w:color w:val="auto"/>
                <w:sz w:val="24"/>
                <w:szCs w:val="24"/>
                <w:highlight w:val="none"/>
                <w:lang w:val="en-US" w:eastAsia="zh-CN"/>
              </w:rPr>
              <w:t>但缺乏</w:t>
            </w:r>
            <w:r>
              <w:rPr>
                <w:rFonts w:hint="eastAsia" w:ascii="宋体" w:hAnsi="宋体" w:eastAsia="宋体" w:cs="宋体"/>
                <w:color w:val="auto"/>
                <w:sz w:val="24"/>
                <w:szCs w:val="24"/>
                <w:highlight w:val="none"/>
              </w:rPr>
              <w:t>针对性</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643C144">
            <w:pPr>
              <w:pStyle w:val="56"/>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欠合理，可行性较差，基本满足</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需要</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得1</w:t>
            </w:r>
            <w:r>
              <w:rPr>
                <w:rFonts w:hint="eastAsia" w:ascii="宋体" w:hAnsi="宋体" w:eastAsia="宋体" w:cs="宋体"/>
                <w:color w:val="auto"/>
                <w:sz w:val="24"/>
                <w:szCs w:val="24"/>
                <w:highlight w:val="none"/>
                <w:lang w:val="en-US" w:eastAsia="zh-CN"/>
              </w:rPr>
              <w:t>分。</w:t>
            </w:r>
          </w:p>
          <w:p w14:paraId="663A31E2">
            <w:pPr>
              <w:pStyle w:val="56"/>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不提供不得分。</w:t>
            </w:r>
          </w:p>
        </w:tc>
      </w:tr>
      <w:tr w14:paraId="2393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86" w:type="pct"/>
            <w:vMerge w:val="continue"/>
            <w:vAlign w:val="center"/>
          </w:tcPr>
          <w:p w14:paraId="6DA936B1">
            <w:pPr>
              <w:spacing w:line="240" w:lineRule="auto"/>
              <w:jc w:val="center"/>
              <w:rPr>
                <w:rFonts w:hint="eastAsia" w:ascii="宋体" w:hAnsi="宋体" w:eastAsia="宋体" w:cs="宋体"/>
                <w:color w:val="auto"/>
                <w:sz w:val="24"/>
                <w:szCs w:val="24"/>
                <w:highlight w:val="none"/>
              </w:rPr>
            </w:pPr>
          </w:p>
        </w:tc>
        <w:tc>
          <w:tcPr>
            <w:tcW w:w="647" w:type="pct"/>
            <w:vAlign w:val="center"/>
          </w:tcPr>
          <w:p w14:paraId="1C1E3E36">
            <w:pPr>
              <w:widowControl/>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服务</w:t>
            </w:r>
            <w:r>
              <w:rPr>
                <w:rFonts w:hint="eastAsia" w:ascii="宋体" w:hAnsi="宋体" w:eastAsia="宋体" w:cs="宋体"/>
                <w:color w:val="auto"/>
                <w:kern w:val="0"/>
                <w:sz w:val="24"/>
                <w:szCs w:val="24"/>
                <w:highlight w:val="none"/>
                <w:lang w:val="en-US" w:eastAsia="zh-CN" w:bidi="ar"/>
              </w:rPr>
              <w:t>方案</w:t>
            </w:r>
          </w:p>
        </w:tc>
        <w:tc>
          <w:tcPr>
            <w:tcW w:w="379" w:type="pct"/>
            <w:vAlign w:val="center"/>
          </w:tcPr>
          <w:p w14:paraId="27D2C986">
            <w:pPr>
              <w:spacing w:line="240" w:lineRule="auto"/>
              <w:ind w:firstLine="28" w:firstLineChars="0"/>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p>
        </w:tc>
        <w:tc>
          <w:tcPr>
            <w:tcW w:w="3387" w:type="pct"/>
            <w:vAlign w:val="center"/>
          </w:tcPr>
          <w:p w14:paraId="7A2168FE">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服务</w:t>
            </w:r>
            <w:r>
              <w:rPr>
                <w:rFonts w:hint="eastAsia" w:ascii="宋体" w:hAnsi="宋体" w:eastAsia="宋体" w:cs="宋体"/>
                <w:color w:val="auto"/>
                <w:kern w:val="0"/>
                <w:sz w:val="24"/>
                <w:szCs w:val="24"/>
                <w:highlight w:val="none"/>
                <w:lang w:bidi="ar"/>
              </w:rPr>
              <w:t>方案</w:t>
            </w:r>
            <w:r>
              <w:rPr>
                <w:rFonts w:hint="eastAsia" w:ascii="宋体" w:hAnsi="宋体" w:cs="宋体"/>
                <w:color w:val="auto"/>
                <w:kern w:val="0"/>
                <w:sz w:val="24"/>
                <w:szCs w:val="24"/>
                <w:highlight w:val="none"/>
                <w:lang w:val="en-US" w:eastAsia="zh-CN" w:bidi="ar"/>
              </w:rPr>
              <w:t>包括但不限于：</w:t>
            </w:r>
            <w:r>
              <w:rPr>
                <w:rFonts w:hint="eastAsia" w:ascii="宋体" w:hAnsi="宋体" w:eastAsia="宋体" w:cs="宋体"/>
                <w:color w:val="auto"/>
                <w:kern w:val="0"/>
                <w:sz w:val="24"/>
                <w:szCs w:val="24"/>
                <w:highlight w:val="none"/>
                <w:lang w:bidi="ar"/>
              </w:rPr>
              <w:t>项目建设方案、实施方案、售后服务、培训方案等内容。</w:t>
            </w:r>
          </w:p>
          <w:p w14:paraId="3E4FD815">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方案全面、科学、合理、针对性强、技术可行，完全满足项目要求得</w:t>
            </w:r>
            <w:r>
              <w:rPr>
                <w:rFonts w:hint="eastAsia" w:ascii="宋体" w:hAnsi="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分；</w:t>
            </w:r>
          </w:p>
          <w:p w14:paraId="13FD8DCE">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方案较好、较全面合理、针对性较强、技术较可行，满足项目要求得</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分；</w:t>
            </w:r>
          </w:p>
          <w:p w14:paraId="2C995002">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方案满足项目需求、较合理、有一定针对性、技术较可行得</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分；</w:t>
            </w:r>
          </w:p>
          <w:p w14:paraId="4B83047D">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方案基本符合项目需求、合理性一般、针对性一般、技术可行性一般得</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w:t>
            </w:r>
          </w:p>
          <w:p w14:paraId="7F30805F">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方案离满足项目需求有一定差距、合理性一般、针对性较差、技术可行性有差距得</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分；</w:t>
            </w:r>
          </w:p>
          <w:p w14:paraId="65481435">
            <w:pPr>
              <w:widowControl/>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未提供不得分。</w:t>
            </w:r>
          </w:p>
        </w:tc>
      </w:tr>
      <w:tr w14:paraId="2E69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86" w:type="pct"/>
            <w:vMerge w:val="continue"/>
            <w:vAlign w:val="center"/>
          </w:tcPr>
          <w:p w14:paraId="6CD17FCE">
            <w:pPr>
              <w:spacing w:line="240" w:lineRule="auto"/>
              <w:jc w:val="center"/>
              <w:rPr>
                <w:rFonts w:hint="eastAsia" w:ascii="宋体" w:hAnsi="宋体" w:eastAsia="宋体" w:cs="宋体"/>
                <w:color w:val="auto"/>
                <w:sz w:val="24"/>
                <w:szCs w:val="24"/>
                <w:highlight w:val="none"/>
              </w:rPr>
            </w:pPr>
          </w:p>
        </w:tc>
        <w:tc>
          <w:tcPr>
            <w:tcW w:w="647" w:type="pct"/>
            <w:vAlign w:val="center"/>
          </w:tcPr>
          <w:p w14:paraId="5DB0B7B7">
            <w:pPr>
              <w:widowControl/>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bidi="ar"/>
              </w:rPr>
              <w:t>项目总体设计方案</w:t>
            </w:r>
          </w:p>
        </w:tc>
        <w:tc>
          <w:tcPr>
            <w:tcW w:w="379" w:type="pct"/>
            <w:vAlign w:val="center"/>
          </w:tcPr>
          <w:p w14:paraId="7DF5467A">
            <w:pPr>
              <w:spacing w:line="240" w:lineRule="auto"/>
              <w:ind w:firstLine="28" w:firstLineChars="0"/>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p>
        </w:tc>
        <w:tc>
          <w:tcPr>
            <w:tcW w:w="3387" w:type="pct"/>
            <w:vAlign w:val="center"/>
          </w:tcPr>
          <w:p w14:paraId="0EE8DBBF">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项目总体设计方案</w:t>
            </w:r>
            <w:r>
              <w:rPr>
                <w:rFonts w:hint="eastAsia" w:ascii="宋体" w:hAnsi="宋体" w:cs="宋体"/>
                <w:color w:val="auto"/>
                <w:kern w:val="0"/>
                <w:sz w:val="24"/>
                <w:szCs w:val="24"/>
                <w:highlight w:val="none"/>
                <w:lang w:val="en-US" w:eastAsia="zh-CN" w:bidi="ar"/>
              </w:rPr>
              <w:t>包括但不限于：</w:t>
            </w:r>
            <w:r>
              <w:rPr>
                <w:rFonts w:hint="eastAsia" w:ascii="宋体" w:hAnsi="宋体" w:eastAsia="宋体" w:cs="宋体"/>
                <w:color w:val="auto"/>
                <w:kern w:val="0"/>
                <w:sz w:val="24"/>
                <w:szCs w:val="24"/>
                <w:highlight w:val="none"/>
                <w:lang w:bidi="ar"/>
              </w:rPr>
              <w:t>总体框架设计、数据架构、功能架构及部署架构</w:t>
            </w:r>
            <w:r>
              <w:rPr>
                <w:rFonts w:hint="eastAsia" w:ascii="宋体" w:hAnsi="宋体" w:cs="宋体"/>
                <w:color w:val="auto"/>
                <w:kern w:val="0"/>
                <w:sz w:val="24"/>
                <w:szCs w:val="24"/>
                <w:highlight w:val="none"/>
                <w:lang w:val="en-US" w:eastAsia="zh-CN" w:bidi="ar"/>
              </w:rPr>
              <w:t>等内容</w:t>
            </w:r>
            <w:r>
              <w:rPr>
                <w:rFonts w:hint="eastAsia" w:ascii="宋体" w:hAnsi="宋体" w:eastAsia="宋体" w:cs="宋体"/>
                <w:color w:val="auto"/>
                <w:kern w:val="0"/>
                <w:sz w:val="24"/>
                <w:szCs w:val="24"/>
                <w:highlight w:val="none"/>
                <w:lang w:bidi="ar"/>
              </w:rPr>
              <w:t>。</w:t>
            </w:r>
          </w:p>
          <w:p w14:paraId="08AF2A1B">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方案全面、科学、合理、针对性强、技术可行，完全满足项目要求得</w:t>
            </w:r>
            <w:r>
              <w:rPr>
                <w:rFonts w:hint="eastAsia" w:ascii="宋体" w:hAnsi="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分；</w:t>
            </w:r>
          </w:p>
          <w:p w14:paraId="44B91D9F">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方案较好、较全面合理、针对性较强、技术较可行，满足项目要求得</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分；</w:t>
            </w:r>
          </w:p>
          <w:p w14:paraId="70F1D552">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方案满足项目需求、较合理、有一定针对性、技术较可行得</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分；</w:t>
            </w:r>
          </w:p>
          <w:p w14:paraId="159DBB78">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方案基本符合项目需求、合理性一般、针对性一般、技术可行性一般得</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w:t>
            </w:r>
          </w:p>
          <w:p w14:paraId="5E1A16A4">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方案离满足项目需求有一定差距、合理性一般、针对性较差、技术可行性有差距得</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分；</w:t>
            </w:r>
          </w:p>
          <w:p w14:paraId="531C4148">
            <w:pPr>
              <w:widowControl/>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未提供不得分。</w:t>
            </w:r>
          </w:p>
        </w:tc>
      </w:tr>
      <w:tr w14:paraId="0E40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86" w:type="pct"/>
            <w:vMerge w:val="continue"/>
            <w:vAlign w:val="center"/>
          </w:tcPr>
          <w:p w14:paraId="7B46C9FF">
            <w:pPr>
              <w:spacing w:line="240" w:lineRule="auto"/>
              <w:jc w:val="center"/>
              <w:rPr>
                <w:rFonts w:hint="eastAsia" w:ascii="宋体" w:hAnsi="宋体" w:eastAsia="宋体" w:cs="宋体"/>
                <w:color w:val="auto"/>
                <w:sz w:val="24"/>
                <w:szCs w:val="24"/>
                <w:highlight w:val="none"/>
              </w:rPr>
            </w:pPr>
          </w:p>
        </w:tc>
        <w:tc>
          <w:tcPr>
            <w:tcW w:w="647" w:type="pct"/>
            <w:vAlign w:val="center"/>
          </w:tcPr>
          <w:p w14:paraId="537E0606">
            <w:pPr>
              <w:widowControl/>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智慧交易系统方案</w:t>
            </w:r>
          </w:p>
        </w:tc>
        <w:tc>
          <w:tcPr>
            <w:tcW w:w="379" w:type="pct"/>
            <w:vAlign w:val="center"/>
          </w:tcPr>
          <w:p w14:paraId="343A4F3D">
            <w:pPr>
              <w:widowControl/>
              <w:spacing w:line="24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3387" w:type="pct"/>
            <w:vAlign w:val="center"/>
          </w:tcPr>
          <w:p w14:paraId="27C20CD7">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方案全面、科学、合理、针对性强、技术可行，完全满足项目要求得</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分；</w:t>
            </w:r>
          </w:p>
          <w:p w14:paraId="0ABA0A26">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方案较好、较全面合理、针对性较强、技术较可行，满足项目要求得</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分；</w:t>
            </w:r>
          </w:p>
          <w:p w14:paraId="33586939">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方案满足项目需求、较合理、有一定针对性、技术较可行得</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分；</w:t>
            </w:r>
          </w:p>
          <w:p w14:paraId="70DA7BCF">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方案基本符合项目需求、合理性一般、针对性一般、技术可行性一般得</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w:t>
            </w:r>
          </w:p>
          <w:p w14:paraId="0E2DD5CC">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方案离满足项目需求有一定差距、合理性一般、针对性较差、技术可行性有差距得</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w:t>
            </w:r>
          </w:p>
          <w:p w14:paraId="55937121">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未提供不得分。</w:t>
            </w:r>
          </w:p>
        </w:tc>
      </w:tr>
      <w:tr w14:paraId="0DDF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86" w:type="pct"/>
            <w:vMerge w:val="continue"/>
            <w:vAlign w:val="center"/>
          </w:tcPr>
          <w:p w14:paraId="20B8DBF4">
            <w:pPr>
              <w:spacing w:line="240" w:lineRule="auto"/>
              <w:jc w:val="center"/>
              <w:rPr>
                <w:rFonts w:hint="eastAsia" w:ascii="宋体" w:hAnsi="宋体" w:eastAsia="宋体" w:cs="宋体"/>
                <w:color w:val="auto"/>
                <w:sz w:val="24"/>
                <w:szCs w:val="24"/>
                <w:highlight w:val="none"/>
              </w:rPr>
            </w:pPr>
          </w:p>
        </w:tc>
        <w:tc>
          <w:tcPr>
            <w:tcW w:w="647" w:type="pct"/>
            <w:vAlign w:val="center"/>
          </w:tcPr>
          <w:p w14:paraId="7DFA0783">
            <w:pPr>
              <w:widowControl/>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分拣加工系统方案</w:t>
            </w:r>
          </w:p>
        </w:tc>
        <w:tc>
          <w:tcPr>
            <w:tcW w:w="379" w:type="pct"/>
            <w:vAlign w:val="center"/>
          </w:tcPr>
          <w:p w14:paraId="73F53C9D">
            <w:pPr>
              <w:widowControl/>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6</w:t>
            </w:r>
          </w:p>
        </w:tc>
        <w:tc>
          <w:tcPr>
            <w:tcW w:w="3387" w:type="pct"/>
            <w:vAlign w:val="center"/>
          </w:tcPr>
          <w:p w14:paraId="149E5336">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方案全面、科学、合理、针对性强、技术可行，完全满足项目要求得</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分；</w:t>
            </w:r>
          </w:p>
          <w:p w14:paraId="3DFC93C7">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方案较好、较全面合理、针对性较强、技术较可行，满足项目要求得</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分；</w:t>
            </w:r>
          </w:p>
          <w:p w14:paraId="67A6DAF7">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方案满足项目需求、较合理、有一定针对性、技术较可行得</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分；</w:t>
            </w:r>
          </w:p>
          <w:p w14:paraId="75DB5E17">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方案基本符合项目需求、合理性一般、针对性一般、技术可行性一般得</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w:t>
            </w:r>
          </w:p>
          <w:p w14:paraId="5E9CEA2B">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方案离满足项目需求有一定差距、合理性一般、针对性较差、技术可行性有差距得</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w:t>
            </w:r>
          </w:p>
          <w:p w14:paraId="17C4EAD4">
            <w:pPr>
              <w:widowControl/>
              <w:spacing w:line="240" w:lineRule="auto"/>
              <w:jc w:val="left"/>
              <w:rPr>
                <w:rFonts w:hint="eastAsia" w:ascii="宋体" w:hAnsi="宋体" w:eastAsia="宋体" w:cs="宋体"/>
                <w:b w:val="0"/>
                <w:bCs w:val="0"/>
                <w:color w:val="auto"/>
                <w:kern w:val="0"/>
                <w:sz w:val="24"/>
                <w:szCs w:val="24"/>
                <w:highlight w:val="none"/>
                <w:lang w:bidi="ar"/>
              </w:rPr>
            </w:pPr>
            <w:r>
              <w:rPr>
                <w:rFonts w:hint="eastAsia" w:ascii="宋体" w:hAnsi="宋体" w:eastAsia="宋体" w:cs="宋体"/>
                <w:color w:val="auto"/>
                <w:kern w:val="0"/>
                <w:sz w:val="24"/>
                <w:szCs w:val="24"/>
                <w:highlight w:val="none"/>
                <w:lang w:bidi="ar"/>
              </w:rPr>
              <w:t>未提供不得分。</w:t>
            </w:r>
          </w:p>
        </w:tc>
      </w:tr>
      <w:tr w14:paraId="1B3C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86" w:type="pct"/>
            <w:vMerge w:val="continue"/>
            <w:vAlign w:val="center"/>
          </w:tcPr>
          <w:p w14:paraId="37B26F14">
            <w:pPr>
              <w:spacing w:line="240" w:lineRule="auto"/>
              <w:jc w:val="center"/>
              <w:rPr>
                <w:rFonts w:hint="eastAsia" w:ascii="宋体" w:hAnsi="宋体" w:eastAsia="宋体" w:cs="宋体"/>
                <w:color w:val="auto"/>
                <w:sz w:val="24"/>
                <w:szCs w:val="24"/>
                <w:highlight w:val="none"/>
              </w:rPr>
            </w:pPr>
          </w:p>
        </w:tc>
        <w:tc>
          <w:tcPr>
            <w:tcW w:w="647" w:type="pct"/>
            <w:vAlign w:val="center"/>
          </w:tcPr>
          <w:p w14:paraId="314E3A45">
            <w:pPr>
              <w:widowControl/>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rPr>
              <w:t>对</w:t>
            </w:r>
            <w:r>
              <w:rPr>
                <w:rFonts w:hint="eastAsia" w:ascii="宋体" w:hAnsi="宋体" w:cs="宋体"/>
                <w:color w:val="auto"/>
                <w:kern w:val="0"/>
                <w:sz w:val="24"/>
                <w:szCs w:val="24"/>
                <w:highlight w:val="none"/>
                <w:lang w:val="en-US" w:eastAsia="zh-CN"/>
              </w:rPr>
              <w:t>采购需求</w:t>
            </w:r>
            <w:r>
              <w:rPr>
                <w:rFonts w:hint="eastAsia" w:ascii="宋体" w:hAnsi="宋体" w:eastAsia="宋体" w:cs="宋体"/>
                <w:color w:val="auto"/>
                <w:kern w:val="0"/>
                <w:sz w:val="24"/>
                <w:szCs w:val="24"/>
                <w:highlight w:val="none"/>
              </w:rPr>
              <w:t>响应程度</w:t>
            </w:r>
          </w:p>
        </w:tc>
        <w:tc>
          <w:tcPr>
            <w:tcW w:w="379" w:type="pct"/>
            <w:vAlign w:val="center"/>
          </w:tcPr>
          <w:p w14:paraId="6E1960B2">
            <w:pPr>
              <w:spacing w:line="240" w:lineRule="auto"/>
              <w:ind w:firstLine="28"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14</w:t>
            </w:r>
          </w:p>
        </w:tc>
        <w:tc>
          <w:tcPr>
            <w:tcW w:w="3387" w:type="pct"/>
            <w:vAlign w:val="center"/>
          </w:tcPr>
          <w:p w14:paraId="6CD9B67E">
            <w:pPr>
              <w:widowControl/>
              <w:spacing w:line="240" w:lineRule="auto"/>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投标文件对招标文件第五章“采购需求”的响应程度；完全满足招标文件技术需求得</w:t>
            </w:r>
            <w:r>
              <w:rPr>
                <w:rFonts w:hint="eastAsia" w:ascii="宋体" w:hAnsi="宋体" w:cs="宋体"/>
                <w:b w:val="0"/>
                <w:bCs/>
                <w:color w:val="auto"/>
                <w:kern w:val="0"/>
                <w:sz w:val="24"/>
                <w:szCs w:val="24"/>
                <w:highlight w:val="none"/>
                <w:lang w:val="en-US" w:eastAsia="zh-CN"/>
              </w:rPr>
              <w:t>14</w:t>
            </w:r>
            <w:r>
              <w:rPr>
                <w:rFonts w:hint="eastAsia" w:ascii="宋体" w:hAnsi="宋体" w:eastAsia="宋体" w:cs="宋体"/>
                <w:b w:val="0"/>
                <w:bCs/>
                <w:color w:val="auto"/>
                <w:kern w:val="0"/>
                <w:sz w:val="24"/>
                <w:szCs w:val="24"/>
                <w:highlight w:val="none"/>
              </w:rPr>
              <w:t>分。</w:t>
            </w:r>
          </w:p>
          <w:p w14:paraId="79CCE7E1">
            <w:pPr>
              <w:widowControl/>
              <w:spacing w:line="240" w:lineRule="auto"/>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其他指标为一般指标，共</w:t>
            </w:r>
            <w:r>
              <w:rPr>
                <w:rFonts w:hint="eastAsia" w:ascii="宋体" w:hAnsi="宋体" w:cs="宋体"/>
                <w:b w:val="0"/>
                <w:bCs/>
                <w:color w:val="auto"/>
                <w:kern w:val="0"/>
                <w:sz w:val="24"/>
                <w:szCs w:val="24"/>
                <w:highlight w:val="none"/>
                <w:lang w:val="en-US" w:eastAsia="zh-CN"/>
              </w:rPr>
              <w:t>354</w:t>
            </w:r>
            <w:bookmarkStart w:id="943" w:name="_GoBack"/>
            <w:bookmarkEnd w:id="943"/>
            <w:r>
              <w:rPr>
                <w:rFonts w:hint="eastAsia" w:ascii="宋体" w:hAnsi="宋体" w:eastAsia="宋体" w:cs="宋体"/>
                <w:b w:val="0"/>
                <w:bCs/>
                <w:color w:val="auto"/>
                <w:kern w:val="0"/>
                <w:sz w:val="24"/>
                <w:szCs w:val="24"/>
                <w:highlight w:val="none"/>
              </w:rPr>
              <w:t>项，每有一项一般指标负偏离扣</w:t>
            </w:r>
            <w:r>
              <w:rPr>
                <w:rFonts w:hint="eastAsia" w:ascii="宋体" w:hAnsi="宋体" w:cs="宋体"/>
                <w:b w:val="0"/>
                <w:bCs/>
                <w:color w:val="auto"/>
                <w:kern w:val="0"/>
                <w:sz w:val="24"/>
                <w:szCs w:val="24"/>
                <w:highlight w:val="none"/>
                <w:lang w:val="en-US" w:eastAsia="zh-CN"/>
              </w:rPr>
              <w:t>0.5</w:t>
            </w:r>
            <w:r>
              <w:rPr>
                <w:rFonts w:hint="eastAsia" w:ascii="宋体" w:hAnsi="宋体" w:eastAsia="宋体" w:cs="宋体"/>
                <w:b w:val="0"/>
                <w:bCs/>
                <w:color w:val="auto"/>
                <w:kern w:val="0"/>
                <w:sz w:val="24"/>
                <w:szCs w:val="24"/>
                <w:highlight w:val="none"/>
              </w:rPr>
              <w:t>分，</w:t>
            </w:r>
            <w:r>
              <w:rPr>
                <w:rFonts w:hint="eastAsia" w:ascii="宋体" w:hAnsi="宋体" w:cs="宋体"/>
                <w:b w:val="0"/>
                <w:bCs/>
                <w:color w:val="auto"/>
                <w:kern w:val="0"/>
                <w:sz w:val="24"/>
                <w:szCs w:val="24"/>
                <w:highlight w:val="none"/>
                <w:lang w:val="en-US" w:eastAsia="zh-CN"/>
              </w:rPr>
              <w:t>14</w:t>
            </w:r>
            <w:r>
              <w:rPr>
                <w:rFonts w:hint="eastAsia" w:ascii="宋体" w:hAnsi="宋体" w:eastAsia="宋体" w:cs="宋体"/>
                <w:b w:val="0"/>
                <w:bCs/>
                <w:color w:val="auto"/>
                <w:kern w:val="0"/>
                <w:sz w:val="24"/>
                <w:szCs w:val="24"/>
                <w:highlight w:val="none"/>
              </w:rPr>
              <w:t>分扣完为止。</w:t>
            </w:r>
          </w:p>
          <w:p w14:paraId="4571D823">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b w:val="0"/>
                <w:bCs/>
                <w:color w:val="auto"/>
                <w:kern w:val="0"/>
                <w:sz w:val="24"/>
                <w:szCs w:val="24"/>
                <w:highlight w:val="none"/>
              </w:rPr>
              <w:t>漏报技术条款视为负偏离。</w:t>
            </w:r>
          </w:p>
        </w:tc>
      </w:tr>
      <w:tr w14:paraId="2C5E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586" w:type="pct"/>
            <w:vMerge w:val="continue"/>
            <w:vAlign w:val="center"/>
          </w:tcPr>
          <w:p w14:paraId="12BB9774">
            <w:pPr>
              <w:spacing w:line="240" w:lineRule="auto"/>
              <w:jc w:val="center"/>
              <w:rPr>
                <w:rFonts w:hint="eastAsia" w:ascii="宋体" w:hAnsi="宋体" w:eastAsia="宋体" w:cs="宋体"/>
                <w:color w:val="auto"/>
                <w:sz w:val="24"/>
                <w:szCs w:val="24"/>
                <w:highlight w:val="none"/>
              </w:rPr>
            </w:pPr>
          </w:p>
        </w:tc>
        <w:tc>
          <w:tcPr>
            <w:tcW w:w="647" w:type="pct"/>
            <w:vAlign w:val="center"/>
          </w:tcPr>
          <w:p w14:paraId="27B8755A">
            <w:pPr>
              <w:widowControl/>
              <w:spacing w:line="24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服务质量</w:t>
            </w:r>
          </w:p>
          <w:p w14:paraId="022FBF8F">
            <w:pPr>
              <w:widowControl/>
              <w:spacing w:line="24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保障措施</w:t>
            </w:r>
          </w:p>
          <w:p w14:paraId="1A415359">
            <w:pPr>
              <w:widowControl/>
              <w:spacing w:line="24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和承诺</w:t>
            </w:r>
          </w:p>
        </w:tc>
        <w:tc>
          <w:tcPr>
            <w:tcW w:w="379" w:type="pct"/>
            <w:vAlign w:val="center"/>
          </w:tcPr>
          <w:p w14:paraId="5B195B21">
            <w:pPr>
              <w:widowControl/>
              <w:spacing w:line="24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6</w:t>
            </w:r>
          </w:p>
        </w:tc>
        <w:tc>
          <w:tcPr>
            <w:tcW w:w="3387" w:type="pct"/>
            <w:vAlign w:val="center"/>
          </w:tcPr>
          <w:p w14:paraId="5D2E876A">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根据服务质量保障措施和承诺的合理性、可行性、完善性等情况综合评判。合理、可行，服务体系完善得 </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分；</w:t>
            </w:r>
          </w:p>
          <w:p w14:paraId="0478C903">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较合理、可行，服务体系较完善得 </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分；</w:t>
            </w:r>
          </w:p>
          <w:p w14:paraId="6E4F5159">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合理、可行一般，服务体系一般得 </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w:t>
            </w:r>
          </w:p>
          <w:p w14:paraId="39C1E5BA">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基本合理、可行，服务体系基本符合得 </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 xml:space="preserve"> 分；</w:t>
            </w:r>
          </w:p>
          <w:p w14:paraId="36ADDA65">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未提供不得分。</w:t>
            </w:r>
          </w:p>
        </w:tc>
      </w:tr>
      <w:tr w14:paraId="7E0F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586" w:type="pct"/>
            <w:vMerge w:val="continue"/>
            <w:vAlign w:val="center"/>
          </w:tcPr>
          <w:p w14:paraId="333CA752">
            <w:pPr>
              <w:spacing w:line="240" w:lineRule="auto"/>
              <w:jc w:val="center"/>
              <w:rPr>
                <w:rFonts w:hint="eastAsia" w:ascii="宋体" w:hAnsi="宋体" w:eastAsia="宋体" w:cs="宋体"/>
                <w:color w:val="auto"/>
                <w:sz w:val="24"/>
                <w:szCs w:val="24"/>
                <w:highlight w:val="none"/>
              </w:rPr>
            </w:pPr>
          </w:p>
        </w:tc>
        <w:tc>
          <w:tcPr>
            <w:tcW w:w="647" w:type="pct"/>
            <w:vAlign w:val="center"/>
          </w:tcPr>
          <w:p w14:paraId="5D7A366F">
            <w:pPr>
              <w:widowControl/>
              <w:spacing w:line="24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进度安排及</w:t>
            </w:r>
          </w:p>
          <w:p w14:paraId="17CD80F6">
            <w:pPr>
              <w:widowControl/>
              <w:spacing w:line="24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保证措施</w:t>
            </w:r>
          </w:p>
        </w:tc>
        <w:tc>
          <w:tcPr>
            <w:tcW w:w="379" w:type="pct"/>
            <w:vAlign w:val="center"/>
          </w:tcPr>
          <w:p w14:paraId="7975C92C">
            <w:pPr>
              <w:widowControl/>
              <w:spacing w:line="24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6</w:t>
            </w:r>
          </w:p>
        </w:tc>
        <w:tc>
          <w:tcPr>
            <w:tcW w:w="3387" w:type="pct"/>
            <w:vAlign w:val="center"/>
          </w:tcPr>
          <w:p w14:paraId="06D97546">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整体进度计划</w:t>
            </w:r>
            <w:r>
              <w:rPr>
                <w:rFonts w:hint="eastAsia" w:ascii="宋体" w:hAnsi="宋体" w:cs="宋体"/>
                <w:color w:val="auto"/>
                <w:kern w:val="0"/>
                <w:sz w:val="24"/>
                <w:szCs w:val="24"/>
                <w:highlight w:val="none"/>
                <w:lang w:val="en-US" w:eastAsia="zh-CN" w:bidi="ar"/>
              </w:rPr>
              <w:t>包含但不限于</w:t>
            </w:r>
            <w:r>
              <w:rPr>
                <w:rFonts w:hint="eastAsia" w:ascii="宋体" w:hAnsi="宋体" w:eastAsia="宋体" w:cs="宋体"/>
                <w:color w:val="auto"/>
                <w:kern w:val="3"/>
                <w:sz w:val="24"/>
                <w:szCs w:val="24"/>
                <w:highlight w:val="none"/>
                <w:lang w:val="en-US" w:eastAsia="zh-CN" w:bidi="ar-SA"/>
              </w:rPr>
              <w:t>实施策略、实施进度方案、项目验收方案</w:t>
            </w:r>
            <w:r>
              <w:rPr>
                <w:rFonts w:hint="eastAsia" w:ascii="宋体" w:hAnsi="宋体" w:cs="宋体"/>
                <w:color w:val="auto"/>
                <w:kern w:val="3"/>
                <w:sz w:val="24"/>
                <w:szCs w:val="24"/>
                <w:highlight w:val="none"/>
                <w:lang w:val="en-US" w:eastAsia="zh-CN" w:bidi="ar-SA"/>
              </w:rPr>
              <w:t>。</w:t>
            </w:r>
          </w:p>
          <w:p w14:paraId="70AC8304">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项目整体进度计划科学、可行，项目各阶段工作安排合理、完全满足项目整体要求得 </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 xml:space="preserve"> 分；</w:t>
            </w:r>
          </w:p>
          <w:p w14:paraId="53BBA00A">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项目整体进度计划较科学、较可行，项目各阶段工作安排较合理，满足项目整体要求得 </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 xml:space="preserve"> 分；</w:t>
            </w:r>
          </w:p>
          <w:p w14:paraId="04F92953">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项目整体进度计划基本可行，项目各阶段工作安排基本合理，基本满足项目要求得 </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 xml:space="preserve"> 分；</w:t>
            </w:r>
          </w:p>
          <w:p w14:paraId="4FD7167B">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项目整体进度计划安排存在不足，欠合理，离满足项目要求有一定差距得 </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 xml:space="preserve"> 分；</w:t>
            </w:r>
          </w:p>
          <w:p w14:paraId="6A0125E8">
            <w:pPr>
              <w:widowControl/>
              <w:spacing w:line="24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未提供不得分。</w:t>
            </w:r>
          </w:p>
        </w:tc>
      </w:tr>
    </w:tbl>
    <w:p w14:paraId="619D1F50">
      <w:pPr>
        <w:numPr>
          <w:ilvl w:val="0"/>
          <w:numId w:val="13"/>
        </w:num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bookmarkStart w:id="811" w:name="_Toc30693"/>
      <w:r>
        <w:rPr>
          <w:rFonts w:hint="eastAsia" w:ascii="宋体" w:hAnsi="宋体" w:cs="宋体"/>
          <w:b/>
          <w:color w:val="auto"/>
          <w:sz w:val="36"/>
          <w:szCs w:val="36"/>
          <w:highlight w:val="none"/>
        </w:rPr>
        <w:t xml:space="preserve">  采购需求</w:t>
      </w:r>
      <w:bookmarkEnd w:id="811"/>
    </w:p>
    <w:p w14:paraId="27BE810B">
      <w:pPr>
        <w:adjustRightInd w:val="0"/>
        <w:snapToGrid w:val="0"/>
        <w:spacing w:line="360" w:lineRule="auto"/>
        <w:ind w:firstLine="480" w:firstLineChars="200"/>
        <w:rPr>
          <w:rFonts w:hint="default"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一、项目简介</w:t>
      </w:r>
    </w:p>
    <w:p w14:paraId="0EA3B7D0">
      <w:pPr>
        <w:adjustRightInd w:val="0"/>
        <w:snapToGrid w:val="0"/>
        <w:spacing w:line="360" w:lineRule="auto"/>
        <w:ind w:firstLine="480" w:firstLineChars="200"/>
        <w:rPr>
          <w:rFonts w:hint="eastAsia"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本项目的系统建设需求是贯彻落实国家打造农业强国的战略要求，按照党中央、国务院、农业农村部、北京市等文件精神要求，落实北京市率先基本实现农业现代化的规划。通过农业全产业链数字管理平台的开发，提升于家务乡蔬菜产业的生产加工、销售流通、产品溯源的数字化水平和生产效率，帮助企业实现降本增收，促进于家务乡的整体就业。</w:t>
      </w:r>
    </w:p>
    <w:p w14:paraId="10EF9681">
      <w:pPr>
        <w:adjustRightInd w:val="0"/>
        <w:snapToGrid w:val="0"/>
        <w:spacing w:line="360" w:lineRule="auto"/>
        <w:ind w:firstLine="480" w:firstLineChars="200"/>
        <w:rPr>
          <w:rFonts w:hint="eastAsia"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二、产品购置清单</w:t>
      </w:r>
    </w:p>
    <w:tbl>
      <w:tblPr>
        <w:tblStyle w:val="45"/>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2555"/>
        <w:gridCol w:w="3791"/>
        <w:gridCol w:w="802"/>
        <w:gridCol w:w="714"/>
        <w:gridCol w:w="808"/>
      </w:tblGrid>
      <w:tr w14:paraId="7D2A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329" w:type="pct"/>
            <w:tcBorders>
              <w:top w:val="single" w:color="000000" w:sz="8" w:space="0"/>
              <w:left w:val="single" w:color="000000" w:sz="8" w:space="0"/>
              <w:bottom w:val="single" w:color="000000" w:sz="4" w:space="0"/>
              <w:right w:val="single" w:color="000000" w:sz="4" w:space="0"/>
            </w:tcBorders>
            <w:shd w:val="clear" w:color="auto" w:fill="auto"/>
            <w:vAlign w:val="center"/>
          </w:tcPr>
          <w:p w14:paraId="126722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376" w:type="pct"/>
            <w:tcBorders>
              <w:top w:val="single" w:color="000000" w:sz="8" w:space="0"/>
              <w:left w:val="single" w:color="000000" w:sz="4" w:space="0"/>
              <w:bottom w:val="single" w:color="000000" w:sz="4" w:space="0"/>
              <w:right w:val="single" w:color="000000" w:sz="4" w:space="0"/>
            </w:tcBorders>
            <w:shd w:val="clear" w:color="auto" w:fill="auto"/>
            <w:vAlign w:val="center"/>
          </w:tcPr>
          <w:p w14:paraId="5D04B1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2042" w:type="pct"/>
            <w:tcBorders>
              <w:top w:val="single" w:color="000000" w:sz="8" w:space="0"/>
              <w:left w:val="single" w:color="000000" w:sz="4" w:space="0"/>
              <w:bottom w:val="single" w:color="000000" w:sz="4" w:space="0"/>
              <w:right w:val="single" w:color="000000" w:sz="4" w:space="0"/>
            </w:tcBorders>
            <w:shd w:val="clear" w:color="auto" w:fill="auto"/>
            <w:vAlign w:val="center"/>
          </w:tcPr>
          <w:p w14:paraId="4C794C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功能需求、技术参数、性能指标要求</w:t>
            </w:r>
          </w:p>
        </w:tc>
        <w:tc>
          <w:tcPr>
            <w:tcW w:w="432" w:type="pct"/>
            <w:tcBorders>
              <w:top w:val="single" w:color="000000" w:sz="8" w:space="0"/>
              <w:left w:val="single" w:color="000000" w:sz="4" w:space="0"/>
              <w:bottom w:val="single" w:color="000000" w:sz="4" w:space="0"/>
              <w:right w:val="single" w:color="000000" w:sz="4" w:space="0"/>
            </w:tcBorders>
            <w:shd w:val="clear" w:color="auto" w:fill="auto"/>
            <w:vAlign w:val="center"/>
          </w:tcPr>
          <w:p w14:paraId="5DB8E0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384" w:type="pct"/>
            <w:tcBorders>
              <w:top w:val="single" w:color="000000" w:sz="8" w:space="0"/>
              <w:left w:val="single" w:color="000000" w:sz="4" w:space="0"/>
              <w:bottom w:val="single" w:color="000000" w:sz="4" w:space="0"/>
              <w:right w:val="single" w:color="000000" w:sz="4" w:space="0"/>
            </w:tcBorders>
            <w:shd w:val="clear" w:color="auto" w:fill="auto"/>
            <w:vAlign w:val="center"/>
          </w:tcPr>
          <w:p w14:paraId="19EB84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435" w:type="pct"/>
            <w:tcBorders>
              <w:top w:val="single" w:color="000000" w:sz="8" w:space="0"/>
              <w:left w:val="single" w:color="000000" w:sz="4" w:space="0"/>
              <w:bottom w:val="single" w:color="000000" w:sz="4" w:space="0"/>
              <w:right w:val="single" w:color="000000" w:sz="8" w:space="0"/>
            </w:tcBorders>
            <w:shd w:val="clear" w:color="auto" w:fill="auto"/>
            <w:vAlign w:val="center"/>
          </w:tcPr>
          <w:p w14:paraId="22BD58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29363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3748"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21F47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一、硬件类</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BB3EE">
            <w:pPr>
              <w:jc w:val="center"/>
              <w:rPr>
                <w:rFonts w:hint="eastAsia" w:ascii="宋体" w:hAnsi="宋体" w:eastAsia="宋体" w:cs="宋体"/>
                <w:i w:val="0"/>
                <w:iCs w:val="0"/>
                <w:color w:val="auto"/>
                <w:sz w:val="24"/>
                <w:szCs w:val="24"/>
                <w:highlight w:val="none"/>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7DCA2">
            <w:pPr>
              <w:jc w:val="center"/>
              <w:rPr>
                <w:rFonts w:hint="eastAsia" w:ascii="宋体" w:hAnsi="宋体" w:eastAsia="宋体" w:cs="宋体"/>
                <w:i w:val="0"/>
                <w:iCs w:val="0"/>
                <w:color w:val="auto"/>
                <w:sz w:val="24"/>
                <w:szCs w:val="24"/>
                <w:highlight w:val="none"/>
                <w:u w:val="none"/>
              </w:rPr>
            </w:pP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D457FC3">
            <w:pPr>
              <w:jc w:val="center"/>
              <w:rPr>
                <w:rFonts w:hint="eastAsia" w:ascii="宋体" w:hAnsi="宋体" w:eastAsia="宋体" w:cs="宋体"/>
                <w:i w:val="0"/>
                <w:iCs w:val="0"/>
                <w:color w:val="auto"/>
                <w:sz w:val="24"/>
                <w:szCs w:val="24"/>
                <w:highlight w:val="none"/>
                <w:u w:val="none"/>
              </w:rPr>
            </w:pPr>
          </w:p>
        </w:tc>
      </w:tr>
      <w:tr w14:paraId="1871D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2"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CF6B1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C02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智能电子秤</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C7811">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材质</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不锈钢盘+碳钢底座</w:t>
            </w:r>
          </w:p>
          <w:p w14:paraId="7C26C4D4">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称重范围：20kg-300kg</w:t>
            </w:r>
          </w:p>
          <w:p w14:paraId="7EBA6D50">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显示：</w:t>
            </w:r>
            <w:r>
              <w:rPr>
                <w:rFonts w:hint="eastAsia" w:ascii="宋体" w:hAnsi="宋体" w:cs="宋体"/>
                <w:color w:val="auto"/>
                <w:kern w:val="0"/>
                <w:sz w:val="24"/>
                <w:highlight w:val="none"/>
                <w:lang w:bidi="ar"/>
              </w:rPr>
              <w:t>LCD高清显示屏</w:t>
            </w:r>
          </w:p>
          <w:p w14:paraId="5CAE40E2">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工作温度</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0-40℃</w:t>
            </w:r>
          </w:p>
          <w:p w14:paraId="1994B5DC">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RS232串口通讯取重</w:t>
            </w:r>
          </w:p>
          <w:p w14:paraId="3692644E">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有线即插即用（文本输出）</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51B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CCB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9ED3847">
            <w:pPr>
              <w:jc w:val="center"/>
              <w:rPr>
                <w:rFonts w:hint="eastAsia" w:ascii="宋体" w:hAnsi="宋体" w:eastAsia="宋体" w:cs="宋体"/>
                <w:i w:val="0"/>
                <w:iCs w:val="0"/>
                <w:color w:val="auto"/>
                <w:sz w:val="24"/>
                <w:szCs w:val="24"/>
                <w:highlight w:val="none"/>
                <w:u w:val="none"/>
              </w:rPr>
            </w:pPr>
          </w:p>
        </w:tc>
      </w:tr>
      <w:tr w14:paraId="4A249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49DCA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ADC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称重平板电脑</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24256">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highlight w:val="none"/>
                <w:lang w:bidi="ar"/>
              </w:rPr>
              <w:t>连接智能电子秤称重使用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屏幕尺寸:</w:t>
            </w:r>
            <w:r>
              <w:rPr>
                <w:rFonts w:ascii="Microsoft YaHei UI" w:hAnsi="Microsoft YaHei UI" w:eastAsia="Microsoft YaHei UI" w:cs="Arial"/>
                <w:color w:val="auto"/>
                <w:sz w:val="18"/>
                <w:szCs w:val="18"/>
                <w:highlight w:val="none"/>
                <w:lang w:val="en"/>
              </w:rPr>
              <w:t xml:space="preserve"> </w:t>
            </w:r>
            <w:r>
              <w:rPr>
                <w:rFonts w:ascii="宋体" w:hAnsi="宋体" w:cs="宋体"/>
                <w:color w:val="auto"/>
                <w:kern w:val="0"/>
                <w:sz w:val="24"/>
                <w:highlight w:val="none"/>
                <w:lang w:val="en" w:bidi="ar"/>
              </w:rPr>
              <w:t>≥</w:t>
            </w:r>
            <w:r>
              <w:rPr>
                <w:rFonts w:hint="eastAsia" w:ascii="宋体" w:hAnsi="宋体" w:cs="宋体"/>
                <w:color w:val="auto"/>
                <w:kern w:val="0"/>
                <w:sz w:val="24"/>
                <w:highlight w:val="none"/>
                <w:lang w:bidi="ar"/>
              </w:rPr>
              <w:t>12英寸 运行内存:</w:t>
            </w:r>
            <w:r>
              <w:rPr>
                <w:rFonts w:ascii="宋体" w:hAnsi="宋体" w:cs="宋体"/>
                <w:color w:val="auto"/>
                <w:kern w:val="0"/>
                <w:sz w:val="24"/>
                <w:highlight w:val="none"/>
                <w:lang w:val="en" w:bidi="ar"/>
              </w:rPr>
              <w:t>≥</w:t>
            </w:r>
            <w:r>
              <w:rPr>
                <w:rFonts w:hint="eastAsia" w:ascii="宋体" w:hAnsi="宋体" w:cs="宋体"/>
                <w:color w:val="auto"/>
                <w:kern w:val="0"/>
                <w:sz w:val="24"/>
                <w:highlight w:val="none"/>
                <w:lang w:bidi="ar"/>
              </w:rPr>
              <w:t>16GB 存储容量:</w:t>
            </w:r>
            <w:r>
              <w:rPr>
                <w:rFonts w:ascii="宋体" w:hAnsi="宋体" w:cs="宋体"/>
                <w:color w:val="auto"/>
                <w:kern w:val="0"/>
                <w:sz w:val="24"/>
                <w:highlight w:val="none"/>
                <w:lang w:val="en" w:bidi="ar"/>
              </w:rPr>
              <w:t>≥</w:t>
            </w:r>
            <w:r>
              <w:rPr>
                <w:rFonts w:hint="eastAsia" w:ascii="宋体" w:hAnsi="宋体" w:cs="宋体"/>
                <w:color w:val="auto"/>
                <w:kern w:val="0"/>
                <w:sz w:val="24"/>
                <w:highlight w:val="none"/>
                <w:lang w:bidi="ar"/>
              </w:rPr>
              <w:t>512G前置摄像头:</w:t>
            </w:r>
            <w:r>
              <w:rPr>
                <w:rFonts w:ascii="宋体" w:hAnsi="宋体" w:cs="宋体"/>
                <w:color w:val="auto"/>
                <w:kern w:val="0"/>
                <w:sz w:val="24"/>
                <w:highlight w:val="none"/>
                <w:lang w:val="en" w:bidi="ar"/>
              </w:rPr>
              <w:t>≥</w:t>
            </w:r>
            <w:r>
              <w:rPr>
                <w:rFonts w:hint="eastAsia" w:ascii="宋体" w:hAnsi="宋体" w:cs="宋体"/>
                <w:color w:val="auto"/>
                <w:kern w:val="0"/>
                <w:sz w:val="24"/>
                <w:highlight w:val="none"/>
                <w:lang w:bidi="ar"/>
              </w:rPr>
              <w:t>800万像素 后置摄像头:</w:t>
            </w:r>
            <w:r>
              <w:rPr>
                <w:rFonts w:ascii="宋体" w:hAnsi="宋体" w:cs="宋体"/>
                <w:color w:val="auto"/>
                <w:kern w:val="0"/>
                <w:sz w:val="24"/>
                <w:highlight w:val="none"/>
                <w:lang w:val="en" w:bidi="ar"/>
              </w:rPr>
              <w:t>≥</w:t>
            </w:r>
            <w:r>
              <w:rPr>
                <w:rFonts w:hint="eastAsia" w:ascii="宋体" w:hAnsi="宋体" w:cs="宋体"/>
                <w:color w:val="auto"/>
                <w:kern w:val="0"/>
                <w:sz w:val="24"/>
                <w:highlight w:val="none"/>
                <w:lang w:bidi="ar"/>
              </w:rPr>
              <w:t>1300万像素</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A35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581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C9F88A2">
            <w:pPr>
              <w:jc w:val="center"/>
              <w:rPr>
                <w:rFonts w:hint="eastAsia" w:ascii="宋体" w:hAnsi="宋体" w:eastAsia="宋体" w:cs="宋体"/>
                <w:i w:val="0"/>
                <w:iCs w:val="0"/>
                <w:color w:val="auto"/>
                <w:sz w:val="24"/>
                <w:szCs w:val="24"/>
                <w:highlight w:val="none"/>
                <w:u w:val="none"/>
              </w:rPr>
            </w:pPr>
          </w:p>
        </w:tc>
      </w:tr>
      <w:tr w14:paraId="55BC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048BD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08A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品控平板电脑</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6158C">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农产品检查品控使用</w:t>
            </w:r>
          </w:p>
          <w:p w14:paraId="0B5D2093">
            <w:pPr>
              <w:widowControl/>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color w:val="auto"/>
                <w:kern w:val="0"/>
                <w:sz w:val="24"/>
                <w:highlight w:val="none"/>
                <w:lang w:bidi="ar"/>
              </w:rPr>
              <w:t>屏幕尺寸:</w:t>
            </w:r>
            <w:r>
              <w:rPr>
                <w:rFonts w:ascii="宋体" w:hAnsi="宋体" w:cs="宋体"/>
                <w:color w:val="auto"/>
                <w:kern w:val="0"/>
                <w:sz w:val="24"/>
                <w:highlight w:val="none"/>
                <w:lang w:val="en" w:bidi="ar"/>
              </w:rPr>
              <w:t xml:space="preserve"> ≥</w:t>
            </w:r>
            <w:r>
              <w:rPr>
                <w:rFonts w:hint="eastAsia" w:ascii="宋体" w:hAnsi="宋体" w:cs="宋体"/>
                <w:color w:val="auto"/>
                <w:kern w:val="0"/>
                <w:sz w:val="24"/>
                <w:highlight w:val="none"/>
                <w:lang w:bidi="ar"/>
              </w:rPr>
              <w:t>12英寸 运行内存:</w:t>
            </w:r>
            <w:r>
              <w:rPr>
                <w:rFonts w:ascii="宋体" w:hAnsi="宋体" w:cs="宋体"/>
                <w:color w:val="auto"/>
                <w:kern w:val="0"/>
                <w:sz w:val="24"/>
                <w:highlight w:val="none"/>
                <w:lang w:val="en" w:bidi="ar"/>
              </w:rPr>
              <w:t xml:space="preserve"> ≥</w:t>
            </w:r>
            <w:r>
              <w:rPr>
                <w:rFonts w:hint="eastAsia" w:ascii="宋体" w:hAnsi="宋体" w:cs="宋体"/>
                <w:color w:val="auto"/>
                <w:kern w:val="0"/>
                <w:sz w:val="24"/>
                <w:highlight w:val="none"/>
                <w:lang w:bidi="ar"/>
              </w:rPr>
              <w:t>12GB 存储容量:</w:t>
            </w:r>
            <w:r>
              <w:rPr>
                <w:rFonts w:ascii="宋体" w:hAnsi="宋体" w:cs="宋体"/>
                <w:color w:val="auto"/>
                <w:kern w:val="0"/>
                <w:sz w:val="24"/>
                <w:highlight w:val="none"/>
                <w:lang w:val="en" w:bidi="ar"/>
              </w:rPr>
              <w:t xml:space="preserve"> ≥</w:t>
            </w:r>
            <w:r>
              <w:rPr>
                <w:rFonts w:hint="eastAsia" w:ascii="宋体" w:hAnsi="宋体" w:cs="宋体"/>
                <w:color w:val="auto"/>
                <w:kern w:val="0"/>
                <w:sz w:val="24"/>
                <w:highlight w:val="none"/>
                <w:lang w:bidi="ar"/>
              </w:rPr>
              <w:t>256GB 前置摄像头:</w:t>
            </w:r>
            <w:r>
              <w:rPr>
                <w:rFonts w:ascii="宋体" w:hAnsi="宋体" w:cs="宋体"/>
                <w:color w:val="auto"/>
                <w:kern w:val="0"/>
                <w:sz w:val="24"/>
                <w:highlight w:val="none"/>
                <w:lang w:val="en" w:bidi="ar"/>
              </w:rPr>
              <w:t xml:space="preserve"> ≥</w:t>
            </w:r>
            <w:r>
              <w:rPr>
                <w:rFonts w:hint="eastAsia" w:ascii="宋体" w:hAnsi="宋体" w:cs="宋体"/>
                <w:color w:val="auto"/>
                <w:kern w:val="0"/>
                <w:sz w:val="24"/>
                <w:highlight w:val="none"/>
                <w:lang w:bidi="ar"/>
              </w:rPr>
              <w:t>800万像素 后置摄像头:</w:t>
            </w:r>
            <w:r>
              <w:rPr>
                <w:rFonts w:ascii="宋体" w:hAnsi="宋体" w:cs="宋体"/>
                <w:color w:val="auto"/>
                <w:kern w:val="0"/>
                <w:sz w:val="24"/>
                <w:highlight w:val="none"/>
                <w:lang w:val="en" w:bidi="ar"/>
              </w:rPr>
              <w:t xml:space="preserve"> ≥</w:t>
            </w:r>
            <w:r>
              <w:rPr>
                <w:rFonts w:hint="eastAsia" w:ascii="宋体" w:hAnsi="宋体" w:cs="宋体"/>
                <w:color w:val="auto"/>
                <w:kern w:val="0"/>
                <w:sz w:val="24"/>
                <w:highlight w:val="none"/>
                <w:lang w:bidi="ar"/>
              </w:rPr>
              <w:t>1300万像素</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8A5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1AE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6DE71D2">
            <w:pPr>
              <w:jc w:val="center"/>
              <w:rPr>
                <w:rFonts w:hint="eastAsia" w:ascii="宋体" w:hAnsi="宋体" w:eastAsia="宋体" w:cs="宋体"/>
                <w:i w:val="0"/>
                <w:iCs w:val="0"/>
                <w:color w:val="auto"/>
                <w:sz w:val="24"/>
                <w:szCs w:val="24"/>
                <w:highlight w:val="none"/>
                <w:u w:val="none"/>
              </w:rPr>
            </w:pPr>
          </w:p>
        </w:tc>
      </w:tr>
      <w:tr w14:paraId="3BCAA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961B5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485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电动叉车</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DE4F8">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电动叉车</w:t>
            </w:r>
            <w:r>
              <w:rPr>
                <w:rFonts w:hint="eastAsia" w:ascii="宋体" w:hAnsi="宋体" w:cs="宋体"/>
                <w:color w:val="auto"/>
                <w:kern w:val="0"/>
                <w:sz w:val="24"/>
                <w:highlight w:val="none"/>
                <w:lang w:eastAsia="zh-CN" w:bidi="ar"/>
              </w:rPr>
              <w:t>站</w:t>
            </w:r>
            <w:r>
              <w:rPr>
                <w:rFonts w:hint="eastAsia" w:ascii="宋体" w:hAnsi="宋体" w:cs="宋体"/>
                <w:color w:val="auto"/>
                <w:kern w:val="0"/>
                <w:sz w:val="24"/>
                <w:highlight w:val="none"/>
                <w:lang w:bidi="ar"/>
              </w:rPr>
              <w:t>驾式堆高车装卸车堆垛车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装卸车2吨堆垛车</w:t>
            </w:r>
          </w:p>
          <w:p w14:paraId="33699929">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额定载荷：</w:t>
            </w:r>
            <w:r>
              <w:rPr>
                <w:rFonts w:ascii="宋体" w:hAnsi="宋体" w:cs="宋体"/>
                <w:color w:val="auto"/>
                <w:kern w:val="0"/>
                <w:sz w:val="24"/>
                <w:highlight w:val="none"/>
                <w:lang w:val="en" w:bidi="ar"/>
              </w:rPr>
              <w:t>≥</w:t>
            </w:r>
            <w:r>
              <w:rPr>
                <w:rFonts w:hint="eastAsia" w:ascii="宋体" w:hAnsi="宋体" w:cs="宋体"/>
                <w:color w:val="auto"/>
                <w:kern w:val="0"/>
                <w:sz w:val="24"/>
                <w:highlight w:val="none"/>
                <w:lang w:bidi="ar"/>
              </w:rPr>
              <w:t>2000kg起升高度：</w:t>
            </w:r>
            <w:r>
              <w:rPr>
                <w:rFonts w:ascii="宋体" w:hAnsi="宋体" w:cs="宋体"/>
                <w:color w:val="auto"/>
                <w:kern w:val="0"/>
                <w:sz w:val="24"/>
                <w:highlight w:val="none"/>
                <w:lang w:val="en" w:bidi="ar"/>
              </w:rPr>
              <w:t>≥</w:t>
            </w:r>
            <w:r>
              <w:rPr>
                <w:rFonts w:hint="eastAsia" w:ascii="宋体" w:hAnsi="宋体" w:cs="宋体"/>
                <w:color w:val="auto"/>
                <w:kern w:val="0"/>
                <w:sz w:val="24"/>
                <w:highlight w:val="none"/>
                <w:lang w:val="en-US" w:eastAsia="zh-CN" w:bidi="ar"/>
              </w:rPr>
              <w:t>300</w:t>
            </w:r>
            <w:r>
              <w:rPr>
                <w:rFonts w:hint="eastAsia" w:ascii="宋体" w:hAnsi="宋体" w:cs="宋体"/>
                <w:color w:val="auto"/>
                <w:kern w:val="0"/>
                <w:sz w:val="24"/>
                <w:highlight w:val="none"/>
                <w:lang w:bidi="ar"/>
              </w:rPr>
              <w:t>0mm</w:t>
            </w:r>
          </w:p>
          <w:p w14:paraId="76E71A65">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highlight w:val="none"/>
                <w:lang w:bidi="ar"/>
              </w:rPr>
              <w:t>货叉尺寸:55*180*1150最小转弯半径：2200mm</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197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79E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698527F">
            <w:pPr>
              <w:jc w:val="center"/>
              <w:rPr>
                <w:rFonts w:hint="eastAsia" w:ascii="宋体" w:hAnsi="宋体" w:eastAsia="宋体" w:cs="宋体"/>
                <w:i w:val="0"/>
                <w:iCs w:val="0"/>
                <w:color w:val="auto"/>
                <w:sz w:val="24"/>
                <w:szCs w:val="24"/>
                <w:highlight w:val="none"/>
                <w:u w:val="none"/>
              </w:rPr>
            </w:pPr>
          </w:p>
        </w:tc>
      </w:tr>
      <w:tr w14:paraId="6AB3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414AA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CB8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电动地牛</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B6894">
            <w:pPr>
              <w:widowControl/>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color w:val="auto"/>
                <w:kern w:val="0"/>
                <w:sz w:val="24"/>
                <w:highlight w:val="none"/>
                <w:lang w:bidi="ar"/>
              </w:rPr>
              <w:t>电动地牛2吨48V20A锂电池托盘升降搬运叉车外宽</w:t>
            </w:r>
            <w:r>
              <w:rPr>
                <w:rFonts w:ascii="宋体" w:hAnsi="宋体" w:cs="宋体"/>
                <w:color w:val="auto"/>
                <w:kern w:val="0"/>
                <w:sz w:val="24"/>
                <w:highlight w:val="none"/>
                <w:lang w:val="en" w:bidi="ar"/>
              </w:rPr>
              <w:t>≥</w:t>
            </w:r>
            <w:r>
              <w:rPr>
                <w:rFonts w:hint="eastAsia" w:ascii="宋体" w:hAnsi="宋体" w:cs="宋体"/>
                <w:color w:val="auto"/>
                <w:kern w:val="0"/>
                <w:sz w:val="24"/>
                <w:highlight w:val="none"/>
                <w:lang w:bidi="ar"/>
              </w:rPr>
              <w:t>685</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C86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C33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EE90415">
            <w:pPr>
              <w:jc w:val="center"/>
              <w:rPr>
                <w:rFonts w:hint="eastAsia" w:ascii="宋体" w:hAnsi="宋体" w:eastAsia="宋体" w:cs="宋体"/>
                <w:i w:val="0"/>
                <w:iCs w:val="0"/>
                <w:color w:val="auto"/>
                <w:sz w:val="24"/>
                <w:szCs w:val="24"/>
                <w:highlight w:val="none"/>
                <w:u w:val="none"/>
              </w:rPr>
            </w:pPr>
          </w:p>
        </w:tc>
      </w:tr>
      <w:tr w14:paraId="0966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2"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53F3E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1E0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运输托盘</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B5376">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highlight w:val="none"/>
                <w:lang w:bidi="ar"/>
              </w:rPr>
              <w:t>静载</w:t>
            </w:r>
            <w:r>
              <w:rPr>
                <w:rFonts w:ascii="宋体" w:hAnsi="宋体" w:cs="宋体"/>
                <w:color w:val="auto"/>
                <w:kern w:val="0"/>
                <w:sz w:val="24"/>
                <w:highlight w:val="none"/>
                <w:lang w:val="en" w:bidi="ar"/>
              </w:rPr>
              <w:t>≥</w:t>
            </w:r>
            <w:r>
              <w:rPr>
                <w:rFonts w:hint="eastAsia" w:ascii="宋体" w:hAnsi="宋体" w:cs="宋体"/>
                <w:color w:val="auto"/>
                <w:kern w:val="0"/>
                <w:sz w:val="24"/>
                <w:highlight w:val="none"/>
                <w:lang w:val="en" w:bidi="ar"/>
              </w:rPr>
              <w:t>4</w:t>
            </w:r>
            <w:r>
              <w:rPr>
                <w:rFonts w:hint="eastAsia" w:ascii="宋体" w:hAnsi="宋体" w:cs="宋体"/>
                <w:color w:val="auto"/>
                <w:kern w:val="0"/>
                <w:sz w:val="24"/>
                <w:highlight w:val="none"/>
                <w:lang w:bidi="ar"/>
              </w:rPr>
              <w:t>T，动载</w:t>
            </w:r>
            <w:r>
              <w:rPr>
                <w:rFonts w:ascii="宋体" w:hAnsi="宋体" w:cs="宋体"/>
                <w:color w:val="auto"/>
                <w:kern w:val="0"/>
                <w:sz w:val="24"/>
                <w:highlight w:val="none"/>
                <w:lang w:val="en" w:bidi="ar"/>
              </w:rPr>
              <w:t>≥</w:t>
            </w:r>
            <w:r>
              <w:rPr>
                <w:rFonts w:hint="eastAsia" w:ascii="宋体" w:hAnsi="宋体" w:cs="宋体"/>
                <w:color w:val="auto"/>
                <w:kern w:val="0"/>
                <w:sz w:val="24"/>
                <w:highlight w:val="none"/>
                <w:lang w:bidi="ar"/>
              </w:rPr>
              <w:t>1T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0B9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88E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4E50A1A">
            <w:pPr>
              <w:jc w:val="center"/>
              <w:rPr>
                <w:rFonts w:hint="eastAsia" w:ascii="宋体" w:hAnsi="宋体" w:eastAsia="宋体" w:cs="宋体"/>
                <w:i w:val="0"/>
                <w:iCs w:val="0"/>
                <w:color w:val="auto"/>
                <w:sz w:val="24"/>
                <w:szCs w:val="24"/>
                <w:highlight w:val="none"/>
                <w:u w:val="none"/>
              </w:rPr>
            </w:pPr>
          </w:p>
        </w:tc>
      </w:tr>
      <w:tr w14:paraId="0A8A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FD06D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308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机械手码垛机</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E3CC9">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highlight w:val="none"/>
                <w:lang w:bidi="ar"/>
              </w:rPr>
              <w:t>码垛速度：6-8次/min，负载：</w:t>
            </w:r>
            <w:r>
              <w:rPr>
                <w:rFonts w:hint="eastAsia" w:ascii="宋体" w:hAnsi="宋体" w:cs="宋体"/>
                <w:color w:val="auto"/>
                <w:kern w:val="0"/>
                <w:sz w:val="24"/>
                <w:highlight w:val="none"/>
                <w:lang w:eastAsia="zh-CN" w:bidi="ar"/>
              </w:rPr>
              <w:t>最大</w:t>
            </w:r>
            <w:r>
              <w:rPr>
                <w:rFonts w:hint="eastAsia" w:ascii="宋体" w:hAnsi="宋体" w:cs="宋体"/>
                <w:color w:val="auto"/>
                <w:kern w:val="0"/>
                <w:sz w:val="24"/>
                <w:highlight w:val="none"/>
                <w:lang w:bidi="ar"/>
              </w:rPr>
              <w:t>50KG，工作半径：2000mm</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959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501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DDCD47F">
            <w:pPr>
              <w:jc w:val="center"/>
              <w:rPr>
                <w:rFonts w:hint="eastAsia" w:ascii="宋体" w:hAnsi="宋体" w:eastAsia="宋体" w:cs="宋体"/>
                <w:i w:val="0"/>
                <w:iCs w:val="0"/>
                <w:color w:val="auto"/>
                <w:sz w:val="24"/>
                <w:szCs w:val="24"/>
                <w:highlight w:val="none"/>
                <w:u w:val="none"/>
              </w:rPr>
            </w:pPr>
          </w:p>
        </w:tc>
      </w:tr>
      <w:tr w14:paraId="4602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E44FC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8B6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自动打包机</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C8911">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highlight w:val="none"/>
                <w:lang w:bidi="ar"/>
              </w:rPr>
              <w:t>制袋长度120-不限，宽度：50-280mm，高度：max140mm，卷膜直径：max320mm，包装速度：20-40/min</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2D8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DF2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30995A4">
            <w:pPr>
              <w:jc w:val="center"/>
              <w:rPr>
                <w:rFonts w:hint="eastAsia" w:ascii="宋体" w:hAnsi="宋体" w:eastAsia="宋体" w:cs="宋体"/>
                <w:i w:val="0"/>
                <w:iCs w:val="0"/>
                <w:color w:val="auto"/>
                <w:sz w:val="24"/>
                <w:szCs w:val="24"/>
                <w:highlight w:val="none"/>
                <w:u w:val="none"/>
              </w:rPr>
            </w:pPr>
          </w:p>
        </w:tc>
      </w:tr>
      <w:tr w14:paraId="109CA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E2A46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8F5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手持终端PDA</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98A93">
            <w:pPr>
              <w:widowControl/>
              <w:jc w:val="left"/>
              <w:textAlignment w:val="center"/>
              <w:rPr>
                <w:rFonts w:hint="eastAsia" w:ascii="宋体" w:hAnsi="宋体" w:eastAsia="宋体" w:cs="宋体"/>
                <w:i w:val="0"/>
                <w:iCs w:val="0"/>
                <w:color w:val="auto"/>
                <w:sz w:val="24"/>
                <w:szCs w:val="24"/>
                <w:highlight w:val="none"/>
                <w:u w:val="none"/>
              </w:rPr>
            </w:pPr>
            <w:r>
              <w:rPr>
                <w:rFonts w:ascii="宋体" w:hAnsi="宋体" w:cs="宋体"/>
                <w:color w:val="auto"/>
                <w:kern w:val="0"/>
                <w:sz w:val="24"/>
                <w:highlight w:val="none"/>
                <w:lang w:val="en" w:bidi="ar"/>
              </w:rPr>
              <w:t>≥</w:t>
            </w:r>
            <w:r>
              <w:rPr>
                <w:rFonts w:hint="eastAsia" w:ascii="宋体" w:hAnsi="宋体" w:cs="宋体"/>
                <w:color w:val="auto"/>
                <w:kern w:val="0"/>
                <w:sz w:val="24"/>
                <w:highlight w:val="none"/>
                <w:lang w:bidi="ar"/>
              </w:rPr>
              <w:t>800万像素，LED补光，wifi，不低于IP65防水</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521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C47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3B3A766">
            <w:pPr>
              <w:jc w:val="center"/>
              <w:rPr>
                <w:rFonts w:hint="eastAsia" w:ascii="宋体" w:hAnsi="宋体" w:eastAsia="宋体" w:cs="宋体"/>
                <w:i w:val="0"/>
                <w:iCs w:val="0"/>
                <w:color w:val="auto"/>
                <w:sz w:val="24"/>
                <w:szCs w:val="24"/>
                <w:highlight w:val="none"/>
                <w:u w:val="none"/>
              </w:rPr>
            </w:pPr>
          </w:p>
        </w:tc>
      </w:tr>
      <w:tr w14:paraId="67567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FB911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20C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全自动保鲜膜包装机</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3AA2A">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highlight w:val="none"/>
                <w:lang w:bidi="ar"/>
              </w:rPr>
              <w:t>包装速度：20-50包/分钟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物料类型：蔬菜、叶菜、果蔬</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51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8A6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650C055">
            <w:pPr>
              <w:jc w:val="center"/>
              <w:rPr>
                <w:rFonts w:hint="eastAsia" w:ascii="宋体" w:hAnsi="宋体" w:eastAsia="宋体" w:cs="宋体"/>
                <w:i w:val="0"/>
                <w:iCs w:val="0"/>
                <w:color w:val="auto"/>
                <w:sz w:val="24"/>
                <w:szCs w:val="24"/>
                <w:highlight w:val="none"/>
                <w:u w:val="none"/>
              </w:rPr>
            </w:pPr>
          </w:p>
        </w:tc>
      </w:tr>
      <w:tr w14:paraId="37253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638BB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6FD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滚筒运输机</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3C699">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highlight w:val="none"/>
                <w:lang w:bidi="ar"/>
              </w:rPr>
              <w:t>滚筒输送机弯道输送辊筒辊道线90度锥辊装配线运输机</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AF1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C90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CABBD52">
            <w:pPr>
              <w:jc w:val="center"/>
              <w:rPr>
                <w:rFonts w:hint="eastAsia" w:ascii="宋体" w:hAnsi="宋体" w:eastAsia="宋体" w:cs="宋体"/>
                <w:i w:val="0"/>
                <w:iCs w:val="0"/>
                <w:color w:val="auto"/>
                <w:sz w:val="24"/>
                <w:szCs w:val="24"/>
                <w:highlight w:val="none"/>
                <w:u w:val="none"/>
              </w:rPr>
            </w:pPr>
          </w:p>
        </w:tc>
      </w:tr>
      <w:tr w14:paraId="111AB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18520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F43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车载视频监控部标机</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D37F3">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highlight w:val="none"/>
                <w:lang w:bidi="ar"/>
              </w:rPr>
              <w:t>磁吸，4G通信，光感报警，不低于IP65防水，70度以下正常工作，驾驶行为分析报表，盲区补录</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130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BD2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D257356">
            <w:pPr>
              <w:jc w:val="center"/>
              <w:rPr>
                <w:rFonts w:hint="eastAsia" w:ascii="宋体" w:hAnsi="宋体" w:eastAsia="宋体" w:cs="宋体"/>
                <w:i w:val="0"/>
                <w:iCs w:val="0"/>
                <w:color w:val="auto"/>
                <w:sz w:val="24"/>
                <w:szCs w:val="24"/>
                <w:highlight w:val="none"/>
                <w:u w:val="none"/>
              </w:rPr>
            </w:pPr>
          </w:p>
        </w:tc>
      </w:tr>
      <w:tr w14:paraId="64DB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6DC0A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97B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直播摄像头</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21E79">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highlight w:val="none"/>
                <w:lang w:bidi="ar"/>
              </w:rPr>
              <w:t>4k，</w:t>
            </w:r>
            <w:r>
              <w:rPr>
                <w:rFonts w:ascii="宋体" w:hAnsi="宋体" w:cs="宋体"/>
                <w:color w:val="auto"/>
                <w:kern w:val="0"/>
                <w:sz w:val="24"/>
                <w:highlight w:val="none"/>
                <w:lang w:val="en" w:bidi="ar"/>
              </w:rPr>
              <w:t>≥</w:t>
            </w:r>
            <w:r>
              <w:rPr>
                <w:rFonts w:hint="eastAsia" w:ascii="宋体" w:hAnsi="宋体" w:cs="宋体"/>
                <w:color w:val="auto"/>
                <w:kern w:val="0"/>
                <w:sz w:val="24"/>
                <w:highlight w:val="none"/>
                <w:lang w:bidi="ar"/>
              </w:rPr>
              <w:t>800万像素，自动变焦聚焦、10x光学变倍、广角、免驱动，旋转</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CEA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48A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376AF92">
            <w:pPr>
              <w:jc w:val="center"/>
              <w:rPr>
                <w:rFonts w:hint="eastAsia" w:ascii="宋体" w:hAnsi="宋体" w:eastAsia="宋体" w:cs="宋体"/>
                <w:i w:val="0"/>
                <w:iCs w:val="0"/>
                <w:color w:val="auto"/>
                <w:sz w:val="24"/>
                <w:szCs w:val="24"/>
                <w:highlight w:val="none"/>
                <w:u w:val="none"/>
              </w:rPr>
            </w:pPr>
          </w:p>
        </w:tc>
      </w:tr>
      <w:tr w14:paraId="5C95F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9B92F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C6A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摄像头三脚架</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FFCA6">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highlight w:val="none"/>
                <w:lang w:bidi="ar"/>
              </w:rPr>
              <w:t xml:space="preserve">摄像头支架三角架 </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9B7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23A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ED2B43A">
            <w:pPr>
              <w:jc w:val="center"/>
              <w:rPr>
                <w:rFonts w:hint="eastAsia" w:ascii="宋体" w:hAnsi="宋体" w:eastAsia="宋体" w:cs="宋体"/>
                <w:i w:val="0"/>
                <w:iCs w:val="0"/>
                <w:color w:val="auto"/>
                <w:sz w:val="24"/>
                <w:szCs w:val="24"/>
                <w:highlight w:val="none"/>
                <w:u w:val="none"/>
              </w:rPr>
            </w:pPr>
          </w:p>
        </w:tc>
      </w:tr>
      <w:tr w14:paraId="2263D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5"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F0C61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13D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直播一体机</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EB307">
            <w:pPr>
              <w:widowControl/>
              <w:jc w:val="left"/>
              <w:textAlignment w:val="center"/>
              <w:rPr>
                <w:rFonts w:hint="eastAsia" w:ascii="宋体" w:hAnsi="宋体" w:eastAsia="宋体" w:cs="宋体"/>
                <w:i w:val="0"/>
                <w:iCs w:val="0"/>
                <w:color w:val="auto"/>
                <w:sz w:val="24"/>
                <w:szCs w:val="24"/>
                <w:highlight w:val="none"/>
                <w:u w:val="none"/>
              </w:rPr>
            </w:pPr>
            <w:r>
              <w:rPr>
                <w:rFonts w:ascii="宋体" w:hAnsi="宋体" w:cs="宋体"/>
                <w:color w:val="auto"/>
                <w:kern w:val="0"/>
                <w:sz w:val="24"/>
                <w:highlight w:val="none"/>
                <w:lang w:val="en" w:bidi="ar"/>
              </w:rPr>
              <w:t>≥</w:t>
            </w:r>
            <w:r>
              <w:rPr>
                <w:rFonts w:hint="eastAsia" w:ascii="宋体" w:hAnsi="宋体" w:cs="宋体"/>
                <w:color w:val="auto"/>
                <w:kern w:val="0"/>
                <w:sz w:val="24"/>
                <w:highlight w:val="none"/>
                <w:lang w:bidi="ar"/>
              </w:rPr>
              <w:t>50英寸，IPS面板技术，1920*1080分辨率，</w:t>
            </w:r>
            <w:r>
              <w:rPr>
                <w:rFonts w:ascii="宋体" w:hAnsi="宋体" w:cs="宋体"/>
                <w:color w:val="auto"/>
                <w:kern w:val="0"/>
                <w:sz w:val="24"/>
                <w:highlight w:val="none"/>
                <w:lang w:val="en" w:bidi="ar"/>
              </w:rPr>
              <w:t>≥</w:t>
            </w:r>
            <w:r>
              <w:rPr>
                <w:rFonts w:hint="eastAsia" w:ascii="宋体" w:hAnsi="宋体" w:cs="宋体"/>
                <w:color w:val="auto"/>
                <w:kern w:val="0"/>
                <w:sz w:val="24"/>
                <w:highlight w:val="none"/>
                <w:lang w:bidi="ar"/>
              </w:rPr>
              <w:t>60Hz屏幕刷新率</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EEB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889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3D5772A">
            <w:pPr>
              <w:jc w:val="center"/>
              <w:rPr>
                <w:rFonts w:hint="eastAsia" w:ascii="宋体" w:hAnsi="宋体" w:eastAsia="宋体" w:cs="宋体"/>
                <w:i w:val="0"/>
                <w:iCs w:val="0"/>
                <w:color w:val="auto"/>
                <w:sz w:val="24"/>
                <w:szCs w:val="24"/>
                <w:highlight w:val="none"/>
                <w:u w:val="none"/>
              </w:rPr>
            </w:pPr>
          </w:p>
        </w:tc>
      </w:tr>
      <w:tr w14:paraId="449A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6756C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1E9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补光灯</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96427">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highlight w:val="none"/>
                <w:lang w:bidi="ar"/>
              </w:rPr>
              <w:t>功率：</w:t>
            </w:r>
            <w:r>
              <w:rPr>
                <w:rFonts w:ascii="宋体" w:hAnsi="宋体" w:cs="宋体"/>
                <w:color w:val="auto"/>
                <w:kern w:val="0"/>
                <w:sz w:val="24"/>
                <w:highlight w:val="none"/>
                <w:lang w:val="en" w:bidi="ar"/>
              </w:rPr>
              <w:t>≥200W</w:t>
            </w:r>
            <w:r>
              <w:rPr>
                <w:rFonts w:hint="eastAsia" w:ascii="宋体" w:hAnsi="宋体" w:cs="宋体"/>
                <w:color w:val="auto"/>
                <w:kern w:val="0"/>
                <w:sz w:val="24"/>
                <w:highlight w:val="none"/>
                <w:lang w:bidi="ar"/>
              </w:rPr>
              <w:t>，色温：2800k-6500k，TLCI：&gt;97,调光范围：0%-100%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66B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4E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955FD4C">
            <w:pPr>
              <w:jc w:val="center"/>
              <w:rPr>
                <w:rFonts w:hint="eastAsia" w:ascii="宋体" w:hAnsi="宋体" w:eastAsia="宋体" w:cs="宋体"/>
                <w:i w:val="0"/>
                <w:iCs w:val="0"/>
                <w:color w:val="auto"/>
                <w:sz w:val="24"/>
                <w:szCs w:val="24"/>
                <w:highlight w:val="none"/>
                <w:u w:val="none"/>
              </w:rPr>
            </w:pPr>
          </w:p>
        </w:tc>
      </w:tr>
      <w:tr w14:paraId="276B2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20624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2C3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网络设备</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50720">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highlight w:val="none"/>
                <w:lang w:bidi="ar"/>
              </w:rPr>
              <w:t>千兆网口，外置天线，支持APP控制，Wi-Fi 6无线协议，3000M无线速率</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B50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887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E058FD5">
            <w:pPr>
              <w:jc w:val="center"/>
              <w:rPr>
                <w:rFonts w:hint="eastAsia" w:ascii="宋体" w:hAnsi="宋体" w:eastAsia="宋体" w:cs="宋体"/>
                <w:i w:val="0"/>
                <w:iCs w:val="0"/>
                <w:color w:val="auto"/>
                <w:sz w:val="24"/>
                <w:szCs w:val="24"/>
                <w:highlight w:val="none"/>
                <w:u w:val="none"/>
              </w:rPr>
            </w:pPr>
          </w:p>
        </w:tc>
      </w:tr>
      <w:tr w14:paraId="3B515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BAF71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80B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手持打印机</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42524">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highlight w:val="none"/>
                <w:lang w:bidi="ar"/>
              </w:rPr>
              <w:t>打印宽度：72mm，打印速度：40mm/s-70mm/s,纸卷外径：9-50mm，接口类型：usb+蓝牙</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2DE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B71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EDFCED3">
            <w:pPr>
              <w:jc w:val="center"/>
              <w:rPr>
                <w:rFonts w:hint="eastAsia" w:ascii="宋体" w:hAnsi="宋体" w:eastAsia="宋体" w:cs="宋体"/>
                <w:i w:val="0"/>
                <w:iCs w:val="0"/>
                <w:color w:val="auto"/>
                <w:sz w:val="24"/>
                <w:szCs w:val="24"/>
                <w:highlight w:val="none"/>
                <w:u w:val="none"/>
              </w:rPr>
            </w:pPr>
          </w:p>
        </w:tc>
      </w:tr>
      <w:tr w14:paraId="37701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9319F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77A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标签打印机</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56868">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highlight w:val="none"/>
                <w:lang w:bidi="ar"/>
              </w:rPr>
              <w:t>打印方式：热敏式，打印宽度：104mm，分辨率：300DPI，纸卷外径：最大130mm，接口类型：USB</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24F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6DE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B76B512">
            <w:pPr>
              <w:jc w:val="center"/>
              <w:rPr>
                <w:rFonts w:hint="eastAsia" w:ascii="宋体" w:hAnsi="宋体" w:eastAsia="宋体" w:cs="宋体"/>
                <w:i w:val="0"/>
                <w:iCs w:val="0"/>
                <w:color w:val="auto"/>
                <w:sz w:val="24"/>
                <w:szCs w:val="24"/>
                <w:highlight w:val="none"/>
                <w:u w:val="none"/>
              </w:rPr>
            </w:pPr>
          </w:p>
        </w:tc>
      </w:tr>
      <w:tr w14:paraId="7A507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9"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63D36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DE0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车载GPS</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55EE1">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highlight w:val="none"/>
                <w:lang w:bidi="ar"/>
              </w:rPr>
              <w:t>定位模式：4G，电池容量：</w:t>
            </w:r>
            <w:r>
              <w:rPr>
                <w:rFonts w:ascii="宋体" w:hAnsi="宋体" w:cs="宋体"/>
                <w:color w:val="auto"/>
                <w:kern w:val="0"/>
                <w:sz w:val="24"/>
                <w:highlight w:val="none"/>
                <w:lang w:val="en" w:bidi="ar"/>
              </w:rPr>
              <w:t>≥</w:t>
            </w:r>
            <w:r>
              <w:rPr>
                <w:rFonts w:hint="eastAsia" w:ascii="宋体" w:hAnsi="宋体" w:cs="宋体"/>
                <w:color w:val="auto"/>
                <w:kern w:val="0"/>
                <w:sz w:val="24"/>
                <w:highlight w:val="none"/>
                <w:lang w:bidi="ar"/>
              </w:rPr>
              <w:t>20000mAh，安装方式：磁吸式，支持App控制，智能报警</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6BA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914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85B4DFA">
            <w:pPr>
              <w:jc w:val="center"/>
              <w:rPr>
                <w:rFonts w:hint="eastAsia" w:ascii="宋体" w:hAnsi="宋体" w:eastAsia="宋体" w:cs="宋体"/>
                <w:i w:val="0"/>
                <w:iCs w:val="0"/>
                <w:color w:val="auto"/>
                <w:sz w:val="24"/>
                <w:szCs w:val="24"/>
                <w:highlight w:val="none"/>
                <w:u w:val="none"/>
              </w:rPr>
            </w:pPr>
          </w:p>
        </w:tc>
      </w:tr>
      <w:tr w14:paraId="59073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B31D2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6C8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电动三轮车货车</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02D7C">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highlight w:val="none"/>
                <w:lang w:bidi="ar"/>
              </w:rPr>
              <w:t>电动三轮车货车大功率拉货农用三轮电瓶车；车厢1.6米+电机</w:t>
            </w:r>
            <w:r>
              <w:rPr>
                <w:rFonts w:ascii="宋体" w:hAnsi="宋体" w:cs="宋体"/>
                <w:color w:val="auto"/>
                <w:kern w:val="0"/>
                <w:sz w:val="24"/>
                <w:highlight w:val="none"/>
                <w:lang w:val="en" w:bidi="ar"/>
              </w:rPr>
              <w:t>≥</w:t>
            </w:r>
            <w:r>
              <w:rPr>
                <w:rFonts w:hint="eastAsia" w:ascii="宋体" w:hAnsi="宋体" w:cs="宋体"/>
                <w:color w:val="auto"/>
                <w:kern w:val="0"/>
                <w:sz w:val="24"/>
                <w:highlight w:val="none"/>
                <w:lang w:bidi="ar"/>
              </w:rPr>
              <w:t>1200W，60V45A电池续航约</w:t>
            </w:r>
            <w:r>
              <w:rPr>
                <w:rFonts w:ascii="宋体" w:hAnsi="宋体" w:cs="宋体"/>
                <w:color w:val="auto"/>
                <w:kern w:val="0"/>
                <w:sz w:val="24"/>
                <w:highlight w:val="none"/>
                <w:lang w:val="en" w:bidi="ar"/>
              </w:rPr>
              <w:t>≥</w:t>
            </w:r>
            <w:r>
              <w:rPr>
                <w:rFonts w:hint="eastAsia" w:ascii="宋体" w:hAnsi="宋体" w:cs="宋体"/>
                <w:color w:val="auto"/>
                <w:kern w:val="0"/>
                <w:sz w:val="24"/>
                <w:highlight w:val="none"/>
                <w:lang w:bidi="ar"/>
              </w:rPr>
              <w:t>60公里</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66A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辆</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73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3814E6E">
            <w:pPr>
              <w:jc w:val="center"/>
              <w:rPr>
                <w:rFonts w:hint="eastAsia" w:ascii="宋体" w:hAnsi="宋体" w:eastAsia="宋体" w:cs="宋体"/>
                <w:i w:val="0"/>
                <w:iCs w:val="0"/>
                <w:color w:val="auto"/>
                <w:sz w:val="24"/>
                <w:szCs w:val="24"/>
                <w:highlight w:val="none"/>
                <w:u w:val="none"/>
              </w:rPr>
            </w:pPr>
          </w:p>
        </w:tc>
      </w:tr>
      <w:tr w14:paraId="31E16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F838C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F4E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周转筐清洗机</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EDBE0">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highlight w:val="none"/>
                <w:lang w:bidi="ar"/>
              </w:rPr>
              <w:t>材质：304不锈钢；功率：</w:t>
            </w:r>
            <w:r>
              <w:rPr>
                <w:rFonts w:ascii="宋体" w:hAnsi="宋体" w:cs="宋体"/>
                <w:color w:val="auto"/>
                <w:kern w:val="0"/>
                <w:sz w:val="24"/>
                <w:highlight w:val="none"/>
                <w:lang w:val="en" w:bidi="ar"/>
              </w:rPr>
              <w:t>≥18kW</w:t>
            </w:r>
            <w:r>
              <w:rPr>
                <w:rFonts w:hint="eastAsia" w:ascii="宋体" w:hAnsi="宋体" w:cs="宋体"/>
                <w:color w:val="auto"/>
                <w:kern w:val="0"/>
                <w:sz w:val="24"/>
                <w:highlight w:val="none"/>
                <w:lang w:bidi="ar"/>
              </w:rPr>
              <w:t>；加热方式：电加热；参考外形尺寸：7000*1350*1750mm；输送速度：变频调速;应用对象:周转筐 塑料托盘</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158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867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2CCE0BB">
            <w:pPr>
              <w:jc w:val="center"/>
              <w:rPr>
                <w:rFonts w:hint="eastAsia" w:ascii="宋体" w:hAnsi="宋体" w:eastAsia="宋体" w:cs="宋体"/>
                <w:i w:val="0"/>
                <w:iCs w:val="0"/>
                <w:color w:val="auto"/>
                <w:sz w:val="24"/>
                <w:szCs w:val="24"/>
                <w:highlight w:val="none"/>
                <w:u w:val="none"/>
              </w:rPr>
            </w:pPr>
          </w:p>
        </w:tc>
      </w:tr>
      <w:tr w14:paraId="589D5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D6E70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46A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操作台显示屏幕</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F76AF">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highlight w:val="none"/>
                <w:lang w:bidi="ar"/>
              </w:rPr>
              <w:t xml:space="preserve">43英寸 4K护眼智慧屏 超薄悬浮全面屏 远场语音 </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51B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D5E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3AE30C3">
            <w:pPr>
              <w:jc w:val="center"/>
              <w:rPr>
                <w:rFonts w:hint="eastAsia" w:ascii="宋体" w:hAnsi="宋体" w:eastAsia="宋体" w:cs="宋体"/>
                <w:i w:val="0"/>
                <w:iCs w:val="0"/>
                <w:color w:val="auto"/>
                <w:sz w:val="24"/>
                <w:szCs w:val="24"/>
                <w:highlight w:val="none"/>
                <w:u w:val="none"/>
              </w:rPr>
            </w:pPr>
          </w:p>
        </w:tc>
      </w:tr>
      <w:tr w14:paraId="3CDAC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F0E66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EAB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总控电脑</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787DA">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highlight w:val="none"/>
                <w:lang w:bidi="ar"/>
              </w:rPr>
              <w:t>不低于I7-13700/32G/512G+1T/RX550X/23.8寸/台式计算机</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701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C89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B2A5099">
            <w:pPr>
              <w:jc w:val="center"/>
              <w:rPr>
                <w:rFonts w:hint="eastAsia" w:ascii="宋体" w:hAnsi="宋体" w:eastAsia="宋体" w:cs="宋体"/>
                <w:i w:val="0"/>
                <w:iCs w:val="0"/>
                <w:color w:val="auto"/>
                <w:sz w:val="24"/>
                <w:szCs w:val="24"/>
                <w:highlight w:val="none"/>
                <w:u w:val="none"/>
              </w:rPr>
            </w:pPr>
          </w:p>
        </w:tc>
      </w:tr>
      <w:tr w14:paraId="6433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1857B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9EA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生产线汇总信息屏幕</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11BF8">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highlight w:val="none"/>
                <w:lang w:bidi="ar"/>
              </w:rPr>
              <w:t xml:space="preserve">电视75英寸 </w:t>
            </w:r>
            <w:r>
              <w:rPr>
                <w:rFonts w:ascii="宋体" w:hAnsi="宋体" w:cs="宋体"/>
                <w:color w:val="auto"/>
                <w:kern w:val="0"/>
                <w:sz w:val="24"/>
                <w:highlight w:val="none"/>
                <w:lang w:val="en" w:bidi="ar"/>
              </w:rPr>
              <w:t>≥</w:t>
            </w:r>
            <w:r>
              <w:rPr>
                <w:rFonts w:hint="eastAsia" w:ascii="宋体" w:hAnsi="宋体" w:cs="宋体"/>
                <w:color w:val="auto"/>
                <w:kern w:val="0"/>
                <w:sz w:val="24"/>
                <w:highlight w:val="none"/>
                <w:lang w:bidi="ar"/>
              </w:rPr>
              <w:t xml:space="preserve">120Hz高刷 </w:t>
            </w:r>
            <w:r>
              <w:rPr>
                <w:rFonts w:ascii="宋体" w:hAnsi="宋体" w:cs="宋体"/>
                <w:color w:val="auto"/>
                <w:kern w:val="0"/>
                <w:sz w:val="24"/>
                <w:highlight w:val="none"/>
                <w:lang w:val="en" w:bidi="ar"/>
              </w:rPr>
              <w:t>≥</w:t>
            </w:r>
            <w:r>
              <w:rPr>
                <w:rFonts w:hint="eastAsia" w:ascii="宋体" w:hAnsi="宋体" w:cs="宋体"/>
                <w:color w:val="auto"/>
                <w:kern w:val="0"/>
                <w:sz w:val="24"/>
                <w:highlight w:val="none"/>
                <w:lang w:bidi="ar"/>
              </w:rPr>
              <w:t>2+32GB 智慧屏</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B6D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702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98060BA">
            <w:pPr>
              <w:jc w:val="center"/>
              <w:rPr>
                <w:rFonts w:hint="eastAsia" w:ascii="宋体" w:hAnsi="宋体" w:eastAsia="宋体" w:cs="宋体"/>
                <w:i w:val="0"/>
                <w:iCs w:val="0"/>
                <w:color w:val="auto"/>
                <w:sz w:val="24"/>
                <w:szCs w:val="24"/>
                <w:highlight w:val="none"/>
                <w:u w:val="none"/>
              </w:rPr>
            </w:pPr>
          </w:p>
        </w:tc>
      </w:tr>
      <w:tr w14:paraId="1A1A3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B6835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A2A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驾驶式洗地机</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B100F">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highlight w:val="none"/>
                <w:lang w:bidi="ar"/>
              </w:rPr>
              <w:t>工业地面清洗机 洗地电动拖地机擦地机适用于工厂车库机场物业商场刷地机洗地车商用双刷</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BD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辆</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814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E4F5A1A">
            <w:pPr>
              <w:jc w:val="center"/>
              <w:rPr>
                <w:rFonts w:hint="eastAsia" w:ascii="宋体" w:hAnsi="宋体" w:eastAsia="宋体" w:cs="宋体"/>
                <w:i w:val="0"/>
                <w:iCs w:val="0"/>
                <w:color w:val="auto"/>
                <w:sz w:val="24"/>
                <w:szCs w:val="24"/>
                <w:highlight w:val="none"/>
                <w:u w:val="none"/>
              </w:rPr>
            </w:pPr>
          </w:p>
        </w:tc>
      </w:tr>
      <w:tr w14:paraId="5384B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3748"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5194D20">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二、软件</w:t>
            </w:r>
            <w:r>
              <w:rPr>
                <w:rFonts w:hint="eastAsia" w:ascii="宋体" w:hAnsi="宋体" w:cs="宋体"/>
                <w:i w:val="0"/>
                <w:iCs w:val="0"/>
                <w:color w:val="auto"/>
                <w:kern w:val="0"/>
                <w:sz w:val="24"/>
                <w:szCs w:val="24"/>
                <w:highlight w:val="none"/>
                <w:u w:val="none"/>
                <w:lang w:val="en-US" w:eastAsia="zh-CN" w:bidi="ar"/>
              </w:rPr>
              <w:t>购置类清单</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6CBD7">
            <w:pPr>
              <w:jc w:val="center"/>
              <w:rPr>
                <w:rFonts w:hint="eastAsia" w:ascii="宋体" w:hAnsi="宋体" w:eastAsia="宋体" w:cs="宋体"/>
                <w:i w:val="0"/>
                <w:iCs w:val="0"/>
                <w:color w:val="auto"/>
                <w:sz w:val="24"/>
                <w:szCs w:val="24"/>
                <w:highlight w:val="none"/>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25173">
            <w:pPr>
              <w:jc w:val="center"/>
              <w:rPr>
                <w:rFonts w:hint="eastAsia" w:ascii="宋体" w:hAnsi="宋体" w:eastAsia="宋体" w:cs="宋体"/>
                <w:i w:val="0"/>
                <w:iCs w:val="0"/>
                <w:color w:val="auto"/>
                <w:sz w:val="24"/>
                <w:szCs w:val="24"/>
                <w:highlight w:val="none"/>
                <w:u w:val="none"/>
              </w:rPr>
            </w:pP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6220212">
            <w:pPr>
              <w:jc w:val="center"/>
              <w:rPr>
                <w:rFonts w:hint="eastAsia" w:ascii="宋体" w:hAnsi="宋体" w:eastAsia="宋体" w:cs="宋体"/>
                <w:i w:val="0"/>
                <w:iCs w:val="0"/>
                <w:color w:val="auto"/>
                <w:sz w:val="24"/>
                <w:szCs w:val="24"/>
                <w:highlight w:val="none"/>
                <w:u w:val="none"/>
              </w:rPr>
            </w:pPr>
          </w:p>
        </w:tc>
      </w:tr>
      <w:tr w14:paraId="588F7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52574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73E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地图商业授权</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25C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集成地图服务功能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D5D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年</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833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78DC568">
            <w:pPr>
              <w:jc w:val="center"/>
              <w:rPr>
                <w:rFonts w:hint="eastAsia" w:ascii="宋体" w:hAnsi="宋体" w:eastAsia="宋体" w:cs="宋体"/>
                <w:i w:val="0"/>
                <w:iCs w:val="0"/>
                <w:color w:val="auto"/>
                <w:sz w:val="24"/>
                <w:szCs w:val="24"/>
                <w:highlight w:val="none"/>
                <w:u w:val="none"/>
              </w:rPr>
            </w:pPr>
          </w:p>
        </w:tc>
      </w:tr>
      <w:tr w14:paraId="681F6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5170A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8B4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云点播服务</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C00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50TB流量资源包</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178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年</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C4E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00116DE">
            <w:pPr>
              <w:jc w:val="center"/>
              <w:rPr>
                <w:rFonts w:hint="eastAsia" w:ascii="宋体" w:hAnsi="宋体" w:eastAsia="宋体" w:cs="宋体"/>
                <w:i w:val="0"/>
                <w:iCs w:val="0"/>
                <w:color w:val="auto"/>
                <w:sz w:val="24"/>
                <w:szCs w:val="24"/>
                <w:highlight w:val="none"/>
                <w:u w:val="none"/>
              </w:rPr>
            </w:pPr>
          </w:p>
        </w:tc>
      </w:tr>
      <w:tr w14:paraId="00F51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74CCB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8FE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商城小程序</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4AE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年审</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F5A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年</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790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D8687D8">
            <w:pPr>
              <w:jc w:val="center"/>
              <w:rPr>
                <w:rFonts w:hint="eastAsia" w:ascii="宋体" w:hAnsi="宋体" w:eastAsia="宋体" w:cs="宋体"/>
                <w:i w:val="0"/>
                <w:iCs w:val="0"/>
                <w:color w:val="auto"/>
                <w:sz w:val="24"/>
                <w:szCs w:val="24"/>
                <w:highlight w:val="none"/>
                <w:u w:val="none"/>
              </w:rPr>
            </w:pPr>
          </w:p>
        </w:tc>
      </w:tr>
      <w:tr w14:paraId="649A9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D7EB1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811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品控小程序</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D3E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年审</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09D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年</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642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C069BC8">
            <w:pPr>
              <w:jc w:val="center"/>
              <w:rPr>
                <w:rFonts w:hint="eastAsia" w:ascii="宋体" w:hAnsi="宋体" w:eastAsia="宋体" w:cs="宋体"/>
                <w:i w:val="0"/>
                <w:iCs w:val="0"/>
                <w:color w:val="auto"/>
                <w:sz w:val="24"/>
                <w:szCs w:val="24"/>
                <w:highlight w:val="none"/>
                <w:u w:val="none"/>
              </w:rPr>
            </w:pPr>
          </w:p>
        </w:tc>
      </w:tr>
      <w:tr w14:paraId="1E8D4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0"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D6B5C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2C6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商家端小程序</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DC8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年审</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D6D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年</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EA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9085966">
            <w:pPr>
              <w:jc w:val="center"/>
              <w:rPr>
                <w:rFonts w:hint="eastAsia" w:ascii="宋体" w:hAnsi="宋体" w:eastAsia="宋体" w:cs="宋体"/>
                <w:i w:val="0"/>
                <w:iCs w:val="0"/>
                <w:color w:val="auto"/>
                <w:sz w:val="24"/>
                <w:szCs w:val="24"/>
                <w:highlight w:val="none"/>
                <w:u w:val="none"/>
              </w:rPr>
            </w:pPr>
          </w:p>
        </w:tc>
      </w:tr>
      <w:tr w14:paraId="56700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3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C5AD8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79C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客户关系管理小程序</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ACF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年审</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9F2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年</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373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3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D847DE7">
            <w:pPr>
              <w:jc w:val="center"/>
              <w:rPr>
                <w:rFonts w:hint="eastAsia" w:ascii="宋体" w:hAnsi="宋体" w:eastAsia="宋体" w:cs="宋体"/>
                <w:i w:val="0"/>
                <w:iCs w:val="0"/>
                <w:color w:val="auto"/>
                <w:sz w:val="24"/>
                <w:szCs w:val="24"/>
                <w:highlight w:val="none"/>
                <w:u w:val="none"/>
              </w:rPr>
            </w:pPr>
          </w:p>
        </w:tc>
      </w:tr>
    </w:tbl>
    <w:p w14:paraId="40C91E8C">
      <w:pPr>
        <w:adjustRightInd w:val="0"/>
        <w:snapToGrid w:val="0"/>
        <w:spacing w:line="360" w:lineRule="auto"/>
        <w:ind w:firstLine="480" w:firstLineChars="200"/>
        <w:rPr>
          <w:rFonts w:hint="default" w:ascii="宋体" w:hAnsi="宋体" w:cs="宋体"/>
          <w:color w:val="auto"/>
          <w:sz w:val="24"/>
          <w:highlight w:val="none"/>
          <w:lang w:val="en-US" w:eastAsia="zh-CN" w:bidi="ar"/>
        </w:rPr>
      </w:pPr>
    </w:p>
    <w:p w14:paraId="1E48201C">
      <w:pPr>
        <w:adjustRightInd w:val="0"/>
        <w:snapToGrid w:val="0"/>
        <w:spacing w:line="360" w:lineRule="auto"/>
        <w:ind w:firstLine="480" w:firstLineChars="200"/>
        <w:rPr>
          <w:rFonts w:hint="eastAsia" w:ascii="宋体" w:hAnsi="宋体" w:cs="宋体"/>
          <w:color w:val="auto"/>
          <w:sz w:val="24"/>
          <w:highlight w:val="none"/>
          <w:lang w:val="en-US" w:eastAsia="zh-CN" w:bidi="ar"/>
        </w:rPr>
      </w:pPr>
    </w:p>
    <w:p w14:paraId="6B5D1126">
      <w:pPr>
        <w:adjustRightInd w:val="0"/>
        <w:snapToGrid w:val="0"/>
        <w:spacing w:line="360" w:lineRule="auto"/>
        <w:ind w:firstLine="480" w:firstLineChars="200"/>
        <w:rPr>
          <w:rFonts w:hint="eastAsia"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三、软件开发清单</w:t>
      </w:r>
    </w:p>
    <w:tbl>
      <w:tblPr>
        <w:tblStyle w:val="45"/>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3"/>
        <w:gridCol w:w="823"/>
        <w:gridCol w:w="2359"/>
        <w:gridCol w:w="5281"/>
      </w:tblGrid>
      <w:tr w14:paraId="36585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43" w:type="pct"/>
            <w:tcBorders>
              <w:top w:val="single" w:color="000000" w:sz="8" w:space="0"/>
              <w:left w:val="single" w:color="000000" w:sz="8" w:space="0"/>
              <w:bottom w:val="single" w:color="000000" w:sz="4" w:space="0"/>
              <w:right w:val="single" w:color="000000" w:sz="4" w:space="0"/>
            </w:tcBorders>
            <w:shd w:val="clear" w:color="auto" w:fill="auto"/>
            <w:vAlign w:val="center"/>
          </w:tcPr>
          <w:p w14:paraId="0325BA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443" w:type="pct"/>
            <w:tcBorders>
              <w:top w:val="single" w:color="000000" w:sz="8" w:space="0"/>
              <w:left w:val="single" w:color="000000" w:sz="4" w:space="0"/>
              <w:bottom w:val="single" w:color="000000" w:sz="4" w:space="0"/>
              <w:right w:val="single" w:color="000000" w:sz="4" w:space="0"/>
            </w:tcBorders>
            <w:shd w:val="clear" w:color="auto" w:fill="auto"/>
            <w:vAlign w:val="center"/>
          </w:tcPr>
          <w:p w14:paraId="7861DD1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系统</w:t>
            </w:r>
          </w:p>
        </w:tc>
        <w:tc>
          <w:tcPr>
            <w:tcW w:w="1270" w:type="pct"/>
            <w:tcBorders>
              <w:top w:val="single" w:color="000000" w:sz="8" w:space="0"/>
              <w:left w:val="single" w:color="000000" w:sz="4" w:space="0"/>
              <w:bottom w:val="single" w:color="000000" w:sz="4" w:space="0"/>
              <w:right w:val="single" w:color="000000" w:sz="4" w:space="0"/>
            </w:tcBorders>
            <w:shd w:val="clear" w:color="auto" w:fill="auto"/>
            <w:vAlign w:val="center"/>
          </w:tcPr>
          <w:p w14:paraId="4E0E0CC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功能</w:t>
            </w:r>
          </w:p>
        </w:tc>
        <w:tc>
          <w:tcPr>
            <w:tcW w:w="2843" w:type="pct"/>
            <w:tcBorders>
              <w:top w:val="single" w:color="000000" w:sz="8" w:space="0"/>
              <w:left w:val="single" w:color="000000" w:sz="4" w:space="0"/>
              <w:bottom w:val="single" w:color="000000" w:sz="4" w:space="0"/>
              <w:right w:val="single" w:color="000000" w:sz="8" w:space="0"/>
            </w:tcBorders>
            <w:shd w:val="clear" w:color="auto" w:fill="auto"/>
            <w:vAlign w:val="center"/>
          </w:tcPr>
          <w:p w14:paraId="2E044DA0">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工作描述</w:t>
            </w:r>
          </w:p>
        </w:tc>
      </w:tr>
      <w:tr w14:paraId="7CD7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07B79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AA4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分拣加工系统</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9721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类目管理-信息录入</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5AF7B0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信息录入是类目管理的基础功能，确保所有产品类别的详细信息能够被准确记录和存储。</w:t>
            </w:r>
          </w:p>
        </w:tc>
      </w:tr>
      <w:tr w14:paraId="78B0C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00A76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6BCCF">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3DE8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类目管理-信息检索</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D9E645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信息校验功能确保录入的数据准确无误，避免因输入错误导致的管理混乱或决策失误。</w:t>
            </w:r>
          </w:p>
        </w:tc>
      </w:tr>
      <w:tr w14:paraId="1FAB4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DA0AA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D4BB8">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B9C0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类目管理-类目查看</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E0F47F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允许用户快速检索和浏览所有的类目信息，包括名称、状态等，以便于管理和维护。</w:t>
            </w:r>
          </w:p>
        </w:tc>
      </w:tr>
      <w:tr w14:paraId="70005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2D64C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48D20">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C808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类目管理-类目新增</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F2F2D4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提供新增类目信息的入口，用户可录入新类目的基本信息，保持数据完整性。</w:t>
            </w:r>
          </w:p>
        </w:tc>
      </w:tr>
      <w:tr w14:paraId="52B7E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45C43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E474B">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EBC3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类目管理-类目删除</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6E7566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在确认无误后，允许用户删除不再需要的类目信息，避免冗余数据干扰管理。</w:t>
            </w:r>
          </w:p>
        </w:tc>
      </w:tr>
      <w:tr w14:paraId="627A1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49B24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E59D7">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F872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类目管理-类目编辑</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1C5ACC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支持对已有类目信息的修改，如更新名称等，确保数据准确性，适应需求变化。</w:t>
            </w:r>
          </w:p>
        </w:tc>
      </w:tr>
      <w:tr w14:paraId="256EA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4742C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64F0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4826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类目管理-信息展示</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4D8684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信息展示功能是类目管理的基础，它允许用户直观地查看不同类别的详细信息和属性。</w:t>
            </w:r>
          </w:p>
        </w:tc>
      </w:tr>
      <w:tr w14:paraId="661A3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8EC02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F48EF">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F5D7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类目管理-权限设置</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C3409A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权限设置功能确保了类目管理系统的安全性和合规性。为不同角色和用户设置合适的访问权限，防止未授权访问和数据泄露，保障数据的完整性。</w:t>
            </w:r>
          </w:p>
        </w:tc>
      </w:tr>
      <w:tr w14:paraId="5B672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B27DC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C45B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9275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类目管理-权限编辑</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71E0C5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编辑已授权用户的权限范围，</w:t>
            </w:r>
            <w:r>
              <w:rPr>
                <w:rFonts w:hint="eastAsia" w:ascii="宋体" w:hAnsi="宋体" w:cs="宋体"/>
                <w:i w:val="0"/>
                <w:iCs w:val="0"/>
                <w:color w:val="auto"/>
                <w:kern w:val="0"/>
                <w:sz w:val="22"/>
                <w:szCs w:val="22"/>
                <w:highlight w:val="none"/>
                <w:u w:val="none"/>
                <w:lang w:val="en-US" w:eastAsia="zh-CN" w:bidi="ar"/>
              </w:rPr>
              <w:t>可以</w:t>
            </w:r>
            <w:r>
              <w:rPr>
                <w:rFonts w:hint="eastAsia" w:ascii="宋体" w:hAnsi="宋体" w:eastAsia="宋体" w:cs="宋体"/>
                <w:i w:val="0"/>
                <w:iCs w:val="0"/>
                <w:color w:val="auto"/>
                <w:kern w:val="0"/>
                <w:sz w:val="22"/>
                <w:szCs w:val="22"/>
                <w:highlight w:val="none"/>
                <w:u w:val="none"/>
                <w:lang w:val="en-US" w:eastAsia="zh-CN" w:bidi="ar"/>
              </w:rPr>
              <w:t>适应需求变化，保证数据安全。</w:t>
            </w:r>
          </w:p>
        </w:tc>
      </w:tr>
      <w:tr w14:paraId="69512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86182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DB0E5">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2416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类目管理-权限展示</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1F665C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权限展示功能使用户能够清晰地了解自己的权限范围，规范用户行为，避免越权操作</w:t>
            </w:r>
            <w:r>
              <w:rPr>
                <w:rFonts w:hint="eastAsia" w:ascii="宋体" w:hAnsi="宋体" w:cs="宋体"/>
                <w:i w:val="0"/>
                <w:iCs w:val="0"/>
                <w:color w:val="auto"/>
                <w:kern w:val="0"/>
                <w:sz w:val="22"/>
                <w:szCs w:val="22"/>
                <w:highlight w:val="none"/>
                <w:u w:val="none"/>
                <w:lang w:val="en-US" w:eastAsia="zh-CN" w:bidi="ar"/>
              </w:rPr>
              <w:t>。</w:t>
            </w:r>
          </w:p>
        </w:tc>
      </w:tr>
      <w:tr w14:paraId="2399E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36DF3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DC11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42F2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类目管理-批量导入</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FC71E1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允许用户一次性导入大量类别信息</w:t>
            </w:r>
            <w:r>
              <w:rPr>
                <w:rFonts w:hint="eastAsia" w:ascii="宋体" w:hAnsi="宋体" w:cs="宋体"/>
                <w:i w:val="0"/>
                <w:iCs w:val="0"/>
                <w:color w:val="auto"/>
                <w:kern w:val="0"/>
                <w:sz w:val="22"/>
                <w:szCs w:val="22"/>
                <w:highlight w:val="none"/>
                <w:u w:val="none"/>
                <w:lang w:val="en-US" w:eastAsia="zh-CN" w:bidi="ar"/>
              </w:rPr>
              <w:t>。</w:t>
            </w:r>
          </w:p>
        </w:tc>
      </w:tr>
      <w:tr w14:paraId="605B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B9130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ED98B">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4B76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类目管理-报表展示</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665A3C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报表展示功能为用户提供了一种快速获取和分析类目数据的方法。通过报表，用户可以监控销售趋势、库存水平和市场需求，为决策提供依据。</w:t>
            </w:r>
          </w:p>
        </w:tc>
      </w:tr>
      <w:tr w14:paraId="51D8D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267B7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51BD3">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F43D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类目管理-数据分析</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003A58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数据分析功能通过对类目数据的深入挖掘，帮助企业发现潜在的市场机会和风险。它支持企业根据数据驱动的见解调整营销策略和产品开发计划。</w:t>
            </w:r>
          </w:p>
        </w:tc>
      </w:tr>
      <w:tr w14:paraId="3F481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544FC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D59D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6CEB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原材料管理-信息查看</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B74A28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信息查看功能是原材料管理的核心，允许用户访问和查看原材料的详细记录。</w:t>
            </w:r>
          </w:p>
        </w:tc>
      </w:tr>
      <w:tr w14:paraId="0170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1F98C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5F4A3">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B980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原材料管理-信息编辑</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400D12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编辑功能确保原材料的基本信息得到妥善记录和更新。</w:t>
            </w:r>
          </w:p>
        </w:tc>
      </w:tr>
      <w:tr w14:paraId="4D54C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D3FE4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F6D32">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2EC9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原材料管理-信息删除</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35DEB8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信息删除功能允许用户从系统中移除不再使用的原材料记录。</w:t>
            </w:r>
          </w:p>
        </w:tc>
      </w:tr>
      <w:tr w14:paraId="71EB1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C9174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A5090">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8977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原材料管理-库存查看</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A5BF71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库存管理功能监控原材料的库存。</w:t>
            </w:r>
          </w:p>
        </w:tc>
      </w:tr>
      <w:tr w14:paraId="421AD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1C03C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41BF4">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F809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原材料管理-库存编辑</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52D10F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库存编辑功能允许用户根据实际业务情况调整库存数据。</w:t>
            </w:r>
          </w:p>
        </w:tc>
      </w:tr>
      <w:tr w14:paraId="6837B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A11E1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A18A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D42F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原材料管理-质量控制</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238C7F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质量控制功能</w:t>
            </w:r>
            <w:r>
              <w:rPr>
                <w:rFonts w:hint="eastAsia" w:ascii="宋体" w:hAnsi="宋体" w:cs="宋体"/>
                <w:i w:val="0"/>
                <w:iCs w:val="0"/>
                <w:color w:val="auto"/>
                <w:kern w:val="0"/>
                <w:sz w:val="22"/>
                <w:szCs w:val="22"/>
                <w:highlight w:val="none"/>
                <w:u w:val="none"/>
                <w:lang w:val="en-US" w:eastAsia="zh-CN" w:bidi="ar"/>
              </w:rPr>
              <w:t>管理</w:t>
            </w:r>
            <w:r>
              <w:rPr>
                <w:rFonts w:hint="eastAsia" w:ascii="宋体" w:hAnsi="宋体" w:eastAsia="宋体" w:cs="宋体"/>
                <w:i w:val="0"/>
                <w:iCs w:val="0"/>
                <w:color w:val="auto"/>
                <w:kern w:val="0"/>
                <w:sz w:val="22"/>
                <w:szCs w:val="22"/>
                <w:highlight w:val="none"/>
                <w:u w:val="none"/>
                <w:lang w:val="en-US" w:eastAsia="zh-CN" w:bidi="ar"/>
              </w:rPr>
              <w:t>原材料进入生产流程前</w:t>
            </w:r>
            <w:r>
              <w:rPr>
                <w:rFonts w:hint="eastAsia" w:ascii="宋体" w:hAnsi="宋体" w:cs="宋体"/>
                <w:i w:val="0"/>
                <w:iCs w:val="0"/>
                <w:color w:val="auto"/>
                <w:kern w:val="0"/>
                <w:sz w:val="22"/>
                <w:szCs w:val="22"/>
                <w:highlight w:val="none"/>
                <w:u w:val="none"/>
                <w:lang w:val="en-US" w:eastAsia="zh-CN" w:bidi="ar"/>
              </w:rPr>
              <w:t>符合</w:t>
            </w:r>
            <w:r>
              <w:rPr>
                <w:rFonts w:hint="eastAsia" w:ascii="宋体" w:hAnsi="宋体" w:eastAsia="宋体" w:cs="宋体"/>
                <w:i w:val="0"/>
                <w:iCs w:val="0"/>
                <w:color w:val="auto"/>
                <w:kern w:val="0"/>
                <w:sz w:val="22"/>
                <w:szCs w:val="22"/>
                <w:highlight w:val="none"/>
                <w:u w:val="none"/>
                <w:lang w:val="en-US" w:eastAsia="zh-CN" w:bidi="ar"/>
              </w:rPr>
              <w:t>企业的质量标准。</w:t>
            </w:r>
            <w:r>
              <w:rPr>
                <w:rFonts w:hint="eastAsia" w:ascii="宋体" w:hAnsi="宋体" w:cs="宋体"/>
                <w:i w:val="0"/>
                <w:iCs w:val="0"/>
                <w:color w:val="auto"/>
                <w:kern w:val="0"/>
                <w:sz w:val="22"/>
                <w:szCs w:val="22"/>
                <w:highlight w:val="none"/>
                <w:u w:val="none"/>
                <w:lang w:val="en-US" w:eastAsia="zh-CN" w:bidi="ar"/>
              </w:rPr>
              <w:t>可录入及查看当前原材料质量信息。</w:t>
            </w:r>
          </w:p>
        </w:tc>
      </w:tr>
      <w:tr w14:paraId="32BF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0E6AC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4DFE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C3F5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原材料管理-追溯系统</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6B29E9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追溯系统功能使企业能够追踪原材料的来源和流向，便于在出现问题快速定位和召回。</w:t>
            </w:r>
          </w:p>
        </w:tc>
      </w:tr>
      <w:tr w14:paraId="6F588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68638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6EE99">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4E5E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原材料管理-数据报表</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295095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用户通过数据报表页面可以查看和生成原材料相关的统计报表。报表页面提供多种数据视图和筛选选项。</w:t>
            </w:r>
          </w:p>
        </w:tc>
      </w:tr>
      <w:tr w14:paraId="60618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DD02F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15F6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B97C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原材料管理-数据分析</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5250E4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数据报表分析功能提供了对原材料使用和库存情况的</w:t>
            </w:r>
            <w:r>
              <w:rPr>
                <w:rFonts w:hint="eastAsia" w:ascii="宋体" w:hAnsi="宋体" w:cs="宋体"/>
                <w:i w:val="0"/>
                <w:iCs w:val="0"/>
                <w:color w:val="auto"/>
                <w:kern w:val="0"/>
                <w:sz w:val="22"/>
                <w:szCs w:val="22"/>
                <w:highlight w:val="none"/>
                <w:u w:val="none"/>
                <w:lang w:val="en-US" w:eastAsia="zh-CN" w:bidi="ar"/>
              </w:rPr>
              <w:t>数据程序，支持优化库存策略</w:t>
            </w:r>
            <w:r>
              <w:rPr>
                <w:rFonts w:hint="eastAsia" w:ascii="宋体" w:hAnsi="宋体" w:eastAsia="宋体" w:cs="宋体"/>
                <w:i w:val="0"/>
                <w:iCs w:val="0"/>
                <w:color w:val="auto"/>
                <w:kern w:val="0"/>
                <w:sz w:val="22"/>
                <w:szCs w:val="22"/>
                <w:highlight w:val="none"/>
                <w:u w:val="none"/>
                <w:lang w:val="en-US" w:eastAsia="zh-CN" w:bidi="ar"/>
              </w:rPr>
              <w:t>。</w:t>
            </w:r>
          </w:p>
        </w:tc>
      </w:tr>
      <w:tr w14:paraId="274F0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B9CB5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EFEC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95C6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产成品管理-基本信息查看</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D5B632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基本信息查看功能允许用户访问和查看产成品的关键信息。为销售和市场分析提供数据支持。</w:t>
            </w:r>
          </w:p>
        </w:tc>
      </w:tr>
      <w:tr w14:paraId="4DB77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53207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BCD55">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6C99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产成品管理-基本信息新增</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A8B6E2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基本信息新增功能支持用户添加新的产成品信息。</w:t>
            </w:r>
          </w:p>
        </w:tc>
      </w:tr>
      <w:tr w14:paraId="497E4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96ED6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D65D2">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6409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产成品管理-基本信息编辑</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1B484C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基本信息编辑功能支持用户更新现有产成品的信息。</w:t>
            </w:r>
          </w:p>
        </w:tc>
      </w:tr>
      <w:tr w14:paraId="030EE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9E614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9FDCB">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4B67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产成品管理-基本信息删除</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314748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用户从系统中移除不再销售或无用的产成品信息。</w:t>
            </w:r>
          </w:p>
        </w:tc>
      </w:tr>
      <w:tr w14:paraId="4790F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61BCE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73D5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EC34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产成品管理-库存查看</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068256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库存查看功能允许企业实时监控产成品的库存状态。确保库存水平与市场需求相匹配。</w:t>
            </w:r>
          </w:p>
        </w:tc>
      </w:tr>
      <w:tr w14:paraId="3E04B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DB38A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F5581">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E038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产成品管理-库存编辑</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2AA910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库存编辑功能允许企业根据实际情况调整产成品库存。</w:t>
            </w:r>
          </w:p>
        </w:tc>
      </w:tr>
      <w:tr w14:paraId="113D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1C5A2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0791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002D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产成品管理-质量控制</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3FFEFF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质量控制功能确保产成品在出厂前符合质量标准，维护品牌形象和客户满意度，提高市场竞争力。</w:t>
            </w:r>
          </w:p>
        </w:tc>
      </w:tr>
      <w:tr w14:paraId="3BFB4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82F2C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BD677">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43CC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产成品管理-追溯系统</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A97B87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追溯系统功能允许追踪产成品的流向，提高产品召回效率，增强消费者信任。</w:t>
            </w:r>
          </w:p>
        </w:tc>
      </w:tr>
      <w:tr w14:paraId="202E7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94ED5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5BAA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6D8A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产成品管理-销售分析</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DD80B9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销售分析功能通过对销售数据的分析，帮助管理者了解市场动态，优化销售策略，提高市场份额和盈利能力。</w:t>
            </w:r>
          </w:p>
        </w:tc>
      </w:tr>
      <w:tr w14:paraId="4EC40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148BE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B23A3">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7D1E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产成品管理-批次查看</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BFC776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批次查看功能允许用户查看产成品的批次信息，展示所有产成品的批次列表。</w:t>
            </w:r>
          </w:p>
        </w:tc>
      </w:tr>
      <w:tr w14:paraId="2E24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B84C3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1CD2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EC74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产成品管理-批次设置</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AE876F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批次设置功能允许对产成品进行批次管理，有助于跟踪产品批次，进行质量控制和市场反馈分析，确保产品一致性和可追溯性。</w:t>
            </w:r>
          </w:p>
        </w:tc>
      </w:tr>
      <w:tr w14:paraId="444E7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748D6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E3393">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73F1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耗材和包装管理-数据管理</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CDB047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跟踪和管理耗材和包装材料的库存。确保库存数据的准确性，避免过度库存或短缺。</w:t>
            </w:r>
          </w:p>
        </w:tc>
      </w:tr>
      <w:tr w14:paraId="65A30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A260D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48958">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FE79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耗材和包装管理-库存监控</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499728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库存监控功能允许实时查看耗材和包装材料的库存水平，</w:t>
            </w:r>
            <w:r>
              <w:rPr>
                <w:rFonts w:hint="eastAsia" w:ascii="宋体" w:hAnsi="宋体" w:cs="宋体"/>
                <w:i w:val="0"/>
                <w:iCs w:val="0"/>
                <w:color w:val="auto"/>
                <w:kern w:val="0"/>
                <w:sz w:val="22"/>
                <w:szCs w:val="22"/>
                <w:highlight w:val="none"/>
                <w:u w:val="none"/>
                <w:lang w:val="en-US" w:eastAsia="zh-CN" w:bidi="ar"/>
              </w:rPr>
              <w:t>可</w:t>
            </w:r>
            <w:r>
              <w:rPr>
                <w:rFonts w:hint="eastAsia" w:ascii="宋体" w:hAnsi="宋体" w:eastAsia="宋体" w:cs="宋体"/>
                <w:i w:val="0"/>
                <w:iCs w:val="0"/>
                <w:color w:val="auto"/>
                <w:kern w:val="0"/>
                <w:sz w:val="22"/>
                <w:szCs w:val="22"/>
                <w:highlight w:val="none"/>
                <w:u w:val="none"/>
                <w:lang w:val="en-US" w:eastAsia="zh-CN" w:bidi="ar"/>
              </w:rPr>
              <w:t>及时发现库存不足或过剩的情况。</w:t>
            </w:r>
          </w:p>
        </w:tc>
      </w:tr>
      <w:tr w14:paraId="05FB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57C81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6AA78">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4050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耗材和包装管理-采购管理</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E0D8EA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采购管理功能帮助企业有效规划和执行采购活动，通过分析历史数据和预测需求，可以优化采购决策，降低成本，提高供应链效率。</w:t>
            </w:r>
          </w:p>
        </w:tc>
      </w:tr>
      <w:tr w14:paraId="06125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89AE7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FB1A9">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2B88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耗材和包装管理-质量控制</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84996F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质量控制功能确保所有耗材和包装材料符合企业的质量标准，防止不合格材料影响产品质量，维护品牌形象和客户满意度。</w:t>
            </w:r>
          </w:p>
        </w:tc>
      </w:tr>
      <w:tr w14:paraId="2CD4C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B7A84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0F3C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79F8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耗材和包装管理-数据分析</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89248C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数据分析功能通过对耗材和包装材料的使用和库存数据进行深入分析，为企业提供洞察，帮助优化库存管理策略和成本效益。</w:t>
            </w:r>
          </w:p>
        </w:tc>
      </w:tr>
      <w:tr w14:paraId="69B38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50D25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33698">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BEB2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价格管理-数据录入</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FB64D1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数据录入是价格管理的基础，确保价格信息的准确性和及时更新。</w:t>
            </w:r>
          </w:p>
        </w:tc>
      </w:tr>
      <w:tr w14:paraId="0EA73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C8202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98DB5">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5065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价格管理-数据编辑</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940820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用户可以通过数据管理页面对价格信息进行编辑和维护。</w:t>
            </w:r>
            <w:r>
              <w:rPr>
                <w:rFonts w:hint="eastAsia" w:ascii="宋体" w:hAnsi="宋体" w:cs="宋体"/>
                <w:i w:val="0"/>
                <w:iCs w:val="0"/>
                <w:color w:val="auto"/>
                <w:kern w:val="0"/>
                <w:sz w:val="22"/>
                <w:szCs w:val="22"/>
                <w:highlight w:val="none"/>
                <w:u w:val="none"/>
                <w:lang w:val="en-US" w:eastAsia="zh-CN" w:bidi="ar"/>
              </w:rPr>
              <w:t>可对</w:t>
            </w:r>
            <w:r>
              <w:rPr>
                <w:rFonts w:hint="eastAsia" w:ascii="宋体" w:hAnsi="宋体" w:eastAsia="宋体" w:cs="宋体"/>
                <w:i w:val="0"/>
                <w:iCs w:val="0"/>
                <w:color w:val="auto"/>
                <w:kern w:val="0"/>
                <w:sz w:val="22"/>
                <w:szCs w:val="22"/>
                <w:highlight w:val="none"/>
                <w:u w:val="none"/>
                <w:lang w:val="en-US" w:eastAsia="zh-CN" w:bidi="ar"/>
              </w:rPr>
              <w:t>价格信息</w:t>
            </w:r>
            <w:r>
              <w:rPr>
                <w:rFonts w:hint="eastAsia" w:ascii="宋体" w:hAnsi="宋体" w:cs="宋体"/>
                <w:i w:val="0"/>
                <w:iCs w:val="0"/>
                <w:color w:val="auto"/>
                <w:kern w:val="0"/>
                <w:sz w:val="22"/>
                <w:szCs w:val="22"/>
                <w:highlight w:val="none"/>
                <w:u w:val="none"/>
                <w:lang w:val="en-US" w:eastAsia="zh-CN" w:bidi="ar"/>
              </w:rPr>
              <w:t>实时</w:t>
            </w:r>
            <w:r>
              <w:rPr>
                <w:rFonts w:hint="eastAsia" w:ascii="宋体" w:hAnsi="宋体" w:eastAsia="宋体" w:cs="宋体"/>
                <w:i w:val="0"/>
                <w:iCs w:val="0"/>
                <w:color w:val="auto"/>
                <w:kern w:val="0"/>
                <w:sz w:val="22"/>
                <w:szCs w:val="22"/>
                <w:highlight w:val="none"/>
                <w:u w:val="none"/>
                <w:lang w:val="en-US" w:eastAsia="zh-CN" w:bidi="ar"/>
              </w:rPr>
              <w:t>更新。</w:t>
            </w:r>
          </w:p>
        </w:tc>
      </w:tr>
      <w:tr w14:paraId="5FFDF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7902F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F4E3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F7FC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价格管理-价格查看</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F62AE1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价格查看功能</w:t>
            </w:r>
            <w:r>
              <w:rPr>
                <w:rFonts w:hint="eastAsia" w:ascii="宋体" w:hAnsi="宋体" w:cs="宋体"/>
                <w:i w:val="0"/>
                <w:iCs w:val="0"/>
                <w:color w:val="auto"/>
                <w:kern w:val="0"/>
                <w:sz w:val="22"/>
                <w:szCs w:val="22"/>
                <w:highlight w:val="none"/>
                <w:u w:val="none"/>
                <w:lang w:val="en-US" w:eastAsia="zh-CN" w:bidi="ar"/>
              </w:rPr>
              <w:t>用于</w:t>
            </w:r>
            <w:r>
              <w:rPr>
                <w:rFonts w:hint="eastAsia" w:ascii="宋体" w:hAnsi="宋体" w:eastAsia="宋体" w:cs="宋体"/>
                <w:i w:val="0"/>
                <w:iCs w:val="0"/>
                <w:color w:val="auto"/>
                <w:kern w:val="0"/>
                <w:sz w:val="22"/>
                <w:szCs w:val="22"/>
                <w:highlight w:val="none"/>
                <w:u w:val="none"/>
                <w:lang w:val="en-US" w:eastAsia="zh-CN" w:bidi="ar"/>
              </w:rPr>
              <w:t>客户和销售人员能够快速获取产品价格信息。</w:t>
            </w:r>
          </w:p>
        </w:tc>
      </w:tr>
      <w:tr w14:paraId="1A2E3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92937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26A8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486A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价格管理-价格筛选</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E43DFC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价格筛选功能帮助用户根据特定的条件筛选价格信息，以便更快地找到所需数据。</w:t>
            </w:r>
          </w:p>
        </w:tc>
      </w:tr>
      <w:tr w14:paraId="494D0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FD8E1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7CFA2">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CB9B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价格管理-价格分析</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CF7082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价格分析功能通过对市场和成本数据的分析，帮助企业了解价格趋势，制定有竞争力的定价策略，提高市场响应速度。</w:t>
            </w:r>
          </w:p>
        </w:tc>
      </w:tr>
      <w:tr w14:paraId="0308E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7A96B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02A92">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1DD5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价格管理-成本管理</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B59333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成本管理功能帮助企业监控和控制生产成本，通过分析成本结构，可以发现成本节约的机会，提高盈利能力。</w:t>
            </w:r>
          </w:p>
        </w:tc>
      </w:tr>
      <w:tr w14:paraId="1B96D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EFBBD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64D20">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2D64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价格管理-定价策略</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4591EB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定价策略功能使企业能够根据市场状况和成本变化灵活调整价格，以最大化利润和市场份额。</w:t>
            </w:r>
          </w:p>
        </w:tc>
      </w:tr>
      <w:tr w14:paraId="789BF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D4350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E22E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7887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价格管理-市场监控</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3BDDE1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市场监控能</w:t>
            </w:r>
            <w:r>
              <w:rPr>
                <w:rFonts w:hint="eastAsia" w:ascii="宋体" w:hAnsi="宋体" w:cs="宋体"/>
                <w:i w:val="0"/>
                <w:iCs w:val="0"/>
                <w:color w:val="auto"/>
                <w:kern w:val="0"/>
                <w:sz w:val="22"/>
                <w:szCs w:val="22"/>
                <w:highlight w:val="none"/>
                <w:u w:val="none"/>
                <w:lang w:val="en-US" w:eastAsia="zh-CN" w:bidi="ar"/>
              </w:rPr>
              <w:t>查看</w:t>
            </w:r>
            <w:r>
              <w:rPr>
                <w:rFonts w:hint="eastAsia" w:ascii="宋体" w:hAnsi="宋体" w:eastAsia="宋体" w:cs="宋体"/>
                <w:i w:val="0"/>
                <w:iCs w:val="0"/>
                <w:color w:val="auto"/>
                <w:kern w:val="0"/>
                <w:sz w:val="22"/>
                <w:szCs w:val="22"/>
                <w:highlight w:val="none"/>
                <w:u w:val="none"/>
                <w:lang w:val="en-US" w:eastAsia="zh-CN" w:bidi="ar"/>
              </w:rPr>
              <w:t>市场变化</w:t>
            </w:r>
            <w:r>
              <w:rPr>
                <w:rFonts w:hint="eastAsia" w:ascii="宋体" w:hAnsi="宋体" w:cs="宋体"/>
                <w:i w:val="0"/>
                <w:iCs w:val="0"/>
                <w:color w:val="auto"/>
                <w:kern w:val="0"/>
                <w:sz w:val="22"/>
                <w:szCs w:val="22"/>
                <w:highlight w:val="none"/>
                <w:u w:val="none"/>
                <w:lang w:val="en-US" w:eastAsia="zh-CN" w:bidi="ar"/>
              </w:rPr>
              <w:t>情况</w:t>
            </w:r>
            <w:r>
              <w:rPr>
                <w:rFonts w:hint="eastAsia" w:ascii="宋体" w:hAnsi="宋体" w:eastAsia="宋体" w:cs="宋体"/>
                <w:i w:val="0"/>
                <w:iCs w:val="0"/>
                <w:color w:val="auto"/>
                <w:kern w:val="0"/>
                <w:sz w:val="22"/>
                <w:szCs w:val="22"/>
                <w:highlight w:val="none"/>
                <w:u w:val="none"/>
                <w:lang w:val="en-US" w:eastAsia="zh-CN" w:bidi="ar"/>
              </w:rPr>
              <w:t>。</w:t>
            </w:r>
          </w:p>
        </w:tc>
      </w:tr>
      <w:tr w14:paraId="1A5B7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D2167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7158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481B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价格管理-市场预警</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BB35B9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市场预警功能允许用户设置价格变动的预警条件，当市场价格达到预设条件时，系统会自动通知用户。</w:t>
            </w:r>
          </w:p>
        </w:tc>
      </w:tr>
      <w:tr w14:paraId="0408B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AD520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D63C1">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4A01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标签管理-标签预览</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B16BB9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标签预览功能允许在打印前查看标签设计，确保信息的准确性和符合设计要求。</w:t>
            </w:r>
          </w:p>
        </w:tc>
      </w:tr>
      <w:tr w14:paraId="7EF1A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8E1BB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30B5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4C26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标签管理-标签新增</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3EFB8F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标签新增功能提供了定制化标签设计的能力，使企业能够根据不同产品和市场要求设置标签内容和格式。</w:t>
            </w:r>
          </w:p>
        </w:tc>
      </w:tr>
      <w:tr w14:paraId="37EA5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D207F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82075">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6CCF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标签管理-标签编辑</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ACBF65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标签编辑功能提供了调整标签内容和格式的功能。</w:t>
            </w:r>
          </w:p>
        </w:tc>
      </w:tr>
      <w:tr w14:paraId="1C805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AA72F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C38AB">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3374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标签管理-标签生成</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EB5C46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签生成功能自动化创建产品标签的过程，提高效率，确保标签的一致性和准确性。</w:t>
            </w:r>
          </w:p>
        </w:tc>
      </w:tr>
      <w:tr w14:paraId="491FB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DA8B6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262E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5FBC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标签管理-标签打印</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7703D6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标签打印功能直接将电子标签设计转化为物理标签。</w:t>
            </w:r>
          </w:p>
        </w:tc>
      </w:tr>
      <w:tr w14:paraId="628C1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38A32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5805F">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FDA0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标签管理-打印机对接</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FCE9FA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打印机对接功能系统与打印机设备进行通信和控制。</w:t>
            </w:r>
          </w:p>
        </w:tc>
      </w:tr>
      <w:tr w14:paraId="0B7BD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8238F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6240">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1533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标签管理-标签赋码</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D71ADD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标签赋码功能为每个产品分配独特的识别码，有助于产品追踪、防伪和提高供应链的透明度。</w:t>
            </w:r>
          </w:p>
        </w:tc>
      </w:tr>
      <w:tr w14:paraId="7B2AD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58A64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A799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405C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标签管理-信息追溯查询</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8CC6FE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信息追溯查询功能使企业能够追踪产品从生产到销售的整个过程，提高产品安全和召回效率。</w:t>
            </w:r>
          </w:p>
        </w:tc>
      </w:tr>
      <w:tr w14:paraId="781A4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9AC35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D84C8">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36E4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产品分级管理-产品展示</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EAEA7E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产品展示功能使客户能够清晰地了解不同分级的产品特点，帮助他们做出明智的购买决策。</w:t>
            </w:r>
          </w:p>
        </w:tc>
      </w:tr>
      <w:tr w14:paraId="4784C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4934A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53975">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6A30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产品分级管理-产品搜索</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7DE7CC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产品搜索功能提高了客户查找特定分级产品的效率，增强了用户体验和满意度。</w:t>
            </w:r>
          </w:p>
        </w:tc>
      </w:tr>
      <w:tr w14:paraId="6CDB5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2A6C2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F84E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57DB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产品分级管理-产品信息管理</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E9003E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产品信息管理功能确保了产品分级信息的准确性和完整性。</w:t>
            </w:r>
          </w:p>
        </w:tc>
      </w:tr>
      <w:tr w14:paraId="4920B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5844C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2F7A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6350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产品分级管理-产品分级建议</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B0A2B5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产品分级建议功能为企业提供不同产品分级的标准和建议，帮助企业根据产品质量、特性等进行合理分类。</w:t>
            </w:r>
          </w:p>
        </w:tc>
      </w:tr>
      <w:tr w14:paraId="0CE78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AFA78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52F62">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C230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产品分级管理-数据展示</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391113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数据展示功能为企业提供了一个直观的平台，用于展示不同分级的产品信息。</w:t>
            </w:r>
          </w:p>
        </w:tc>
      </w:tr>
      <w:tr w14:paraId="4CE7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B6C10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4651D">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256C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产品分级管理-数据筛选</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18BFED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数据筛选功能使企业能够快速获取产品分级的相关信息和历史数据。</w:t>
            </w:r>
          </w:p>
        </w:tc>
      </w:tr>
      <w:tr w14:paraId="67E9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49775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3268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0037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产品分级管理-数据统计</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599F7E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数据统计功能便于进行市场分析和产品策略调整，提升决策效率。</w:t>
            </w:r>
          </w:p>
        </w:tc>
      </w:tr>
      <w:tr w14:paraId="06D3B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2C469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A218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A60F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产品分级管理-消息推送</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4BCF96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消息推送功能确保企业能够及时向相关人员或客户发送产品分级更新信息，提高信息传递效率。</w:t>
            </w:r>
          </w:p>
        </w:tc>
      </w:tr>
      <w:tr w14:paraId="5E6A1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4EB22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70D1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B5CC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产品分级管理-数据分析</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A02FF9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数据分析功能通过对产品分级相关数据的深入分析，帮助企业洞察市场趋势和消费者偏好。</w:t>
            </w:r>
          </w:p>
        </w:tc>
      </w:tr>
      <w:tr w14:paraId="04E5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38DE8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39DD3">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0993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货品存储管理-仓库可视化</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296519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仓库可视化功能通过图形界面展示仓库布局和货品存储情况，提高仓库管理的直观性和效率，降低操作错误率。</w:t>
            </w:r>
          </w:p>
        </w:tc>
      </w:tr>
      <w:tr w14:paraId="303A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4C9C2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FD20F">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EE11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货品存储管理-货品录入</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10800C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货品录入功能是货品存储管理的基础，确保所有入库货品信息的准确记录，为库存跟踪和库存控制提供数据支持。</w:t>
            </w:r>
          </w:p>
        </w:tc>
      </w:tr>
      <w:tr w14:paraId="698A1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03921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52A60">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5EDC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货品存储管理-智能仓位推荐</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AEEA0D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智能仓位推荐功能利用算法优化货品存放位置，提高仓库空间利用率，减少货品检索时间，提升仓库作业效率。</w:t>
            </w:r>
          </w:p>
        </w:tc>
      </w:tr>
      <w:tr w14:paraId="6F07F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C6898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61EF0">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EB10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货品存储管理-信息确认</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BAAA52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信息确认功能确保货品存储过程中的关键信息准确无误，避免因信息错误导致的库存混乱或发货错误。</w:t>
            </w:r>
          </w:p>
        </w:tc>
      </w:tr>
      <w:tr w14:paraId="2B1C9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1743B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CDE6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4ED8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货品存储管理-生成核对清单</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BC6E59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生成核对清单功能帮助管理人员快速核对货品信息，确保库存的准确性，为库存审计和盘点提供便利。</w:t>
            </w:r>
          </w:p>
        </w:tc>
      </w:tr>
      <w:tr w14:paraId="42C4F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71C61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76D75">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9423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货品存储管理-核对操作</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ABAD6B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核对操作功能使管理人员能够对货品进行实际核对，及时发现并纠正库存差异，维护库存数据的准确性。</w:t>
            </w:r>
          </w:p>
        </w:tc>
      </w:tr>
      <w:tr w14:paraId="1528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FBF20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00479">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E986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货品存储管理-错误提示</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02C2F0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错误提示功能在货品存储过程中自动检测并提示潜在错误，帮助管理人员快速响应，减少错误传播。</w:t>
            </w:r>
          </w:p>
        </w:tc>
      </w:tr>
      <w:tr w14:paraId="3BAA2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2FD14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95C2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154E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称重系统-实时监控</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71CBD5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实时监控功能使企业能够即时了解称重过程和结果，确保称重操作的准确性和合规性，提高产品质量控制。</w:t>
            </w:r>
          </w:p>
        </w:tc>
      </w:tr>
      <w:tr w14:paraId="6F3B5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3BD2F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49BB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0D42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称重系统-称重数据展示</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D9E538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称重数据展示功能提供直观的称重结果，便于记录和分析，有助于企业进行产品质量评估和过程控制。</w:t>
            </w:r>
          </w:p>
        </w:tc>
      </w:tr>
      <w:tr w14:paraId="6F41C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4659A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2366C">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784C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称重系统-操作控制</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95A735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操作控制功能使操作人员能够精确控制称重过程，减少人为操作错误，确保称重结果的稳定性和可靠性。</w:t>
            </w:r>
          </w:p>
        </w:tc>
      </w:tr>
      <w:tr w14:paraId="6AC79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061CE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39718">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2D94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称重系统-合格证打印</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6FDD06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合格证打印功能自动化生成并打印产品合格证书，提高生产效率，确保产品合规性，增强消费者信任。</w:t>
            </w:r>
          </w:p>
        </w:tc>
      </w:tr>
      <w:tr w14:paraId="76F63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4DE32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11C55">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928B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称重系统-不合格品处理</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D2C6A5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不合格品处理功能帮助企业快速识别和隔离不合格产品。</w:t>
            </w:r>
          </w:p>
        </w:tc>
      </w:tr>
      <w:tr w14:paraId="707D5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D0907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E8AB5">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8791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称重系统-数据统计</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ECE0CC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数据统计功能对称重数据进行汇总和分析，为企业提供生产过程的量化反馈。</w:t>
            </w:r>
          </w:p>
        </w:tc>
      </w:tr>
      <w:tr w14:paraId="7D034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71BEE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04EC7">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B368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硬件交互-传感器交互</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C21FE2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根据传感器的类型和输出方式，选择合适的接口进行连接，如RS232、RS485、USB、Ethernet等</w:t>
            </w:r>
            <w:r>
              <w:rPr>
                <w:rFonts w:hint="eastAsia" w:ascii="宋体" w:hAnsi="宋体" w:cs="宋体"/>
                <w:i w:val="0"/>
                <w:iCs w:val="0"/>
                <w:color w:val="auto"/>
                <w:kern w:val="0"/>
                <w:sz w:val="22"/>
                <w:szCs w:val="22"/>
                <w:highlight w:val="none"/>
                <w:u w:val="none"/>
                <w:lang w:val="en-US" w:eastAsia="zh-CN" w:bidi="ar"/>
              </w:rPr>
              <w:t>。</w:t>
            </w:r>
          </w:p>
        </w:tc>
      </w:tr>
      <w:tr w14:paraId="2667F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62819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F5C14">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7ABA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硬件交互-通信协议</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F2819C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根据传感器的通信协议，编写相应的通信程序，实现与传感器的数据交换</w:t>
            </w:r>
            <w:r>
              <w:rPr>
                <w:rFonts w:hint="eastAsia" w:ascii="宋体" w:hAnsi="宋体" w:cs="宋体"/>
                <w:i w:val="0"/>
                <w:iCs w:val="0"/>
                <w:color w:val="auto"/>
                <w:kern w:val="0"/>
                <w:sz w:val="22"/>
                <w:szCs w:val="22"/>
                <w:highlight w:val="none"/>
                <w:u w:val="none"/>
                <w:lang w:val="en-US" w:eastAsia="zh-CN" w:bidi="ar"/>
              </w:rPr>
              <w:t>。</w:t>
            </w:r>
          </w:p>
        </w:tc>
      </w:tr>
      <w:tr w14:paraId="26665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109B6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0AB38">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1EFD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硬件交互-数据处理</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787E9B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对传感器返回的数据进行解析和处理，提取出有用的信息，如水果的尺寸、重量、新鲜度等</w:t>
            </w:r>
          </w:p>
        </w:tc>
      </w:tr>
      <w:tr w14:paraId="4C4F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24ABC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6B26C">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BF84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硬件交互-机器交互</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30244C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API/SDK集成：使用机器提供的API或SDK，编写程序调用机器的控制功能、指令发送、状态监控：接收机器返回的状态信息，实时了解机器的工作状态和分拣进度</w:t>
            </w:r>
            <w:r>
              <w:rPr>
                <w:rFonts w:hint="eastAsia" w:ascii="宋体" w:hAnsi="宋体" w:cs="宋体"/>
                <w:i w:val="0"/>
                <w:iCs w:val="0"/>
                <w:color w:val="auto"/>
                <w:kern w:val="0"/>
                <w:sz w:val="22"/>
                <w:szCs w:val="22"/>
                <w:highlight w:val="none"/>
                <w:u w:val="none"/>
                <w:lang w:val="en-US" w:eastAsia="zh-CN" w:bidi="ar"/>
              </w:rPr>
              <w:t>。</w:t>
            </w:r>
          </w:p>
        </w:tc>
      </w:tr>
      <w:tr w14:paraId="0A606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34ADB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8451C">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AB6A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硬件交互-设备控制PLC通信</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7BC389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通过Modbus、Ethernet/IP等协议与PLC进行通信，控制加工设备的运行和参数设置</w:t>
            </w:r>
          </w:p>
        </w:tc>
      </w:tr>
      <w:tr w14:paraId="7226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72BC2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EA86C">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ED1F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硬件交互-设备控制IO控制</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147B6D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使用GPIO、继电器等硬件接口，直接控制设备的开关和状态。</w:t>
            </w:r>
          </w:p>
        </w:tc>
      </w:tr>
      <w:tr w14:paraId="3D414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4FEFF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4AA0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C03B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硬件交互-设备控制安全保护</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172249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在设备控制过程中加入安全保护机制，如紧急停止按钮、过载保护等，确保设备和人员的安全</w:t>
            </w:r>
          </w:p>
        </w:tc>
      </w:tr>
      <w:tr w14:paraId="65220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F83FB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480F3">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3E8D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智能分析-动态排产分析</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9E38AD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产排产分析功能通过对采销数据的全面分析，结合当前库存、订单需求、生产能力等多维度数据，生成精准的生产排产计划。系统将自动分析历史销售数据和市场趋势，预测未来的产品需求量，制定相应的生产计划，并确保生产资源的合理配置和优化利用。</w:t>
            </w:r>
          </w:p>
        </w:tc>
      </w:tr>
      <w:tr w14:paraId="73E1C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5AA63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948AF">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0C2F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智能分析-仓储及采购建议</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4C244A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通过对销售数据、采购数据、库存水平及市场趋势进行综合分析，提供精准的仓储和采购建议。系统会实时跟踪销售数据，预测未来的市场需求，并根据这些需求自动调整采购和仓储策略。</w:t>
            </w:r>
          </w:p>
        </w:tc>
      </w:tr>
      <w:tr w14:paraId="239D3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0C4E5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84C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智慧交易系统</w:t>
            </w: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985C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商品管理-分类列表</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069BFEE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商品分类支持三级分类。分类列表页面展示所有一级分类数据，点击“查看下级”后进入该分类的子分类列表页面。列表展示了分类名称、分类图片、级别、排序等信息。</w:t>
            </w:r>
          </w:p>
        </w:tc>
      </w:tr>
      <w:tr w14:paraId="6395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343D8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FA91C">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1884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商品管理-分类添加</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1007A92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点击“添加分类”弹出添加分类窗口，在新增表单中输入分类名称、上级分类、分类图片、排序等信息。点击“保存”按钮完成分类添加的操作。</w:t>
            </w:r>
          </w:p>
        </w:tc>
      </w:tr>
      <w:tr w14:paraId="36C1A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8EA42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B815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6C4B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商品管理-分类编辑</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7A8300E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点击分类列表中某条分类数据操作项的“编辑”按钮，弹出编辑分类窗口，用户可以修改分类名称、分类排序等信息。点击“保存”即可根据提示完成编辑分类的操作。</w:t>
            </w:r>
          </w:p>
        </w:tc>
      </w:tr>
      <w:tr w14:paraId="0524D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D4BD5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0C30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4897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商品管理-分类删除</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62FFD91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点击分类列表中某条分类数据操作项的“删除”按钮，系统提示“此操作将永久删除该分类, 是否继续?”。点击“确定”该分类将从数据库删除，分类页面将会自动刷新移除该分类数据。</w:t>
            </w:r>
          </w:p>
        </w:tc>
      </w:tr>
      <w:tr w14:paraId="7424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53BAF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5D60F">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BFEE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商品管理-商品列表</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6647206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展示所有商品的列表，包括商品的基本信息（如名称、价格、库存量、上架状态等）。用户可以通过此界面快速浏览和搜索商品。</w:t>
            </w:r>
          </w:p>
        </w:tc>
      </w:tr>
      <w:tr w14:paraId="21367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C68C4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33C9B">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D005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商品管理-商品新增</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11DAA4B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点击商品列表中的“新增商品”按钮，需要选择商品分类，填写商品名称、价格、描述、库存、上架状态等详细信息。保存成功之后商品列表就会显示新建的商品信息。</w:t>
            </w:r>
          </w:p>
        </w:tc>
      </w:tr>
      <w:tr w14:paraId="79E38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4AED1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03627">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05B6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商品管理-商品编辑</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40EF13A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允许对已有商品的信息进行修改，如价格调整、库存更新、商品描述优化等。</w:t>
            </w:r>
          </w:p>
        </w:tc>
      </w:tr>
      <w:tr w14:paraId="066B0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E1B56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2E43F">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105C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商品管理-商品下架</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0FF30AF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将商品从在线销售状态更改为下架状态，不再展示给顾客。下架时自动同步更新商品列表和搜索结果。</w:t>
            </w:r>
          </w:p>
        </w:tc>
      </w:tr>
      <w:tr w14:paraId="45335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4F815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214F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1653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商品管理-商品删除</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31E92AF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删除前进行二次确认，防止误操作。删除将彻底从系统中移除商品信息及其相关数据。</w:t>
            </w:r>
          </w:p>
        </w:tc>
      </w:tr>
      <w:tr w14:paraId="49C72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6823C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F03C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6AD8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商品管理-商品查看详情</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1F8F6FC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展示商品的详细信息，包括图片、描述、分类、价格、库存等。支持多图展示，提供图片轮播功能。</w:t>
            </w:r>
          </w:p>
        </w:tc>
      </w:tr>
      <w:tr w14:paraId="6E90B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CB6BF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DCFF7">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21BC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商品管理-商品列表筛选</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6EEC751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搜索筛选功能提供多种筛选条件组合，支持高级筛选。根据用户设定的条件（如名称、分类、状态等）筛选商品列表。</w:t>
            </w:r>
          </w:p>
        </w:tc>
      </w:tr>
      <w:tr w14:paraId="6C745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8F414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846A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A25A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商品管理-商品列表排序</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72D7B11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排序功能帮助用户根据特定标准（如价格、销量、名称等）对商品进行排序，这有助于优化商品展示，提升用户体验。</w:t>
            </w:r>
          </w:p>
        </w:tc>
      </w:tr>
      <w:tr w14:paraId="68FEF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FD5EA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4CCB0">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CCF6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商品管理-商品信息导入</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4C52B09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商品信息导入功能支持批量处理商品数据，提高商品信息管理的效率。在新产品上线或数据迁移时，可以减少人工输入的工作量，降低出错率。</w:t>
            </w:r>
          </w:p>
        </w:tc>
      </w:tr>
      <w:tr w14:paraId="3BFD6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FDA97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091C2">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E5FD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商品管理-商品单位设置</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08DAA45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单位设置功能允许用户根据不同商品特性设置合适的计量单位，如件、箱、吨等。这有助于标准化商品管理流程，确保交易和库存记录的一致性。</w:t>
            </w:r>
          </w:p>
        </w:tc>
      </w:tr>
      <w:tr w14:paraId="0178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134E7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83987">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8561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客户管理-客户列表</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4A42E78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展示所有客户的基本信息，如姓名、联系方式、公司名称、所属等级等。用户可以通过列表快速浏览客户概况，并基于列表进行进一步的操作，如编辑、删除或查看详细信息。</w:t>
            </w:r>
          </w:p>
        </w:tc>
      </w:tr>
      <w:tr w14:paraId="5FFC3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A6654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103C0">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511C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客户管理-客户添加</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602E446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用户</w:t>
            </w:r>
            <w:r>
              <w:rPr>
                <w:rFonts w:hint="eastAsia" w:ascii="宋体" w:hAnsi="宋体" w:cs="宋体"/>
                <w:i w:val="0"/>
                <w:iCs w:val="0"/>
                <w:color w:val="auto"/>
                <w:kern w:val="0"/>
                <w:sz w:val="22"/>
                <w:szCs w:val="22"/>
                <w:highlight w:val="none"/>
                <w:u w:val="none"/>
                <w:lang w:val="en-US" w:eastAsia="zh-CN" w:bidi="ar"/>
              </w:rPr>
              <w:t>可以</w:t>
            </w:r>
            <w:r>
              <w:rPr>
                <w:rFonts w:hint="eastAsia" w:ascii="宋体" w:hAnsi="宋体" w:eastAsia="宋体" w:cs="宋体"/>
                <w:i w:val="0"/>
                <w:iCs w:val="0"/>
                <w:color w:val="auto"/>
                <w:kern w:val="0"/>
                <w:sz w:val="22"/>
                <w:szCs w:val="22"/>
                <w:highlight w:val="none"/>
                <w:u w:val="none"/>
                <w:lang w:val="en-US" w:eastAsia="zh-CN" w:bidi="ar"/>
              </w:rPr>
              <w:t>手动输入新客户的信息，包括基本信息、联系方式、地址、备注等，将新客户添加到系统中进行管理。</w:t>
            </w:r>
          </w:p>
        </w:tc>
      </w:tr>
      <w:tr w14:paraId="73D31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7DAD6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9EBAB">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9DBE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客户管理-客户编辑</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7E5FF73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允许用户修改现有客户的信息，如更新联系方式、调整客户等级、添加备注等，适应客户信息的变化。</w:t>
            </w:r>
          </w:p>
        </w:tc>
      </w:tr>
      <w:tr w14:paraId="175D5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ED071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9AEFC">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FF25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客户管理-客户删除</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65C9276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允许用户从系统中移除不再需要管理的客户信息，释放系统资源。删除前进行二次确认，防止误操作；</w:t>
            </w:r>
          </w:p>
        </w:tc>
      </w:tr>
      <w:tr w14:paraId="4943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EA5F3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014C8">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E074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客户管理-客户导入</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1B0B5E3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客户导入功能支持批量添加客户信息。</w:t>
            </w:r>
          </w:p>
        </w:tc>
      </w:tr>
      <w:tr w14:paraId="2C8EB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03B2A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11563">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6C76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客户管理-客户导出</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54D5A47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客户导出功能允许企业将客户数据导出至其他系统或用于备份，确保数据的安全性和可迁移性。</w:t>
            </w:r>
          </w:p>
        </w:tc>
      </w:tr>
      <w:tr w14:paraId="78F34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06992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10829">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EE61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客户管理-客户等级设置</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2968893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在客户添加和编辑时自动关联可用的等级选项；支持等级信息的批量修改和删除。</w:t>
            </w:r>
          </w:p>
        </w:tc>
      </w:tr>
      <w:tr w14:paraId="21A8F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6EEA2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D99E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2196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客户管理-客户搜索与过滤</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545E4FB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支持多条件组合搜索和过滤，如姓名、联系方式、公司名称、等级等；提供高级搜索选项，如模糊匹配、范围查询等；</w:t>
            </w:r>
          </w:p>
        </w:tc>
      </w:tr>
      <w:tr w14:paraId="6EB1F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D5699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A86FD">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5D9B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客户管理-数据可视化统计展示</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2741C83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通过图表、仪表盘等形式展示客户数据的统计结果，如客户数量、等级分布、活跃度等。</w:t>
            </w:r>
          </w:p>
        </w:tc>
      </w:tr>
      <w:tr w14:paraId="52FEA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4A313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C88F5">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9AD5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客户管理-服务支持</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5552DE2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提供客户服务支持的功能模块，包括服务请求记录、服务进度跟踪、服务满意度评价等。</w:t>
            </w:r>
          </w:p>
        </w:tc>
      </w:tr>
      <w:tr w14:paraId="770ED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1C1D9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3367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F65D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供应商管理-供应商列表</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58D227E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展示了所有已注册供应商的详细信息，包括供应商名称、联系方式、资质等级、合作状态等。</w:t>
            </w:r>
          </w:p>
        </w:tc>
      </w:tr>
      <w:tr w14:paraId="7785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33440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8676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E735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供应商管理-供应商添加</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3967E53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允许用户手动输入新供应商的信息，包括基本信息、联系方式、资质证书、合作历史等，将新供应商添加到系统中进行管理。</w:t>
            </w:r>
          </w:p>
        </w:tc>
      </w:tr>
      <w:tr w14:paraId="62B57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90671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41DA0">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9CF9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供应商管理-供应商修改</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7DCA011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允许用户更新现有供应商的信息，如修改联系方式、更新资质证书、调整合作状态等，适应供应商信息的变化。</w:t>
            </w:r>
          </w:p>
        </w:tc>
      </w:tr>
      <w:tr w14:paraId="63D75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C9E3B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DA574">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D4BB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供应商管理-供应商删除</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338A921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允许用户从系统中移除不再合作或无效的供应商信息，清理系统数据，保持系统整洁。删除前进行二次确认，防止误操作；</w:t>
            </w:r>
          </w:p>
        </w:tc>
      </w:tr>
      <w:tr w14:paraId="698E1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80FF7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2AA1B">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0F09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供应商管理-供应商导入</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1348D88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供应商导入功能支持企业快速整合现有供应商资源，尤其在并购或合作初期，此功能有助于迅速建立供应商数据库。</w:t>
            </w:r>
          </w:p>
        </w:tc>
      </w:tr>
      <w:tr w14:paraId="65A5D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E6FB9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DBC4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FA6E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供应商管理-供应商导出</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7971516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供应商导出功能使企业能够将关键的供应商信息和数据转移到其他系统或用于备份，确保在不同平台间的数据一致性和安全性。</w:t>
            </w:r>
          </w:p>
        </w:tc>
      </w:tr>
      <w:tr w14:paraId="58ED3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3804C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BDB7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16F9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供应商管理-供应商审核</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582C9DA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供应商审核功能帮助企业评估供应商的资质和表现，确保供应商符合企业标准。</w:t>
            </w:r>
          </w:p>
        </w:tc>
      </w:tr>
      <w:tr w14:paraId="7289E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523F7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D3079">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CCF0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供应商管理-合同与协议管理</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6EB9EBA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合同与协议管理功能使企业能够系统化地管理与供应商之间的法律文件。</w:t>
            </w:r>
          </w:p>
        </w:tc>
      </w:tr>
      <w:tr w14:paraId="5A62C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AEBE9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DBE31">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D758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供应商管理-供应商采购订单</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545EBAD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管理企业与供应商之间的采购订单，包括订单创建、审核、发送、跟踪、收货、结算等环节</w:t>
            </w:r>
          </w:p>
        </w:tc>
      </w:tr>
      <w:tr w14:paraId="6877E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21425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55E89">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09A1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仓库管理-仓库列表</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26D5B29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提供了所有仓库的概览信息，包括仓库编号、名称、位置、负责人、当前库存量等。</w:t>
            </w:r>
          </w:p>
        </w:tc>
      </w:tr>
      <w:tr w14:paraId="7855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7C6FB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CFB52">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BDDB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仓库管理-仓库添加</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259A69D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允许用户手动输入新仓库的信息，包括仓库名称、地址、负责人、联系方式、仓库类型（如常温库、冷藏库等）等，将新仓库添加到系统中进行管理。</w:t>
            </w:r>
          </w:p>
        </w:tc>
      </w:tr>
      <w:tr w14:paraId="4329C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94FF9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322FC">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00F0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仓库管理-仓库利用率分析</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689473C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通过收集仓库的存储容量、实际库存量等数据，计算并分析仓库的利用率情况。</w:t>
            </w:r>
          </w:p>
        </w:tc>
      </w:tr>
      <w:tr w14:paraId="58851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34470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941E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D624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仓库管理-查询历史库存数据</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7F845BD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查询历史库存数据功能允许用户根据时间范围、产品种类等条件，查询并查看仓库的历史库存数据。</w:t>
            </w:r>
          </w:p>
        </w:tc>
      </w:tr>
      <w:tr w14:paraId="6695C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84575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4D58D">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EED4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仓库管理-导出库存数据</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5AB2127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允许用户将当前或历史库存数据导出为Excel等格式的文件，以便进行数据备份、分享或进一步分析。</w:t>
            </w:r>
          </w:p>
        </w:tc>
      </w:tr>
      <w:tr w14:paraId="2A55D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1FE43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68322">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CB6E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仓库管理-库存盘点</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59A1D73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库存盘点功能帮助企业定期核实实际库存与系统记录是否一致，及时发现并纠正差异，确保库存准确性。</w:t>
            </w:r>
          </w:p>
        </w:tc>
      </w:tr>
      <w:tr w14:paraId="4D01F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60043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ED63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4A94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仓库管理-库存调整</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4F46EBC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库存调整功能允许用户在发现库存数据错误或实际库存发生变化时，对库存数据进行手动调整。这包括增加、减少库存数量，调整库存位置等操作。库存调整功能确保了库存数据的准确性和实时性。</w:t>
            </w:r>
          </w:p>
        </w:tc>
      </w:tr>
      <w:tr w14:paraId="10EDF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85F0D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045C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02F1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销售管理-销售订单列表</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1859C46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列表包含订单编号、客户名称、订单日期、订单金额、订单状态等关键信息。用户可通过列表进行快速浏览、筛选、排序等操作，以监控销售业务进度。</w:t>
            </w:r>
          </w:p>
        </w:tc>
      </w:tr>
      <w:tr w14:paraId="3E4D9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C69E2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2973B">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F313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销售管理-销售订单导入</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7DFC265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导入销售订单信息，减少手动录入的工作量，提高工作效率。</w:t>
            </w:r>
          </w:p>
        </w:tc>
      </w:tr>
      <w:tr w14:paraId="5F16A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5EC02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52E25">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E75A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销售管理-销售订单导出</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0B4CCF5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支持自定义导出字段，用户可根据需要选择需要导出的数据列；</w:t>
            </w:r>
          </w:p>
        </w:tc>
      </w:tr>
      <w:tr w14:paraId="49B9E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81846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66EE3">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1A56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销售管理-退货手动录入</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404A0D5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退货手动录入功能使企业能够处理客户退货请求，记录退货原因和数量，有助于改进产品和服务质量。</w:t>
            </w:r>
          </w:p>
        </w:tc>
      </w:tr>
      <w:tr w14:paraId="4CA28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8D3D2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7D04D">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A9F8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销售管理-退订单信息查询</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31162E0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退订单信息查询功能帮助企业跟踪退货订单的状态，及时响应客户需求，提高客户服务水平。</w:t>
            </w:r>
          </w:p>
        </w:tc>
      </w:tr>
      <w:tr w14:paraId="7FC6C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ED9DB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0635C">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F25A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销售管理-退货订单导入</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0EAC935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批量导入退货订单信息。这有助于快速处理大量退货业务，提高工作效率。</w:t>
            </w:r>
          </w:p>
        </w:tc>
      </w:tr>
      <w:tr w14:paraId="7704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D7E2E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D122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3FA1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销售管理-退货订单导出</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6BB113E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用户将退货订单列表中的数据导出为文件，以便进行进一步的数据分析、备份或与其他系统共享。</w:t>
            </w:r>
          </w:p>
        </w:tc>
      </w:tr>
      <w:tr w14:paraId="3918B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CCF65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241B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0420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销售管理-销售收款</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23FD3AF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记录和处理销售订单的收款情况，包括收款金额、收款方式、收款日期等。</w:t>
            </w:r>
          </w:p>
        </w:tc>
      </w:tr>
      <w:tr w14:paraId="796C4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EA082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22BA0">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7B63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销售管理-收款信息查询</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320208C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允许用户根据条件（如收款编号、客户名称、收款日期等）查询收款信息，包括收款金额、收款方式、收款状态等。</w:t>
            </w:r>
          </w:p>
        </w:tc>
      </w:tr>
      <w:tr w14:paraId="7C7C1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2825A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9AFA7">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A7D4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销售管理-销售收款导入</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6A22E61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允许用户通过上传文件批量导入收款信息，减少手动录入的工作量。</w:t>
            </w:r>
          </w:p>
        </w:tc>
      </w:tr>
      <w:tr w14:paraId="5B4D7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CD3A2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13785">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2401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销售管理-销售收款导出</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6A6A844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将销售收款信息从销售管理系统中导出到外部文件中，以便进行进一步的数据分析、存档或与其他系统进行数据交换。</w:t>
            </w:r>
          </w:p>
        </w:tc>
      </w:tr>
      <w:tr w14:paraId="1308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EE3AA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FF9BB">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E812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采购管理-采购付款</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7C6B8D9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采购付款功能是企业支付供应商货款的核心过程。它记录了企业的所有采购支出，有助于控制成本和维护供应商关系。</w:t>
            </w:r>
          </w:p>
        </w:tc>
      </w:tr>
      <w:tr w14:paraId="173E0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9E94D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A7040">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561F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采购管理-采购订单查询</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31717E7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采购订单查询功能使企业能够迅速检索和审查采购订单的状态，确保采购流程的透明度和效率。</w:t>
            </w:r>
          </w:p>
        </w:tc>
      </w:tr>
      <w:tr w14:paraId="56082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439B6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2AA75">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D4A1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采购管理-合同审核</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22473C4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通过审核合同条款，企业可以避免潜在的法律风险，确保交易的公平性和合理性。</w:t>
            </w:r>
          </w:p>
        </w:tc>
      </w:tr>
      <w:tr w14:paraId="743BA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7E91A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58E2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D6A8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采购管理-库存查询</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05A1DDD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库存查询功能是监控库存水平的关键工具，使企业能够实时了解库存状况，包括库存量、位置和流动情况。</w:t>
            </w:r>
          </w:p>
        </w:tc>
      </w:tr>
      <w:tr w14:paraId="664D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B4B32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06A7D">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3309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采购管理-库存校验</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7D98C36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库存校验功能确保库存数据的准确性和完整性。通过定期的库存盘点和校验，企业可以识别并解决库存记录中的差异。</w:t>
            </w:r>
          </w:p>
        </w:tc>
      </w:tr>
      <w:tr w14:paraId="7F072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1B9F7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C664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3C5F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库存管理-商品出入库记录</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3965F33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商品出入库记录功能是库存管理的基础，它详细记录了商品的流动情况。</w:t>
            </w:r>
          </w:p>
        </w:tc>
      </w:tr>
      <w:tr w14:paraId="5FABE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D0E5D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EBD99">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9200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库存管理-往期库存数据导出</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38D6E6E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往期库存数据导出功能使企业能够将历史库存数据用于分析和报告。</w:t>
            </w:r>
          </w:p>
        </w:tc>
      </w:tr>
      <w:tr w14:paraId="177AB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E55A8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CECBF">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D214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库存管理-历史数据查询</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520546D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历史数据查询功能使企业能够审视和分析库存流动的历史记录，关键于预测需求波动和调整库存策略。</w:t>
            </w:r>
          </w:p>
        </w:tc>
      </w:tr>
      <w:tr w14:paraId="54A03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BB84E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229A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FFBD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库存管理-库存预警设置</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1CE4D3A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允许用户为商品设置库存预警阈值，当库存量低于阈值时系统自动发出预警。</w:t>
            </w:r>
          </w:p>
        </w:tc>
      </w:tr>
      <w:tr w14:paraId="601ED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88999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58C6B">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BDA9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库存管理-库存成本核算</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6E301F0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实现库存商品的成本核算，包括采购成本、存储成本、损耗成本等。</w:t>
            </w:r>
          </w:p>
        </w:tc>
      </w:tr>
      <w:tr w14:paraId="79A5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8FF6A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D513F">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CEC6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财务管理-供应商对账</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6016D53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供应商对账功能是确保供应链财务透明度的关键。通过对账，企业可以验证与供应商之间的交易记录，及时发现并解决差异。</w:t>
            </w:r>
          </w:p>
        </w:tc>
      </w:tr>
      <w:tr w14:paraId="0896F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1272A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5497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5BE3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财务管理-供应商账单导出</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1932CA2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供应商账单导出功能使企业能够将账单数据用于外部审计或分析。。</w:t>
            </w:r>
          </w:p>
        </w:tc>
      </w:tr>
      <w:tr w14:paraId="5BE36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B869E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B30A2">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9EC6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财务管理-供应商账单审核</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4349799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供应商账单审核可以验证供应商的费用是否准确。</w:t>
            </w:r>
          </w:p>
        </w:tc>
      </w:tr>
      <w:tr w14:paraId="03D73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40A5B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A9C95">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C9DD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财务管理-客户对账</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0B9F18A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客户对账功能帮助企业与客户之间的交易记录保持一致，确保收款的准确性。</w:t>
            </w:r>
          </w:p>
        </w:tc>
      </w:tr>
      <w:tr w14:paraId="7B952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D5C44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2CD53">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975C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财务管理-客户对账导出</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7D14FA1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客户对账导出功能使企业能够将客户交易记录导出用于外部审计或客户自己的账目核对。</w:t>
            </w:r>
          </w:p>
        </w:tc>
      </w:tr>
      <w:tr w14:paraId="5951B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1225C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5D0F8">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2DFC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财务管理-客户账单审核</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7138CFD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客户账单审核功能使企业能够确保账单的准确性和合规性。</w:t>
            </w:r>
          </w:p>
        </w:tc>
      </w:tr>
      <w:tr w14:paraId="452B9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6E0B2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CD2F0">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2DEE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财务管理-清分管理</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56E4497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系统根据交易记录生成账单。销售账单记录了商家销售的总金额和应付的费用。系统将核对无误的账单数据传输给三方支付系统，进行资金转移操作。</w:t>
            </w:r>
          </w:p>
        </w:tc>
      </w:tr>
      <w:tr w14:paraId="65DFB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C95CF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A2439">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5282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品控管理-品控标准</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3D70FDF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针对每个商品分类进行配置不同的品控标准。点击编辑按钮弹出编辑品控标准窗口，可以对品控标准进行增、删、改操作。</w:t>
            </w:r>
          </w:p>
        </w:tc>
      </w:tr>
      <w:tr w14:paraId="1533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4E61E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51663">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FEBA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品控管理-品控人员管理</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6E71BC9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品控人员分为总监、主管、品控三个级别，可以设置每个品控人员负责的店铺。</w:t>
            </w:r>
          </w:p>
        </w:tc>
      </w:tr>
      <w:tr w14:paraId="1986B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8B8C9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5D392">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50C0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品控管理-入库抽检</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36E2351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控可以对待质检的商品进入抽检，在入库抽检页面展示了待抽检商品列表，点击商品后进入质检页面，质检页面展示了设置好的品控标准。点击质检照片可以上传现场图片，设置好质检数量、不合格数量和不合格原因后点击提交完成该商品的抽检。</w:t>
            </w:r>
          </w:p>
        </w:tc>
      </w:tr>
      <w:tr w14:paraId="06C36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C5F69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6945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8A5B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品控管理-售后鉴责</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190BF07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针对退款退货商品，品控可以进行售后鉴责。进入售后鉴责页面后，展示出未处理的售后商品，点击商品后进入鉴责页面。选择责任方、上传质检照片、选择界定理由、输入处理意见后，点击提交完成鉴责操作。</w:t>
            </w:r>
          </w:p>
        </w:tc>
      </w:tr>
      <w:tr w14:paraId="27F37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7F50E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4C8AC">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5A29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品控管理-不合格品处理</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3C4F931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管理不合格品的识别、隔离、评估和处理过程。记录不合格品的详细信息和处理结果。</w:t>
            </w:r>
          </w:p>
        </w:tc>
      </w:tr>
      <w:tr w14:paraId="3F3BE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3F424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8A585">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1BCD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系统设置-团队成员查看</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1E4CF96B">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查看系统中所有团队成员的列表及其详细信息，如姓名、职位、联系方式和系统权限等，以便进行人员管理。</w:t>
            </w:r>
          </w:p>
        </w:tc>
      </w:tr>
      <w:tr w14:paraId="5947E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DB6F0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18494">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6BE0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系统设置-团队成员新增</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6312D923">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通过此功能添加新的团队成员到系统中。需要输入成员的基本信息和设置相应的系统访问权限。</w:t>
            </w:r>
          </w:p>
        </w:tc>
      </w:tr>
      <w:tr w14:paraId="70330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7D429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70E5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A878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系统设置-团队成员编辑</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50DA1944">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当团队成员的信息发生变化或需要更新时，管理员可以使用此功能对成员的资料进行编辑，包括联系方式、职位、权限等。</w:t>
            </w:r>
          </w:p>
        </w:tc>
      </w:tr>
      <w:tr w14:paraId="0D855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9B8AC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CC0A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4659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系统设置-团队成员删除</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786CF2EE">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团队成员离职或不再需要访问系统，管理员可以通过此功能从系统中删除成员账户。</w:t>
            </w:r>
          </w:p>
        </w:tc>
      </w:tr>
      <w:tr w14:paraId="0F417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42884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47E54">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811C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系统设置-权限设置</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6E191553">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为不同的团队成员设置和调整系统访问权限。权限可以细化到各个功能模块和数据访问级别。</w:t>
            </w:r>
          </w:p>
        </w:tc>
      </w:tr>
      <w:tr w14:paraId="34528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C57D2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398DB">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CE57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系统设置-操作日志</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32264A8A">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管理员可以利用此功能查看系统中所有用户的操作记录，包括操作类型、操作时间、操作人员等。</w:t>
            </w:r>
          </w:p>
        </w:tc>
      </w:tr>
      <w:tr w14:paraId="34923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6A345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39708">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11C7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物流配送-订单发货</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65FCFCE8">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点击“发货”按钮后弹出发货窗口，可以选择不同的三方物流、闪送或自己配送。当选择三方物流或闪送时系统根据订单商品的重量和体积信息计算预计运费，并且自动调用物流下单接口，实现与三方物流对接。</w:t>
            </w:r>
          </w:p>
        </w:tc>
      </w:tr>
      <w:tr w14:paraId="17DC0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3ACBE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75687">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E5AE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物流配送-物流信息同步</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384F2ACA">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系统自动同步三方物流信息，实时查看订单的物流进度。</w:t>
            </w:r>
          </w:p>
        </w:tc>
      </w:tr>
      <w:tr w14:paraId="320E1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E8D18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0DD7C">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5BC3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物流配送-确认收货</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62982944">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当用户收到商品时可以点击“确认收货”按钮完成收货操作，若用户未主动点击“确认收货”则系统会根据实际物流数据进行自动收货处理。</w:t>
            </w:r>
          </w:p>
        </w:tc>
      </w:tr>
      <w:tr w14:paraId="6950B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B7B61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54228">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B0BD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物流配送-异常订单处理</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683614CD">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当物流过程中出现异常情况，如运输延误、包裹丢失或损坏时，系统提供异常订单处理机制。</w:t>
            </w:r>
          </w:p>
        </w:tc>
      </w:tr>
      <w:tr w14:paraId="3FC96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33DEA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0FAD5">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B64C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物流配送-智能路线规划</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65BDDA43">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系统根据订单的目的地、包裹尺寸、重量和客户要求，智能推荐最优的物流路线。</w:t>
            </w:r>
          </w:p>
        </w:tc>
      </w:tr>
      <w:tr w14:paraId="51CC3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1C822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3C8BB">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0B19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物流配送-客户通知</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4FCE2E28">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系统在订单发货、物流状态变更和确认收货等关键节点，自动发送通知给客户。</w:t>
            </w:r>
          </w:p>
        </w:tc>
      </w:tr>
      <w:tr w14:paraId="6B07B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EF72C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28E5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C7C1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物流配送-退货管理</w:t>
            </w:r>
          </w:p>
        </w:tc>
        <w:tc>
          <w:tcPr>
            <w:tcW w:w="2843" w:type="pct"/>
            <w:tcBorders>
              <w:top w:val="single" w:color="000000" w:sz="4" w:space="0"/>
              <w:left w:val="single" w:color="000000" w:sz="4" w:space="0"/>
              <w:bottom w:val="single" w:color="000000" w:sz="4" w:space="0"/>
              <w:right w:val="single" w:color="000000" w:sz="8" w:space="0"/>
            </w:tcBorders>
            <w:shd w:val="clear" w:color="auto" w:fill="FFFFFF"/>
            <w:vAlign w:val="center"/>
          </w:tcPr>
          <w:p w14:paraId="226CBB88">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系统提供退货管理功能，处理客户的退货请求和退货物流。支持退货原因的记录、退货状态的跟踪和退货成本的核算。</w:t>
            </w:r>
          </w:p>
        </w:tc>
      </w:tr>
      <w:tr w14:paraId="15BB1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1D6E3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71F38">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4DED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智慧商城-首页轮播</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13C71BA">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首页展示包含顶部轮播展示（轮播展示可以配置活动、商品、分类等）</w:t>
            </w:r>
          </w:p>
        </w:tc>
      </w:tr>
      <w:tr w14:paraId="5657B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0889E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6237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8DB5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智慧商城-首页分类</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1902A28">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首页分类快捷跳转（可以配置一些常用的分类，点击分类可以快速查询该分类下的商品）</w:t>
            </w:r>
          </w:p>
        </w:tc>
      </w:tr>
      <w:tr w14:paraId="734D6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2B25D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226DD">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1B98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智慧商城-首页活动</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B55EC41">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首页展示商家所配置的活动入口（如活动入口、促销入口、公告等）</w:t>
            </w:r>
          </w:p>
        </w:tc>
      </w:tr>
      <w:tr w14:paraId="7E395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FC3A8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D402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77C7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智慧商城-首页商品瀑布流</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057E00E">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商家商品销量较高的商品的瀑布流展示、支持商品搜索、价格高低排序、销量排序等</w:t>
            </w:r>
          </w:p>
        </w:tc>
      </w:tr>
      <w:tr w14:paraId="4F444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0DC32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E9E27">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410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智慧商城-首页推荐</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EAEF65D">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首页推荐会根据用户浏览商品，进行智能推荐，包括活动商品。</w:t>
            </w:r>
          </w:p>
        </w:tc>
      </w:tr>
      <w:tr w14:paraId="757E5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63DFD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CD89B">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0614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 一级分类</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4DC09E9">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一级分类会展示该商家商品的最大分类类目（如浆果类、热带水果等）</w:t>
            </w:r>
          </w:p>
        </w:tc>
      </w:tr>
      <w:tr w14:paraId="12B42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ADF00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0E9A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97E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 二级分类</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D54A5DD">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根据一级分类查询二级分类，查询一级分类的详细分类。</w:t>
            </w:r>
          </w:p>
        </w:tc>
      </w:tr>
      <w:tr w14:paraId="2A2EB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62F51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4C03F">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3F9F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 三级分类</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06AD11A">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根据一级、二级分类查询三级分类，点击三级分类查询该分类下的商品，以便支持快速定位商品。</w:t>
            </w:r>
          </w:p>
        </w:tc>
      </w:tr>
      <w:tr w14:paraId="3C4BB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A627D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7682D">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FBD6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智慧商城-分类商品</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86D918F">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商品信息会展示该商品的价格、图片、名称、活动价、促销价、商品库存、商品状态（已下架、已售罄、库存不足等信息）。</w:t>
            </w:r>
          </w:p>
        </w:tc>
      </w:tr>
      <w:tr w14:paraId="4E9EB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AD193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21F4B">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6DE2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智慧商城-商品详情图片、视频展示</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66187ED">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主要展示商品图片和商家上传的商品视频，视频支持快进、全屏、暂停、播放。</w:t>
            </w:r>
          </w:p>
        </w:tc>
      </w:tr>
      <w:tr w14:paraId="0F2C8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BC9CD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3D407">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F038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智慧商城-商品详情基本信息</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3823FFB">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展示商品名称、商品原价、商品活动价、商品简介。</w:t>
            </w:r>
          </w:p>
        </w:tc>
      </w:tr>
      <w:tr w14:paraId="0EA11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68231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BA4A1">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CEF0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智慧商城-商品详情详细介绍</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255D56C">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根据商户编辑的富文本展示商品的详细介绍，包括产地、规格、保存方式、生产时间等。</w:t>
            </w:r>
          </w:p>
        </w:tc>
      </w:tr>
      <w:tr w14:paraId="0A281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F390E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5BE8C">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6500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智慧商城-商品详情分享</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FF54B01">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商品详情支持用户分享，用户点击分享，可以分享到微信聊天一级微信群。</w:t>
            </w:r>
          </w:p>
        </w:tc>
      </w:tr>
      <w:tr w14:paraId="1D337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1F6B5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B82FF">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4065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智慧商城-商品详情客服</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D182964">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商品详情页面添加客户入口，点击客服按钮可以进入人工客服页面。</w:t>
            </w:r>
          </w:p>
        </w:tc>
      </w:tr>
      <w:tr w14:paraId="55BC3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B4C13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4C59F">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A469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智慧商城-商品详情加入购物车</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0291E8C">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在商品详情页可以把想要购买的商品加入购物车，加入购物车可以选择商品数量、商品规格</w:t>
            </w:r>
          </w:p>
        </w:tc>
      </w:tr>
      <w:tr w14:paraId="5EDC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2BEF8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C713D">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A20F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智慧商城-商品详情立即购买</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AD7F73A">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商品详情页点击立即购买，在选择完商品数量和规格以后，可以点击支付，去支付已选择好的商品。</w:t>
            </w:r>
          </w:p>
        </w:tc>
      </w:tr>
      <w:tr w14:paraId="2E4A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C1235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7DA0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2055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智慧商城-商品详情收藏</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C33DBC9">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在商品详情页看好商品以后，如果暂时不购买，可以选择收藏商品，已便在收藏夹可以快速找到商品。</w:t>
            </w:r>
          </w:p>
        </w:tc>
      </w:tr>
      <w:tr w14:paraId="38ADE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66571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D5FA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6B1D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智慧商城-创建订单</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0A39276">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选择需要购买的商品后，会创建订单该模块包含用户的收货信息（收货地址、收货人、电话），下单商品的基本信息、下单时间、下单金额等。</w:t>
            </w:r>
          </w:p>
        </w:tc>
      </w:tr>
      <w:tr w14:paraId="377F3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74417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74A07">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30B2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智慧商城-订单支付</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6EAA342">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点击点单支付，会调起支付（主要集成微信支付），支付完成以后可以查看订单信息。</w:t>
            </w:r>
          </w:p>
        </w:tc>
      </w:tr>
      <w:tr w14:paraId="43668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26877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F314D">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49C2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智慧商城-订单列表</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05504A1">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查看订单，可以在该模块看到所有的订单信息、包括待付款订单、已支付订单、待发货订单、已发货订单、已完成订单，订单状态在待付款、已支付单位发货状态时，可以选择取消订单。</w:t>
            </w:r>
          </w:p>
        </w:tc>
      </w:tr>
      <w:tr w14:paraId="46B19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72798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FDA38">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EEF5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智慧商城-订单详情</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86474C9">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点击订单可以查看订单详情，在该也页面可以查看订单的详细信息，包括配送信息、订单状态、物流状态、商品信息、商品价格、商品优惠价格、下单时间、支付时间、物流更新时间等</w:t>
            </w:r>
          </w:p>
        </w:tc>
      </w:tr>
      <w:tr w14:paraId="7F4D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043E7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D364F">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3757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智慧商城-取消订单</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7AFF455">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商品在未发货的状态下支持取消订单，点击取消订单弹出二次确认以后，订单将会被取消。</w:t>
            </w:r>
          </w:p>
        </w:tc>
      </w:tr>
      <w:tr w14:paraId="3D7F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535DA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19129">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A560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智慧商城-删除订单</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36DBAD2">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订单在取消以后，支持删除订单，点击删除订单，弹出二次确认，确认以后订单将会删除。</w:t>
            </w:r>
          </w:p>
        </w:tc>
      </w:tr>
      <w:tr w14:paraId="7E27A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A3012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5E02F">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F394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智慧商城-购物车商品展示</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01D9297">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该模块会展示用户添加到购物车里的所有商品，包括商品的基本信息、加购的数量、商品的价格，商品状态等信息。</w:t>
            </w:r>
          </w:p>
        </w:tc>
      </w:tr>
      <w:tr w14:paraId="28DD6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1A1AA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B6CE5">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18FF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智慧商城-购物车商品操作</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CA1FBA3">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购物车商品支持删除、再次添加、修改商品数量、规格等。</w:t>
            </w:r>
          </w:p>
        </w:tc>
      </w:tr>
      <w:tr w14:paraId="46306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5D7B2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87082">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2039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智慧商城-购物车商品合并支付</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F657B48">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在购物车列表可以合并多个商品一次支付，也支持单个商品支付，支付完成以后会跳转订单信息。</w:t>
            </w:r>
          </w:p>
        </w:tc>
      </w:tr>
      <w:tr w14:paraId="018E9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0F95D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C5BDF">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7E91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智慧商城-个人中心基本信息</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7201DA1">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个人中心包括用户的基本信息（头像、加密手机号、昵称等），点击头像可以跳转用户信息，从而修改用户的基本信息。</w:t>
            </w:r>
          </w:p>
        </w:tc>
      </w:tr>
      <w:tr w14:paraId="3B438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B9131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DD425">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E349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智慧商城-个人中心地址管理</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089EC5C">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个人中心包含地址管理，点击地址管理可以跳转地址管理页面，从而新增、修改、删除地址。</w:t>
            </w:r>
          </w:p>
        </w:tc>
      </w:tr>
      <w:tr w14:paraId="510B3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D0C0C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632EB">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7F79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智慧商城-个人中心收藏列表</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59FD1DC">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点击个人中心收藏，可以跳转收藏列表，展示收藏的商品信息，支持移除收藏。</w:t>
            </w:r>
          </w:p>
        </w:tc>
      </w:tr>
      <w:tr w14:paraId="293D5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11418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8D19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260D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智慧商城-个人中心修改密码</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22EE77E">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个人中心点击修改密码，跳转到修改登录密码页面，通过手机验证码验证以后，再次输入新密码以后，就可以修改成功。</w:t>
            </w:r>
          </w:p>
        </w:tc>
      </w:tr>
      <w:tr w14:paraId="33A12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4554B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73B65">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5D10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智慧商城-个人中心联系商家</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99275F0">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点击个人中心联系商家谈起商家的手机号和微信号，可以复制微信号添加商家微信，也可以点击拨打电话直接联系商家。</w:t>
            </w:r>
          </w:p>
        </w:tc>
      </w:tr>
      <w:tr w14:paraId="27D25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B29CE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2ABCF">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1617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智慧商城-个人中心订单管理</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89F9FD1">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点击个人中心订单管理可以跳转到订单列表，在订单列表可以查看所有订单信息。</w:t>
            </w:r>
          </w:p>
        </w:tc>
      </w:tr>
      <w:tr w14:paraId="50EC6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E8845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08B0C">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C020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智慧商城-个人中心签到中心</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3B4B87C">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点击个人中心签到可以跳转到签到页，在该页面可以点击签到领取积分，当前页面也会根据日期展示签到记录。</w:t>
            </w:r>
          </w:p>
        </w:tc>
      </w:tr>
      <w:tr w14:paraId="1051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23201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C0A01">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47FE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智慧商城-个人中心积分商城</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9E47F68">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用户通过每天签到领取积分，点击积分商城，可以跳转到积分商城兑换商品。</w:t>
            </w:r>
          </w:p>
        </w:tc>
      </w:tr>
      <w:tr w14:paraId="12441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C3C2C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50C2D">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E025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智慧商城-红包列表</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F493A82">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用户通过点击红包进入红包页面，可以查看到所有红包，支持通过点击未适合和已使用、已过期等tab标签切换查询。</w:t>
            </w:r>
          </w:p>
        </w:tc>
      </w:tr>
      <w:tr w14:paraId="489EC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315DF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8F2C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EBAD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智慧商城-用户登录</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592453B">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用户登录页包含小程序基本信息，然后用户可以选择的登录方式，包括微信授权登录，手机号密码登录，点击微信登录可以授权微信登录，输入手机号密码也可以快速登录。</w:t>
            </w:r>
          </w:p>
        </w:tc>
      </w:tr>
      <w:tr w14:paraId="49078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E9097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4DCFB">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7230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智慧商城-用户注册</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9694AFC">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当用户登录时，提示未注册，会跳转到注册页面，帮助用户快速注册，注册信息包括用户手机号、验证码、登录密码。</w:t>
            </w:r>
          </w:p>
        </w:tc>
      </w:tr>
      <w:tr w14:paraId="64D97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509E8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18E80">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B90A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智慧商城-隐私协议</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6F6B5BB">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用户登录时，需要提醒用户阅读相关的会涉及到的隐私协议，需要用户阅读并勾选以后才可以进行登录。</w:t>
            </w:r>
          </w:p>
        </w:tc>
      </w:tr>
      <w:tr w14:paraId="6B394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03418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EF742">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499F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智慧商城-订单分享</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EAC9FA6">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对接分享功能，实现订单分享，分享单页开发</w:t>
            </w:r>
          </w:p>
        </w:tc>
      </w:tr>
      <w:tr w14:paraId="35FC3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8E735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40477">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1091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智慧商城-收货地址管理</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2406676">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集成地图完成，用户输入地址时获取用户的经纬度信息。此信息为用户的收货坐标同步物流排线系统排线使用。</w:t>
            </w:r>
          </w:p>
        </w:tc>
      </w:tr>
      <w:tr w14:paraId="454B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B284F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67E5C">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E3A4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智慧商城-客服中心入口</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4B7021F">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集成微信客服功能，实现在线客服对话。</w:t>
            </w:r>
          </w:p>
        </w:tc>
      </w:tr>
      <w:tr w14:paraId="7D794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A5B28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FD7E9">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260A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智慧商城-售后管理</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6FB631C">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用户选择订单进行发起售后管理、可以查看售后进度。</w:t>
            </w:r>
          </w:p>
        </w:tc>
      </w:tr>
      <w:tr w14:paraId="2E6F3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A0788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FB373">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58FA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智慧商城-支付对接</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9ED60EC">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对接微信支付，用户确认订单后拉起在线支付界面，支付成功后跳转到订单页面。后台接入微信商户支付回调确认支付成功更改订单状态。</w:t>
            </w:r>
          </w:p>
        </w:tc>
      </w:tr>
      <w:tr w14:paraId="0F77A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43CC7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2FC65">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AB47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智慧商城-搜索功能</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E488CBE">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集成Elasticsearch 搜索服务，支持分词搜索，支持搜索功能展示。</w:t>
            </w:r>
          </w:p>
        </w:tc>
      </w:tr>
      <w:tr w14:paraId="56FD4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73EC2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2B6A2">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4A98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智慧商城-商品搜索同步</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17BF604">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集成Elasticsearch 搜索服务，同步商品信息采用数据库日志的方式自动同步。</w:t>
            </w:r>
          </w:p>
        </w:tc>
      </w:tr>
      <w:tr w14:paraId="7A0FD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3B6FE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A97F7">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A9CE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智慧商城-自动化脚本</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DFF3308">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开发自动过期取消订单脚本、用户自动退出登录安全验证脚本</w:t>
            </w:r>
          </w:p>
        </w:tc>
      </w:tr>
      <w:tr w14:paraId="58A2D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6254B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49609">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6A7E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智慧商城-消息管理</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CEA1546">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推送订单、发货、售后等消息通知，开发信息管理功能可以展示信息并可自动标记已读。</w:t>
            </w:r>
          </w:p>
        </w:tc>
      </w:tr>
      <w:tr w14:paraId="44DD8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88B6D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3601F">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C071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行情数据沉淀-数据来源</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2E6A8A8">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行情数据主要通过客户下单、订单管理、物流配送、商品管理、 客户管理、仓储管理、采购管理、财务管理等系统进行数据收集，然后通过数据管理系统进行统一管理、统一分类、统一分析</w:t>
            </w:r>
          </w:p>
        </w:tc>
      </w:tr>
      <w:tr w14:paraId="536FB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101B2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F6AE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B648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行情数据沉淀-数据整合</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4FE3D7B">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通过数据管理平台对收集的数据进行实时分类储存、可以通过不同的条件进行数据查询、导出，因为数据的特殊性、保证数据的安全，需要对相关人员进行权限分配，只有相关权限人的人员才可以操作</w:t>
            </w:r>
          </w:p>
        </w:tc>
      </w:tr>
      <w:tr w14:paraId="71209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A4585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1C7A7">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638F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行情数据沉淀-数据分析</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D9FE351">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对收集的数据进行智能分析，可以通过大量数据来预测商品、订单量、客户下单量、客户群体、财务报表进行预测。</w:t>
            </w:r>
          </w:p>
        </w:tc>
      </w:tr>
      <w:tr w14:paraId="3AC5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36961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8F5CF">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45F4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行情数据沉淀-数据统计</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C32393D">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通过折线图、饼状图、柱形图、热力图把整合的数据进行展示。</w:t>
            </w:r>
          </w:p>
        </w:tc>
      </w:tr>
      <w:tr w14:paraId="4C16C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93ECA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3B161">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244B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订单管理-订单列表</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31ED4CE">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展示所有订单，包括订单号、用户信息、订单总金额、订单状态（如待付款、已支付、待发货、已发货、已完成、已取消等）等。</w:t>
            </w:r>
          </w:p>
        </w:tc>
      </w:tr>
      <w:tr w14:paraId="0DD48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2CCB1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4C2B9">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ABAC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订单管理-订单详情</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9B6CBCD">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用户点击列表中的订单号或“详情”按钮，进入订单详情页面查看订单详细信息，包括商品详情、价格、配送信息等。</w:t>
            </w:r>
          </w:p>
        </w:tc>
      </w:tr>
      <w:tr w14:paraId="7C9F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FE979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8176D">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6D6B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订单管理-订单取消</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46611D3">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在订单处于待发货状态时，用户可选择取消订单，取消订单或退货后，系统根据支付信息将钱款退回原支付账户。</w:t>
            </w:r>
          </w:p>
        </w:tc>
      </w:tr>
      <w:tr w14:paraId="3439A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8838C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A2DED">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8200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订单管理-订单删除</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0A9FF5C">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用户可以通过点击“删除”按钮删除订单。系统在接收到删除请求后，会检查该订单是否可以被删除。如果订单符合删除条件，系统会将其从数据库中移除，并更新相关的数据索引和统计信息。</w:t>
            </w:r>
          </w:p>
        </w:tc>
      </w:tr>
      <w:tr w14:paraId="2A92D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3B4FC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9CA8D">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7EAB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订单管理-订单发货</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2F44A37">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对于已支付订单，提供“发货”按钮，点击后填写物流信息，更新订单状态为“已发货”。</w:t>
            </w:r>
          </w:p>
        </w:tc>
      </w:tr>
      <w:tr w14:paraId="1D15B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C3AE7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100A0">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A456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订单管理-订单导入</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45283B8">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用户通过上传包含订单信息的文件如Excel，将大量订单数据快速批量录入到订单管理系统中。</w:t>
            </w:r>
          </w:p>
        </w:tc>
      </w:tr>
      <w:tr w14:paraId="6F3D6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BD17B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7DC19">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ED73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订单管理-订单导出</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650CAEA">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订单导出功能允许用户将系统中的订单数据导出到文件中，以便进行离线分析、备份或与其他系统共享数据。</w:t>
            </w:r>
          </w:p>
        </w:tc>
      </w:tr>
      <w:tr w14:paraId="3FD33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45B5B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231</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129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物流排线系统</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E8AC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区域管理-新增区域</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893635C">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对地图相关API。通过地图划定闭环区域，并输入区域名称后点击“保存”完成区域新增。</w:t>
            </w:r>
          </w:p>
        </w:tc>
      </w:tr>
      <w:tr w14:paraId="72C57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F518E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CD752">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7D9E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区域管理-编辑区域</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8514918">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在地图上选定要修改的区域后弹出修改区域窗口，修改区域名称，点击“保存”后完成区域修改操作。</w:t>
            </w:r>
          </w:p>
        </w:tc>
      </w:tr>
      <w:tr w14:paraId="75312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923CE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E1C0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3E22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区域管理-修改配送区域</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E954F77">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通过拖动区域边界点可以改变配送区域范围。</w:t>
            </w:r>
          </w:p>
        </w:tc>
      </w:tr>
      <w:tr w14:paraId="68072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7B3E2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AFAA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846B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区域管理-查询区域</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D6B35EC">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提供便捷的查询功能，可以通过区域名称查询区域信息。</w:t>
            </w:r>
          </w:p>
        </w:tc>
      </w:tr>
      <w:tr w14:paraId="66F59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E381F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8473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D1C7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区域管理-地图展示</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C32FE1C">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通过地图展示区域分布情况。</w:t>
            </w:r>
          </w:p>
        </w:tc>
      </w:tr>
      <w:tr w14:paraId="49790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3456A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86C84">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7938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区域管理-区域状态实时监控</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AB8EBD9">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实时监控区域状态和分布情况，确保区域运行平稳。</w:t>
            </w:r>
          </w:p>
        </w:tc>
      </w:tr>
      <w:tr w14:paraId="2443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8BFB5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B4150">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2A98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区域管理-删除区域</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8631843">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管理员可以安全地移除不再使用的区域信息，避免冗余数据对系统性能的影响。</w:t>
            </w:r>
          </w:p>
        </w:tc>
      </w:tr>
      <w:tr w14:paraId="6D1F8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8C719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D0ED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989A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运力管理-车辆管理</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2D23D7A">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企业可以系统地记录和追踪每一辆车的详细信息，包括车辆型号、使用状态、维修记录等，从而提高车辆的使用效率和安全性。这有助于企业更好地规划和调度车辆资源，降低运营成本。</w:t>
            </w:r>
          </w:p>
        </w:tc>
      </w:tr>
      <w:tr w14:paraId="52954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5695F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3A20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D727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运力管理-智能车型推荐</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1EF5ABC">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不同的运输任务可能需要不同类型的车辆来完成。智能车型推荐功能能够根据运输需求（如货物类型、数量、运输距离等）自动推荐最合适的车型。</w:t>
            </w:r>
          </w:p>
        </w:tc>
      </w:tr>
      <w:tr w14:paraId="4473C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AEE80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FD70B">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A2DF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运力管理-查询车辆</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23AE40D">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通过车牌号、司机姓名、联系电话、承运商名称中任意一个信息都可以查询运力情况，了解到当前车辆的营运状态、司机的请假状态、限号情况以及是否是优先承运区域。</w:t>
            </w:r>
          </w:p>
        </w:tc>
      </w:tr>
      <w:tr w14:paraId="70B6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2CD74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1D292">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EDE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运力管理-新增车辆</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21DE851">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通过录入车辆的承运商、司机姓名、司机电话、车牌号、车辆类型、最大装载体积、是否临时车辆、优先承运区域等这些信息。</w:t>
            </w:r>
          </w:p>
        </w:tc>
      </w:tr>
      <w:tr w14:paraId="7FF0B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E7714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4FAA9">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711F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运力管理-新增承运商</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500776E">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通过录入承运商名称等信息，增强物流排线系统的供应链合作能力。</w:t>
            </w:r>
          </w:p>
        </w:tc>
      </w:tr>
      <w:tr w14:paraId="7A08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2F923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FDB1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1B37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运力管理-新增车型</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14C0A6C">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通过输入车辆的类型和装载体积，以适应不同货物的运输需求。</w:t>
            </w:r>
          </w:p>
        </w:tc>
      </w:tr>
      <w:tr w14:paraId="0967E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FDC6E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8B777">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CD3F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运力管理-今日限号</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D5F6B73">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根据当地交通政策，自动提示今日哪些车牌号段的车辆受限。</w:t>
            </w:r>
          </w:p>
        </w:tc>
      </w:tr>
      <w:tr w14:paraId="10938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2C2EC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200A7">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D757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运力管理-批量删除</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F14AA86">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允许用户一次性选择并删除多个不再需要的运力资源，简化管理流程，减少系统冗余数据。</w:t>
            </w:r>
          </w:p>
        </w:tc>
      </w:tr>
      <w:tr w14:paraId="2B147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887B2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020A9">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E861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运力管理-车辆状态监控</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BF27551">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通过车辆状态监控功能，企业可以随时了解车辆的位置、速度、油耗以及可能存在的故障等信息。这有助于企业及时发现并解决问题，减少意外情况的发生，保障运输过程的顺利进行。</w:t>
            </w:r>
          </w:p>
        </w:tc>
      </w:tr>
      <w:tr w14:paraId="282EA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44596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A9415">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B941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运力管理-维护提醒</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16E7EAF">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维护提醒功能够根据车辆的行驶里程、使用时间等因素，自动提醒企业进行必要的维护和保养工作。</w:t>
            </w:r>
          </w:p>
        </w:tc>
      </w:tr>
      <w:tr w14:paraId="25E4B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C2ABB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23A48">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F0CF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客户管理-查询</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2A23DDE">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帮助企业迅速定位到特定客户的详细资料，提高客户服务响应速度和准确性，从而优化客户体验。</w:t>
            </w:r>
          </w:p>
        </w:tc>
      </w:tr>
      <w:tr w14:paraId="3CAD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43091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F470C">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2983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客户管理-编辑</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54669EE">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编辑功能允许企业及时更新客户资料，确保信息的准确性和时效性。</w:t>
            </w:r>
          </w:p>
        </w:tc>
      </w:tr>
      <w:tr w14:paraId="24C96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99EE3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F383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C94C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客户管理-客户行为分析</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83F67CD">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通过深入分析客户的购买历史、浏览记录等行为数据，企业可以更好地理解客户需求和偏好，为精准营销和产品开发提供有力支持。</w:t>
            </w:r>
          </w:p>
        </w:tc>
      </w:tr>
      <w:tr w14:paraId="6590F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67122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CC03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4EF9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客户管理-客户满意度预测</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E1DA6C2">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预测客户满意度有助于企业及时发现并解决潜在问题，防止客户流失。</w:t>
            </w:r>
          </w:p>
        </w:tc>
      </w:tr>
      <w:tr w14:paraId="5170D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D32E6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D574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A3E6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客户管理-智能客服系统</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9099D37">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智能客服系统能够提供在线支持，快速响应客户咨询和问题，减轻人工客服的压力。</w:t>
            </w:r>
          </w:p>
        </w:tc>
      </w:tr>
      <w:tr w14:paraId="50DA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13D4E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EECA4">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7755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客户管理-重新定位客户地址</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2D459E1">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允许用户根据实际情况更新或修正客户的配送地址信息。</w:t>
            </w:r>
          </w:p>
        </w:tc>
      </w:tr>
      <w:tr w14:paraId="5269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1FDBA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C5DEF">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B5A0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客户管理-设置客户配送波次</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B582DCF">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允许用户根据业务需求为不同客户或客户群设定不同的配送时间段和优先级。</w:t>
            </w:r>
          </w:p>
        </w:tc>
      </w:tr>
      <w:tr w14:paraId="38CA5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BB8C5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C5E9B">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91BA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订单管理-查询</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F495603">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 xml:space="preserve">允许用户快速检索订单信息，可以通过发货单号、联系人和联系电话进行检索订单。 </w:t>
            </w:r>
          </w:p>
        </w:tc>
      </w:tr>
      <w:tr w14:paraId="3F2C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515D9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161E1">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BCE6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订单管理-编辑与删除</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48D6511">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提供订单信息的修改和删除能力，确保用户能够灵活管理订单，及时纠正错误或取消不再需要的订单</w:t>
            </w:r>
          </w:p>
        </w:tc>
      </w:tr>
      <w:tr w14:paraId="449E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89A27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878AC">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87E8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订单管理-导出</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A6F5F93">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允许用户将订单数据导出至其他格式，便于进行进一步的分析或在不同系统间共享数据，增强数据的可移植性。</w:t>
            </w:r>
          </w:p>
        </w:tc>
      </w:tr>
      <w:tr w14:paraId="4764F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1FE00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184A8">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DF39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订单管理-批量导入</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9548B52">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支持用户批量导入订单数据，提高数据录入效率。</w:t>
            </w:r>
          </w:p>
        </w:tc>
      </w:tr>
      <w:tr w14:paraId="19F5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C386C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51BA9">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49D7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订单管理-分配和调整</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6C946A7">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系统能够根据预设规则（优先级、配送区域等）自动将订单分配给相应的处理人员或物流渠道。同时，提供手动调整功能，以应对特殊情况或优化分配结果，提高订单处理的灵活性和效率。</w:t>
            </w:r>
          </w:p>
        </w:tc>
      </w:tr>
      <w:tr w14:paraId="5EF34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9D352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0239D">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057F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订单管理-实时监控</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403A2AC">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该功能实时跟踪订单的每个处理环节，包括待处理、已分配、运输中、已完成等多种状态。</w:t>
            </w:r>
          </w:p>
        </w:tc>
      </w:tr>
      <w:tr w14:paraId="45E1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937C8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582A0">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21A1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订单管理-订单统计</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B2E6928">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提供强大的查询和统计功能，支持按多种条件（如订单号、客户名称、时间段等）快速检索订单信息。</w:t>
            </w:r>
          </w:p>
        </w:tc>
      </w:tr>
      <w:tr w14:paraId="40F1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4680A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4FBE9">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197D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订单管理-异常订单处理</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17D3643">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针对延迟发货、配送错误、客户拒收等异常情况，系统提供一套完善的处理流程。</w:t>
            </w:r>
          </w:p>
        </w:tc>
      </w:tr>
      <w:tr w14:paraId="25A78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E8929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5798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8064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实时订单-查询</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C483235">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提供实时订单状态查询，帮助用户及时了解订单执行情况，对异常情况做出快速响应</w:t>
            </w:r>
          </w:p>
        </w:tc>
      </w:tr>
      <w:tr w14:paraId="3B397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653CD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80638">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369C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实时订单-信息列表</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80295EB">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该功能确保系统能够即时捕捉并展示所有新接收的订单信息，包括商品详情、客户要求及特殊要求等，为后续处理提供准确的数据基础。通过实时性，减少了订单处理的延迟，提高了整体运营效率。</w:t>
            </w:r>
          </w:p>
        </w:tc>
      </w:tr>
      <w:tr w14:paraId="6D448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9744A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4623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3ED0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实时订单-订单分配</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4511CF5">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一旦新订单进入系统，该机制将立即触发，根据预设规则或实时条件自动或手动为订单分配最优运力资源，这种快速响应确保了订单处理的时效性和灵活性。</w:t>
            </w:r>
          </w:p>
        </w:tc>
      </w:tr>
      <w:tr w14:paraId="002A7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6AC74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826A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B3C3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实时订单-订单通知</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3CFBAB6">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该功能让客户和内部处理人员能够实时了解订单的当前状态。</w:t>
            </w:r>
          </w:p>
        </w:tc>
      </w:tr>
      <w:tr w14:paraId="0BC12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89231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7E45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B02E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实时订单-订单优先级设置</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AB3BFBB">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为满足不同订单的重要性和紧急程度，该功能允许用户根据业务需求设置订单的优先级。</w:t>
            </w:r>
          </w:p>
        </w:tc>
      </w:tr>
      <w:tr w14:paraId="2369F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22FC5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2276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02CD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实时订单-统计</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1FC7512">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对实时订单数据进行汇总统计，帮助用户分析订单趋势，为决策提供数据支持。</w:t>
            </w:r>
          </w:p>
        </w:tc>
      </w:tr>
      <w:tr w14:paraId="76B70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FB41C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F5861">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297E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实时订单-异常检测</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FB99D14">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2"/>
                <w:szCs w:val="22"/>
                <w:highlight w:val="none"/>
                <w:lang w:bidi="ar"/>
              </w:rPr>
              <w:t>自动检测订单执行中的异常情况，及时提醒用户注意，减少潜在的损失。</w:t>
            </w:r>
          </w:p>
        </w:tc>
      </w:tr>
      <w:tr w14:paraId="275BA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1B0AF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27968">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3659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实时订单-预警</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D0B118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基于数据分析结果，对可能的风险发出预警，使用户能够提前采取措施，避免问题发生。</w:t>
            </w:r>
          </w:p>
        </w:tc>
      </w:tr>
      <w:tr w14:paraId="1475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720F2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7F94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E618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实时订单-动态调整</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A3A2E9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允许用户根据实时情况对订单进行动态调整，以适应不断变化的需求和条件。</w:t>
            </w:r>
          </w:p>
        </w:tc>
      </w:tr>
      <w:tr w14:paraId="301D5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33DCE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A549B">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7E8B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地图排线-智能排线</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B3707E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优化物流路线，减少运输成本，提高物流效率。</w:t>
            </w:r>
          </w:p>
        </w:tc>
      </w:tr>
      <w:tr w14:paraId="1B931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1750D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EFF60">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8427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地图排线-精准查询</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335EBF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提供精确的地图查询功能，帮助用户快速定位和分析特定区域的订单情况。</w:t>
            </w:r>
          </w:p>
        </w:tc>
      </w:tr>
      <w:tr w14:paraId="440AC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B46FE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07692">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C837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地图排线-实时更新</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B39632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确保地图数据的实时更新，反映最新的物流状态，提高决策的时效性。</w:t>
            </w:r>
          </w:p>
        </w:tc>
      </w:tr>
      <w:tr w14:paraId="60BCF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997E6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0AE04">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65A7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地图排线-手动调整</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184BA1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允许用户根据实际情况手动调整路线，增加系统的灵活性和适应性。</w:t>
            </w:r>
          </w:p>
        </w:tc>
      </w:tr>
      <w:tr w14:paraId="548CF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8058C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1ED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0D26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地图排线-数据展示</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1AA569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展示地图上的数据信息，帮助用户全面了解物流分布和状态。</w:t>
            </w:r>
          </w:p>
        </w:tc>
      </w:tr>
      <w:tr w14:paraId="3D89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E64B5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A07F8">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AFE7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派车下发-查询派车单</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C6B101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提供派车单的查询功能，使用户能够快速查找和管理派车任务。</w:t>
            </w:r>
          </w:p>
        </w:tc>
      </w:tr>
      <w:tr w14:paraId="5E40D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AD286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7D3F7">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7A31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派车下发-导入派车单</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0D0087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支持派车单的批量导入，提高派车任务管理的效率和准确性。</w:t>
            </w:r>
          </w:p>
        </w:tc>
      </w:tr>
      <w:tr w14:paraId="251C6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8A493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9CDF2">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6381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派车下发-派车下发操作</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C6F465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此功能是物流调度的核心环节，允许操作人员高效地分配车辆资源，确保订单能够及时准确地下发到相应司机。</w:t>
            </w:r>
          </w:p>
        </w:tc>
      </w:tr>
      <w:tr w14:paraId="53F97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67296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57DD5">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3DB8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派车下发-一键批量下发</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666EB2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通过一键操作简化派车流程，大幅提高派车效率，减少人为错误，确保派车任务迅速且准确地传达给司机，提升物流响应速度。</w:t>
            </w:r>
          </w:p>
        </w:tc>
      </w:tr>
      <w:tr w14:paraId="2ED70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6E8E2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BE2C0">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1A02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派车下发-更改司机</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9D0DC2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在司机不可用或需要调整派车计划时，允许灵活更改司机，保证订单能够顺利进行。</w:t>
            </w:r>
          </w:p>
        </w:tc>
      </w:tr>
      <w:tr w14:paraId="66648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FF44E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D2215">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5B1A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派车下发-派车单详情查看</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8475F7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提供派车单的详细信息查看，帮助了解派车状态，监控和调整派车计划。</w:t>
            </w:r>
          </w:p>
        </w:tc>
      </w:tr>
      <w:tr w14:paraId="2B1BE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E632F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B8BC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4A34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派车下发-短信通知</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F103BF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通过发送短信的方式向司机、客户发送重要信息。</w:t>
            </w:r>
          </w:p>
        </w:tc>
      </w:tr>
      <w:tr w14:paraId="3C182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0DC4F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19104">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958C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在途监控-订单状态展示</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71FE4B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实时展示订单的在途状态，掌握订单的执行情况。</w:t>
            </w:r>
          </w:p>
        </w:tc>
      </w:tr>
      <w:tr w14:paraId="76AD0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6A025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12ED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F962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在途监控-订单查询</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AD7330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允许用户快速查询在途订单的详细信息，提高订单管理的效率。</w:t>
            </w:r>
          </w:p>
        </w:tc>
      </w:tr>
      <w:tr w14:paraId="6B51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46DE5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387C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96D9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在途监控-订单详情展示</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865FD4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详细展示在途订单的各个环节，帮助解订单进展。</w:t>
            </w:r>
          </w:p>
        </w:tc>
      </w:tr>
      <w:tr w14:paraId="0A663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CBD52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0C2BC">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7043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在途监控-地图可视化</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06E48E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通过地图可视化技术直观展示在途订单的地理位置和状态，提高监控效率。</w:t>
            </w:r>
          </w:p>
        </w:tc>
      </w:tr>
      <w:tr w14:paraId="18A90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1CD4F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557DF">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9A33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在途监控-异常状态提醒</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61B4EF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自动检测并提醒用户订单中的异常状态，如延误或偏离预定路线</w:t>
            </w:r>
            <w:r>
              <w:rPr>
                <w:rFonts w:hint="eastAsia" w:ascii="宋体" w:hAnsi="宋体" w:cs="宋体"/>
                <w:i w:val="0"/>
                <w:iCs w:val="0"/>
                <w:color w:val="auto"/>
                <w:kern w:val="0"/>
                <w:sz w:val="22"/>
                <w:szCs w:val="22"/>
                <w:highlight w:val="none"/>
                <w:u w:val="none"/>
                <w:lang w:val="en-US" w:eastAsia="zh-CN" w:bidi="ar"/>
              </w:rPr>
              <w:t>等</w:t>
            </w:r>
            <w:r>
              <w:rPr>
                <w:rFonts w:hint="eastAsia" w:ascii="宋体" w:hAnsi="宋体" w:eastAsia="宋体" w:cs="宋体"/>
                <w:i w:val="0"/>
                <w:iCs w:val="0"/>
                <w:color w:val="auto"/>
                <w:kern w:val="0"/>
                <w:sz w:val="22"/>
                <w:szCs w:val="22"/>
                <w:highlight w:val="none"/>
                <w:u w:val="none"/>
                <w:lang w:val="en-US" w:eastAsia="zh-CN" w:bidi="ar"/>
              </w:rPr>
              <w:t>。</w:t>
            </w:r>
          </w:p>
        </w:tc>
      </w:tr>
      <w:tr w14:paraId="244F9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CDB02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6304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81E8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司机运费-查询</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ED8A0A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提供司机运费的查询功能，了解运费情况。</w:t>
            </w:r>
          </w:p>
        </w:tc>
      </w:tr>
      <w:tr w14:paraId="41BD7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DA16F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02E2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5951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司机运费-批量确认</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11356F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允许用户批量确认司机运费，提高效率。</w:t>
            </w:r>
          </w:p>
        </w:tc>
      </w:tr>
      <w:tr w14:paraId="1485D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295E6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CFC79">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1C9E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司机运费-重新生成</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1A6205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在运费计算错误或需要调整时，此功能允许重新生成运费。</w:t>
            </w:r>
          </w:p>
        </w:tc>
      </w:tr>
      <w:tr w14:paraId="1795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14495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E32A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7DA7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司机运费-计费规则配置</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68EF5B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用户根据业务需求配置计费规则。</w:t>
            </w:r>
          </w:p>
        </w:tc>
      </w:tr>
      <w:tr w14:paraId="20D52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82EC6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00CE0">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8583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司机运费-智能运费计算展示</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F188FE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系统能自动计算运费，减少人为计算错误。</w:t>
            </w:r>
          </w:p>
        </w:tc>
      </w:tr>
      <w:tr w14:paraId="354A5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3B6AC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CD0FD">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D15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司机运费-报表导出</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F9B7EB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支持将司机运费数据导出为报表，便于进行进一步的分析和存档。</w:t>
            </w:r>
          </w:p>
        </w:tc>
      </w:tr>
      <w:tr w14:paraId="51E22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810A6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5B541">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CBBA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计费规则配置-参数设置</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2E4C67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允许用户根据业务需求设置计费参数，，满足不同场景下的计费需求。</w:t>
            </w:r>
          </w:p>
        </w:tc>
      </w:tr>
      <w:tr w14:paraId="7A44F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ACF81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937C7">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1061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计费规则配置-实时生效</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3ADA5D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使</w:t>
            </w:r>
            <w:r>
              <w:rPr>
                <w:rFonts w:hint="eastAsia" w:ascii="宋体" w:hAnsi="宋体" w:eastAsia="宋体" w:cs="宋体"/>
                <w:i w:val="0"/>
                <w:iCs w:val="0"/>
                <w:color w:val="auto"/>
                <w:kern w:val="0"/>
                <w:sz w:val="22"/>
                <w:szCs w:val="22"/>
                <w:highlight w:val="none"/>
                <w:u w:val="none"/>
                <w:lang w:val="en-US" w:eastAsia="zh-CN" w:bidi="ar"/>
              </w:rPr>
              <w:t>计费规则的更改能够实时生效。</w:t>
            </w:r>
          </w:p>
        </w:tc>
      </w:tr>
      <w:tr w14:paraId="0852D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860C5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2483B">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E0B3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计费规则配置-计算逻辑展示</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B6C52F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展示计费规则的计算逻辑。</w:t>
            </w:r>
          </w:p>
        </w:tc>
      </w:tr>
      <w:tr w14:paraId="3D421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930CF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00568">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20BE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计费规则配置-结果展示</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C903D7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展示计费规则配置后的结果。</w:t>
            </w:r>
          </w:p>
        </w:tc>
      </w:tr>
      <w:tr w14:paraId="5A000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DD1A5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6604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FA8B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计费规则配置-权限控制</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0B9229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通过权限控制确保只有授权人员能够修改计费规则。</w:t>
            </w:r>
          </w:p>
        </w:tc>
      </w:tr>
      <w:tr w14:paraId="06E23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F32EB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AA9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溯源系统</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DC23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质量控制-质量标准设定</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2D6202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根据不同蔬菜品种和食品安全标准，设定质量参数和阈值。</w:t>
            </w:r>
          </w:p>
        </w:tc>
      </w:tr>
      <w:tr w14:paraId="678CF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3BB3F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3BC6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0A1C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质量控制-实时质量监测</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26DBCD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通过集成的检测设备实时监测产品质量，如农药残留、营养成分等。</w:t>
            </w:r>
          </w:p>
        </w:tc>
      </w:tr>
      <w:tr w14:paraId="31020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C6DA5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78E3B">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F69C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质量控制-质量事件管理</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02C39B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记录和分析质量事件，包括不合格产品、客户投诉等。</w:t>
            </w:r>
          </w:p>
        </w:tc>
      </w:tr>
      <w:tr w14:paraId="5AC5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06D03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08A62">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CEA7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质量控制-质量追溯</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5AA4CB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记录每个产品每个环节的质量检测历史。可以通过产品标识查询详细的质量信息。</w:t>
            </w:r>
          </w:p>
        </w:tc>
      </w:tr>
      <w:tr w14:paraId="76EB4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5DFFD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3216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A28C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农残检测-检测流程管理</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750E3D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详细记录农残检测的每个步骤，从样品的采集、标记、送检到实验室分析，以及最终结果的记录和审核。</w:t>
            </w:r>
          </w:p>
        </w:tc>
      </w:tr>
      <w:tr w14:paraId="1C1ED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2010D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CAA27">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48A6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农残检测-检测结果公示</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1A3378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将农残检测结果通过系统公示，消费者可通过扫描产品二维码查询，提高产品透明度和消费者信任度。</w:t>
            </w:r>
          </w:p>
        </w:tc>
      </w:tr>
      <w:tr w14:paraId="56940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9793A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ADDFC">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0674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农残检测-检测方法多样性</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418E2E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支持多种检测方法，包括现场快速检测和实验室精密检测，以适应不同的检测需求和场景。</w:t>
            </w:r>
          </w:p>
        </w:tc>
      </w:tr>
      <w:tr w14:paraId="7489B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F4C45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095B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B812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农残检测-检测数据的深度分析</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E0632A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系统不仅记录检测结果，还提供数据分析工具，帮助分析农残数据的趋势和模式。</w:t>
            </w:r>
          </w:p>
        </w:tc>
      </w:tr>
      <w:tr w14:paraId="14A1B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E2872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479EE">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1721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农残检测-法规和标准更新</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5F123F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系统能够及时更新和反映国家和国际上关于农药残留的最新法规和标准。</w:t>
            </w:r>
          </w:p>
        </w:tc>
      </w:tr>
      <w:tr w14:paraId="54C1F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B8340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0DC76">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28FC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合格证管理-合格证自动生成</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3033CF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当产品通过所有检测后，系统自动生成合格证，减少人工操作，提高效率。</w:t>
            </w:r>
          </w:p>
        </w:tc>
      </w:tr>
      <w:tr w14:paraId="7EC01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E21C5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7BA28">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A934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合格证管理-合格证验证查询</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EE3BCA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消费者和监管部门可通过系统查询合格证的真伪和详细信息，增强产品在市场上的可信度。</w:t>
            </w:r>
          </w:p>
        </w:tc>
      </w:tr>
      <w:tr w14:paraId="1BF3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DF37B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6C657">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18BA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仓储物流溯源-产品入库管理</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5EB143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监控产品库存状态，自动预警库存不足，合理安排补货，避免过剩或短缺，优化库存管理。</w:t>
            </w:r>
          </w:p>
        </w:tc>
      </w:tr>
      <w:tr w14:paraId="33E6D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433A4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6B929">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DEE1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仓储物流溯源-库存查询与监控</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5CCBFC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用户可以实时查询库存状态，系统提供库存量的可视化展示。用户输入产品名称或SKU，系统列出库存数量、存放位置等信息。</w:t>
            </w:r>
          </w:p>
        </w:tc>
      </w:tr>
      <w:tr w14:paraId="74423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55AD1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313</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3355F">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A26D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仓储物流溯源-溯源信息录入</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078DD7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用户在产品入库时录入详细的溯源信息，包括生产批次、原料来源、生产日期等。系统支持手动输入和批量导入功能。</w:t>
            </w:r>
          </w:p>
        </w:tc>
      </w:tr>
      <w:tr w14:paraId="7BCAF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19197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314</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BF0F8">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8F53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仓储物流溯源-物流跟踪管理</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AD0E33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用户通过物流跟踪功能监控产品在运输过程中的状态。输入运单号，系统展示产品运输的实时位置和状态，用户可据此调整物流计划，优化配送效率。</w:t>
            </w:r>
          </w:p>
        </w:tc>
      </w:tr>
      <w:tr w14:paraId="300EE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60204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315</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F7B59">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FDFA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仓储物流溯源-出库与配送管理</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25AAC8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用户根据订单信息处理产品的出库和配送。在出库时，用户选择订单和产品，系统自动更新库存并生成配送任务。</w:t>
            </w:r>
          </w:p>
        </w:tc>
      </w:tr>
      <w:tr w14:paraId="03F7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03415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316</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FE71D">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394D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仓储物流溯源-订单处理与追踪</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DFDE1C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系统处理客户订单，从拣选、打包到发货的全流程管理，并提供订单状态的实时追踪。</w:t>
            </w:r>
          </w:p>
        </w:tc>
      </w:tr>
      <w:tr w14:paraId="7AAD0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66E2B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317</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B7865">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5672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检测报告-数据分析与处理</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079908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对检测报告数据进行深入分析和处理，提取有价值的信息，为产品质量的持续改进和风险评估提供科学依据。</w:t>
            </w:r>
          </w:p>
        </w:tc>
      </w:tr>
      <w:tr w14:paraId="6721E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C7360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318</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1CFFA">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3E2D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检测报告-报告生成与展示</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387425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自动生成清晰、准确的检测报告，并通过多种方式展示。</w:t>
            </w:r>
          </w:p>
        </w:tc>
      </w:tr>
      <w:tr w14:paraId="4AF2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5CA98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319</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5ADD7">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BC24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检测报告-报告分发与管理</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37F9B4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确保检测报告能够准确、及时地分发给相关方，并对其进行有效的管理。</w:t>
            </w:r>
          </w:p>
        </w:tc>
      </w:tr>
      <w:tr w14:paraId="184E8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B262E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65793">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8370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溯源客户端-扫码识别</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95DB64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通过扫码识别技术，快速准确地获取产品溯源信息，提高产品追溯效率</w:t>
            </w:r>
          </w:p>
        </w:tc>
      </w:tr>
      <w:tr w14:paraId="1C0C4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4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74CE1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321</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60268">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120D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溯源客户端-信息展示</w:t>
            </w:r>
          </w:p>
        </w:tc>
        <w:tc>
          <w:tcPr>
            <w:tcW w:w="284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80368E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清晰展示产品全生命周期信息，</w:t>
            </w:r>
            <w:r>
              <w:rPr>
                <w:rFonts w:hint="eastAsia" w:ascii="宋体" w:hAnsi="宋体" w:cs="宋体"/>
                <w:i w:val="0"/>
                <w:iCs w:val="0"/>
                <w:color w:val="auto"/>
                <w:kern w:val="0"/>
                <w:sz w:val="22"/>
                <w:szCs w:val="22"/>
                <w:highlight w:val="none"/>
                <w:u w:val="none"/>
                <w:lang w:val="en-US" w:eastAsia="zh-CN" w:bidi="ar"/>
              </w:rPr>
              <w:t>展示</w:t>
            </w:r>
            <w:r>
              <w:rPr>
                <w:rFonts w:hint="eastAsia" w:ascii="宋体" w:hAnsi="宋体" w:eastAsia="宋体" w:cs="宋体"/>
                <w:i w:val="0"/>
                <w:iCs w:val="0"/>
                <w:color w:val="auto"/>
                <w:kern w:val="0"/>
                <w:sz w:val="22"/>
                <w:szCs w:val="22"/>
                <w:highlight w:val="none"/>
                <w:u w:val="none"/>
                <w:lang w:val="en-US" w:eastAsia="zh-CN" w:bidi="ar"/>
              </w:rPr>
              <w:t>产品从加工到销售的每个环节。</w:t>
            </w:r>
          </w:p>
        </w:tc>
      </w:tr>
      <w:tr w14:paraId="177B9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443" w:type="pct"/>
            <w:tcBorders>
              <w:top w:val="single" w:color="000000" w:sz="4" w:space="0"/>
              <w:left w:val="single" w:color="000000" w:sz="8" w:space="0"/>
              <w:bottom w:val="single" w:color="000000" w:sz="8" w:space="0"/>
              <w:right w:val="single" w:color="000000" w:sz="4" w:space="0"/>
            </w:tcBorders>
            <w:shd w:val="clear" w:color="auto" w:fill="auto"/>
            <w:vAlign w:val="center"/>
          </w:tcPr>
          <w:p w14:paraId="1C82CD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322</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767D9">
            <w:pPr>
              <w:jc w:val="center"/>
              <w:rPr>
                <w:rFonts w:hint="eastAsia" w:ascii="宋体" w:hAnsi="宋体" w:eastAsia="宋体" w:cs="宋体"/>
                <w:i w:val="0"/>
                <w:iCs w:val="0"/>
                <w:color w:val="auto"/>
                <w:sz w:val="22"/>
                <w:szCs w:val="22"/>
                <w:highlight w:val="none"/>
                <w:u w:val="none"/>
              </w:rPr>
            </w:pPr>
          </w:p>
        </w:tc>
        <w:tc>
          <w:tcPr>
            <w:tcW w:w="1270" w:type="pct"/>
            <w:tcBorders>
              <w:top w:val="single" w:color="000000" w:sz="4" w:space="0"/>
              <w:left w:val="single" w:color="000000" w:sz="4" w:space="0"/>
              <w:bottom w:val="single" w:color="000000" w:sz="8" w:space="0"/>
              <w:right w:val="single" w:color="000000" w:sz="4" w:space="0"/>
            </w:tcBorders>
            <w:shd w:val="clear" w:color="auto" w:fill="auto"/>
            <w:vAlign w:val="center"/>
          </w:tcPr>
          <w:p w14:paraId="352916C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溯源客户端-信息更新</w:t>
            </w:r>
          </w:p>
        </w:tc>
        <w:tc>
          <w:tcPr>
            <w:tcW w:w="2843" w:type="pct"/>
            <w:tcBorders>
              <w:top w:val="single" w:color="000000" w:sz="4" w:space="0"/>
              <w:left w:val="single" w:color="000000" w:sz="4" w:space="0"/>
              <w:bottom w:val="single" w:color="000000" w:sz="8" w:space="0"/>
              <w:right w:val="single" w:color="000000" w:sz="8" w:space="0"/>
            </w:tcBorders>
            <w:shd w:val="clear" w:color="auto" w:fill="auto"/>
            <w:vAlign w:val="center"/>
          </w:tcPr>
          <w:p w14:paraId="5393D7E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实时更新产品溯源信息，确保信息的时效性和准确性</w:t>
            </w:r>
          </w:p>
        </w:tc>
      </w:tr>
    </w:tbl>
    <w:p w14:paraId="263C00EF">
      <w:pPr>
        <w:pStyle w:val="56"/>
        <w:widowControl w:val="0"/>
        <w:numPr>
          <w:ilvl w:val="0"/>
          <w:numId w:val="0"/>
        </w:numPr>
        <w:suppressAutoHyphens/>
        <w:autoSpaceDN w:val="0"/>
        <w:jc w:val="both"/>
        <w:textAlignment w:val="baseline"/>
        <w:rPr>
          <w:color w:val="auto"/>
          <w:highlight w:val="none"/>
        </w:rPr>
      </w:pPr>
    </w:p>
    <w:p w14:paraId="2BB40E40">
      <w:pPr>
        <w:pStyle w:val="19"/>
        <w:spacing w:before="78" w:line="220" w:lineRule="auto"/>
        <w:ind w:left="623"/>
      </w:pPr>
      <w:r>
        <w:rPr>
          <w:b w:val="0"/>
          <w:bCs w:val="0"/>
          <w:spacing w:val="-8"/>
        </w:rPr>
        <w:t>四、安全</w:t>
      </w:r>
      <w:r>
        <w:rPr>
          <w:rFonts w:hint="eastAsia"/>
          <w:b w:val="0"/>
          <w:bCs w:val="0"/>
          <w:spacing w:val="-8"/>
          <w:lang w:val="en-US" w:eastAsia="zh-CN"/>
        </w:rPr>
        <w:t>测评</w:t>
      </w:r>
      <w:r>
        <w:rPr>
          <w:b w:val="0"/>
          <w:bCs w:val="0"/>
          <w:spacing w:val="-8"/>
        </w:rPr>
        <w:t>需求</w:t>
      </w:r>
    </w:p>
    <w:p w14:paraId="624C9CAD">
      <w:pPr>
        <w:pStyle w:val="19"/>
        <w:spacing w:before="178" w:line="355" w:lineRule="auto"/>
        <w:ind w:left="123" w:firstLine="482"/>
        <w:rPr>
          <w:rFonts w:hint="eastAsia" w:cs="宋体"/>
          <w:color w:val="auto"/>
          <w:spacing w:val="0"/>
          <w:highlight w:val="none"/>
        </w:rPr>
      </w:pPr>
      <w:r>
        <w:rPr>
          <w:rFonts w:hint="eastAsia" w:cs="宋体"/>
          <w:color w:val="auto"/>
          <w:spacing w:val="0"/>
          <w:highlight w:val="none"/>
        </w:rPr>
        <w:t>系统安全等保二级，平台设计具有可靠性，在系统故障或事故造成中断后，能确保数据的准确性、完整性和一致性，并具备迅速恢复的功能；重要数据采用加密算法加密，具有防病毒感染、防黑客攻击措施。遵循《信息安全技术信息安全等级保护基本要求》 （</w:t>
      </w:r>
      <w:r>
        <w:rPr>
          <w:rFonts w:hint="eastAsia" w:ascii="宋体" w:hAnsi="宋体" w:eastAsia="宋体" w:cs="宋体"/>
          <w:color w:val="auto"/>
          <w:spacing w:val="0"/>
          <w:highlight w:val="none"/>
        </w:rPr>
        <w:t>GB/T22239-2008</w:t>
      </w:r>
      <w:r>
        <w:rPr>
          <w:rFonts w:hint="eastAsia" w:cs="宋体"/>
          <w:color w:val="auto"/>
          <w:spacing w:val="0"/>
          <w:highlight w:val="none"/>
        </w:rPr>
        <w:t>）、《信息安全等级保护管理办法》（公通字〔</w:t>
      </w:r>
      <w:r>
        <w:rPr>
          <w:rFonts w:hint="eastAsia" w:ascii="宋体" w:hAnsi="宋体" w:eastAsia="宋体" w:cs="宋体"/>
          <w:color w:val="auto"/>
          <w:spacing w:val="0"/>
          <w:highlight w:val="none"/>
        </w:rPr>
        <w:t>2007</w:t>
      </w:r>
      <w:r>
        <w:rPr>
          <w:rFonts w:hint="eastAsia" w:cs="宋体"/>
          <w:color w:val="auto"/>
          <w:spacing w:val="0"/>
          <w:highlight w:val="none"/>
        </w:rPr>
        <w:t>〕</w:t>
      </w:r>
      <w:r>
        <w:rPr>
          <w:rFonts w:hint="eastAsia" w:ascii="宋体" w:hAnsi="宋体" w:eastAsia="宋体" w:cs="宋体"/>
          <w:color w:val="auto"/>
          <w:spacing w:val="0"/>
          <w:highlight w:val="none"/>
        </w:rPr>
        <w:t xml:space="preserve">43 </w:t>
      </w:r>
      <w:r>
        <w:rPr>
          <w:rFonts w:hint="eastAsia" w:cs="宋体"/>
          <w:color w:val="auto"/>
          <w:spacing w:val="0"/>
          <w:highlight w:val="none"/>
        </w:rPr>
        <w:t>号）、《信</w:t>
      </w:r>
      <w:r>
        <w:rPr>
          <w:rFonts w:hint="eastAsia" w:cs="宋体"/>
          <w:color w:val="auto"/>
          <w:highlight w:val="none"/>
        </w:rPr>
        <w:t>息安全技术信息安全风险评估规范》（</w:t>
      </w:r>
      <w:r>
        <w:rPr>
          <w:rFonts w:hint="eastAsia" w:ascii="宋体" w:hAnsi="宋体" w:eastAsia="宋体" w:cs="宋体"/>
          <w:color w:val="auto"/>
          <w:highlight w:val="none"/>
        </w:rPr>
        <w:t>GB/T 2098</w:t>
      </w:r>
      <w:r>
        <w:rPr>
          <w:rFonts w:hint="eastAsia" w:ascii="宋体" w:hAnsi="宋体" w:eastAsia="宋体" w:cs="宋体"/>
          <w:color w:val="auto"/>
          <w:spacing w:val="0"/>
          <w:highlight w:val="none"/>
        </w:rPr>
        <w:t>4-2007</w:t>
      </w:r>
      <w:r>
        <w:rPr>
          <w:rFonts w:hint="eastAsia" w:cs="宋体"/>
          <w:color w:val="auto"/>
          <w:spacing w:val="0"/>
          <w:highlight w:val="none"/>
        </w:rPr>
        <w:t>）、</w:t>
      </w:r>
      <w:r>
        <w:rPr>
          <w:rFonts w:hint="eastAsia" w:ascii="宋体" w:hAnsi="宋体" w:eastAsia="宋体" w:cs="宋体"/>
          <w:color w:val="auto"/>
          <w:spacing w:val="0"/>
          <w:highlight w:val="none"/>
        </w:rPr>
        <w:t xml:space="preserve">ISO/IEC 27001 </w:t>
      </w:r>
      <w:r>
        <w:rPr>
          <w:rFonts w:hint="eastAsia" w:cs="宋体"/>
          <w:color w:val="auto"/>
          <w:spacing w:val="0"/>
          <w:highlight w:val="none"/>
        </w:rPr>
        <w:t xml:space="preserve">信息安全管理体系标准和 </w:t>
      </w:r>
      <w:r>
        <w:rPr>
          <w:rFonts w:hint="eastAsia" w:ascii="宋体" w:hAnsi="宋体" w:eastAsia="宋体" w:cs="宋体"/>
          <w:color w:val="auto"/>
          <w:spacing w:val="0"/>
          <w:highlight w:val="none"/>
        </w:rPr>
        <w:t xml:space="preserve">ISO/IEC 13335 </w:t>
      </w:r>
      <w:r>
        <w:rPr>
          <w:rFonts w:hint="eastAsia" w:cs="宋体"/>
          <w:color w:val="auto"/>
          <w:spacing w:val="0"/>
          <w:highlight w:val="none"/>
        </w:rPr>
        <w:t>信息安全管理标准等。</w:t>
      </w:r>
    </w:p>
    <w:p w14:paraId="08F1EF5D">
      <w:pPr>
        <w:pStyle w:val="19"/>
        <w:spacing w:before="35" w:line="220" w:lineRule="auto"/>
        <w:ind w:left="605"/>
      </w:pPr>
      <w:r>
        <w:rPr>
          <w:b w:val="0"/>
          <w:bCs w:val="0"/>
          <w:spacing w:val="-4"/>
        </w:rPr>
        <w:t>五、</w:t>
      </w:r>
      <w:r>
        <w:rPr>
          <w:rFonts w:hint="eastAsia"/>
          <w:b w:val="0"/>
          <w:bCs w:val="0"/>
          <w:spacing w:val="-4"/>
          <w:lang w:val="en-US" w:eastAsia="zh-CN"/>
        </w:rPr>
        <w:t>软件</w:t>
      </w:r>
      <w:r>
        <w:rPr>
          <w:b w:val="0"/>
          <w:bCs w:val="0"/>
          <w:spacing w:val="-4"/>
        </w:rPr>
        <w:t>性能</w:t>
      </w:r>
      <w:r>
        <w:rPr>
          <w:rFonts w:hint="eastAsia"/>
          <w:b w:val="0"/>
          <w:bCs w:val="0"/>
          <w:spacing w:val="-4"/>
          <w:lang w:val="en-US" w:eastAsia="zh-CN"/>
        </w:rPr>
        <w:t>测评</w:t>
      </w:r>
      <w:r>
        <w:rPr>
          <w:b w:val="0"/>
          <w:bCs w:val="0"/>
          <w:spacing w:val="-4"/>
        </w:rPr>
        <w:t>需求</w:t>
      </w:r>
    </w:p>
    <w:p w14:paraId="62BE7627">
      <w:pPr>
        <w:spacing w:line="143" w:lineRule="exact"/>
      </w:pPr>
    </w:p>
    <w:tbl>
      <w:tblPr>
        <w:tblStyle w:val="251"/>
        <w:tblW w:w="500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63"/>
        <w:gridCol w:w="7026"/>
      </w:tblGrid>
      <w:tr w14:paraId="2F3BD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1135" w:type="pct"/>
            <w:shd w:val="clear" w:color="auto" w:fill="E7E6E6"/>
            <w:vAlign w:val="center"/>
          </w:tcPr>
          <w:p w14:paraId="7F93C05A">
            <w:pPr>
              <w:keepNext w:val="0"/>
              <w:keepLines w:val="0"/>
              <w:widowControl/>
              <w:suppressLineNumbers w:val="0"/>
              <w:autoSpaceDE w:val="0"/>
              <w:autoSpaceDN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考核指标</w:t>
            </w:r>
          </w:p>
        </w:tc>
        <w:tc>
          <w:tcPr>
            <w:tcW w:w="3864" w:type="pct"/>
            <w:shd w:val="clear" w:color="auto" w:fill="E7E6E6"/>
            <w:vAlign w:val="center"/>
          </w:tcPr>
          <w:p w14:paraId="62F10AAC">
            <w:pPr>
              <w:keepNext w:val="0"/>
              <w:keepLines w:val="0"/>
              <w:widowControl/>
              <w:suppressLineNumbers w:val="0"/>
              <w:autoSpaceDE w:val="0"/>
              <w:autoSpaceDN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性能要求</w:t>
            </w:r>
          </w:p>
        </w:tc>
      </w:tr>
      <w:tr w14:paraId="7C670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1135" w:type="pct"/>
            <w:vMerge w:val="restart"/>
            <w:tcBorders>
              <w:bottom w:val="nil"/>
            </w:tcBorders>
            <w:vAlign w:val="center"/>
          </w:tcPr>
          <w:p w14:paraId="4BC30244">
            <w:pPr>
              <w:keepNext w:val="0"/>
              <w:keepLines w:val="0"/>
              <w:widowControl/>
              <w:suppressLineNumbers w:val="0"/>
              <w:autoSpaceDE w:val="0"/>
              <w:autoSpaceDN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响应时间</w:t>
            </w:r>
          </w:p>
        </w:tc>
        <w:tc>
          <w:tcPr>
            <w:tcW w:w="3864" w:type="pct"/>
            <w:vAlign w:val="center"/>
          </w:tcPr>
          <w:p w14:paraId="2375BBA4">
            <w:pPr>
              <w:keepNext w:val="0"/>
              <w:keepLines w:val="0"/>
              <w:widowControl/>
              <w:suppressLineNumbers w:val="0"/>
              <w:autoSpaceDE w:val="0"/>
              <w:autoSpaceDN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服务器响应时间不能超过 3 秒</w:t>
            </w:r>
          </w:p>
        </w:tc>
      </w:tr>
      <w:tr w14:paraId="2B2ED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1135" w:type="pct"/>
            <w:vMerge w:val="continue"/>
            <w:tcBorders>
              <w:top w:val="nil"/>
              <w:bottom w:val="nil"/>
            </w:tcBorders>
            <w:vAlign w:val="center"/>
          </w:tcPr>
          <w:p w14:paraId="660B86FF">
            <w:pPr>
              <w:keepNext w:val="0"/>
              <w:keepLines w:val="0"/>
              <w:widowControl/>
              <w:suppressLineNumbers w:val="0"/>
              <w:autoSpaceDE w:val="0"/>
              <w:autoSpaceDN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864" w:type="pct"/>
            <w:vAlign w:val="center"/>
          </w:tcPr>
          <w:p w14:paraId="2C026FD7">
            <w:pPr>
              <w:keepNext w:val="0"/>
              <w:keepLines w:val="0"/>
              <w:widowControl/>
              <w:suppressLineNumbers w:val="0"/>
              <w:autoSpaceDE w:val="0"/>
              <w:autoSpaceDN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网络响应时间不能超过 1 秒</w:t>
            </w:r>
          </w:p>
        </w:tc>
      </w:tr>
      <w:tr w14:paraId="4E2EF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1135" w:type="pct"/>
            <w:vMerge w:val="continue"/>
            <w:tcBorders>
              <w:top w:val="nil"/>
            </w:tcBorders>
            <w:vAlign w:val="center"/>
          </w:tcPr>
          <w:p w14:paraId="60D2241B">
            <w:pPr>
              <w:keepNext w:val="0"/>
              <w:keepLines w:val="0"/>
              <w:widowControl/>
              <w:suppressLineNumbers w:val="0"/>
              <w:autoSpaceDE w:val="0"/>
              <w:autoSpaceDN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864" w:type="pct"/>
            <w:vAlign w:val="center"/>
          </w:tcPr>
          <w:p w14:paraId="3B62FCC6">
            <w:pPr>
              <w:keepNext w:val="0"/>
              <w:keepLines w:val="0"/>
              <w:widowControl/>
              <w:suppressLineNumbers w:val="0"/>
              <w:autoSpaceDE w:val="0"/>
              <w:autoSpaceDN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客户端响应时间不能超过 5 秒</w:t>
            </w:r>
          </w:p>
        </w:tc>
      </w:tr>
      <w:tr w14:paraId="3DC81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1135" w:type="pct"/>
            <w:vMerge w:val="restart"/>
            <w:tcBorders>
              <w:bottom w:val="nil"/>
            </w:tcBorders>
            <w:vAlign w:val="center"/>
          </w:tcPr>
          <w:p w14:paraId="181B204C">
            <w:pPr>
              <w:keepNext w:val="0"/>
              <w:keepLines w:val="0"/>
              <w:widowControl/>
              <w:suppressLineNumbers w:val="0"/>
              <w:autoSpaceDE w:val="0"/>
              <w:autoSpaceDN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吞吐量</w:t>
            </w:r>
          </w:p>
        </w:tc>
        <w:tc>
          <w:tcPr>
            <w:tcW w:w="3864" w:type="pct"/>
            <w:vAlign w:val="center"/>
          </w:tcPr>
          <w:p w14:paraId="1D9CE2B4">
            <w:pPr>
              <w:keepNext w:val="0"/>
              <w:keepLines w:val="0"/>
              <w:widowControl/>
              <w:suppressLineNumbers w:val="0"/>
              <w:autoSpaceDE w:val="0"/>
              <w:autoSpaceDN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单位时间内处理请求数不低于 40</w:t>
            </w:r>
          </w:p>
        </w:tc>
      </w:tr>
      <w:tr w14:paraId="28ACF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1135" w:type="pct"/>
            <w:vMerge w:val="continue"/>
            <w:tcBorders>
              <w:top w:val="nil"/>
              <w:bottom w:val="nil"/>
            </w:tcBorders>
            <w:vAlign w:val="center"/>
          </w:tcPr>
          <w:p w14:paraId="54FC28F8">
            <w:pPr>
              <w:keepNext w:val="0"/>
              <w:keepLines w:val="0"/>
              <w:widowControl/>
              <w:suppressLineNumbers w:val="0"/>
              <w:autoSpaceDE w:val="0"/>
              <w:autoSpaceDN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864" w:type="pct"/>
            <w:vAlign w:val="center"/>
          </w:tcPr>
          <w:p w14:paraId="4D20F47C">
            <w:pPr>
              <w:keepNext w:val="0"/>
              <w:keepLines w:val="0"/>
              <w:widowControl/>
              <w:suppressLineNumbers w:val="0"/>
              <w:autoSpaceDE w:val="0"/>
              <w:autoSpaceDN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数据库的吞吐量不低于 40</w:t>
            </w:r>
          </w:p>
        </w:tc>
      </w:tr>
      <w:tr w14:paraId="46BD4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1135" w:type="pct"/>
            <w:vMerge w:val="continue"/>
            <w:tcBorders>
              <w:top w:val="nil"/>
            </w:tcBorders>
            <w:vAlign w:val="center"/>
          </w:tcPr>
          <w:p w14:paraId="4AF4893A">
            <w:pPr>
              <w:keepNext w:val="0"/>
              <w:keepLines w:val="0"/>
              <w:widowControl/>
              <w:suppressLineNumbers w:val="0"/>
              <w:autoSpaceDE w:val="0"/>
              <w:autoSpaceDN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864" w:type="pct"/>
            <w:vAlign w:val="center"/>
          </w:tcPr>
          <w:p w14:paraId="17A04FC1">
            <w:pPr>
              <w:keepNext w:val="0"/>
              <w:keepLines w:val="0"/>
              <w:widowControl/>
              <w:suppressLineNumbers w:val="0"/>
              <w:autoSpaceDE w:val="0"/>
              <w:autoSpaceDN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网络的吞吐量不低于 40</w:t>
            </w:r>
          </w:p>
        </w:tc>
      </w:tr>
      <w:tr w14:paraId="63EFD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1135" w:type="pct"/>
            <w:vMerge w:val="restart"/>
            <w:tcBorders>
              <w:bottom w:val="nil"/>
            </w:tcBorders>
            <w:vAlign w:val="center"/>
          </w:tcPr>
          <w:p w14:paraId="382605ED">
            <w:pPr>
              <w:keepNext w:val="0"/>
              <w:keepLines w:val="0"/>
              <w:widowControl/>
              <w:suppressLineNumbers w:val="0"/>
              <w:autoSpaceDE w:val="0"/>
              <w:autoSpaceDN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资源使用率</w:t>
            </w:r>
          </w:p>
        </w:tc>
        <w:tc>
          <w:tcPr>
            <w:tcW w:w="3864" w:type="pct"/>
            <w:vAlign w:val="center"/>
          </w:tcPr>
          <w:p w14:paraId="00C9F4AA">
            <w:pPr>
              <w:keepNext w:val="0"/>
              <w:keepLines w:val="0"/>
              <w:widowControl/>
              <w:suppressLineNumbers w:val="0"/>
              <w:autoSpaceDE w:val="0"/>
              <w:autoSpaceDN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CPU 占用率不超过 70%</w:t>
            </w:r>
          </w:p>
        </w:tc>
      </w:tr>
      <w:tr w14:paraId="7BCC1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1135" w:type="pct"/>
            <w:vMerge w:val="continue"/>
            <w:tcBorders>
              <w:top w:val="nil"/>
            </w:tcBorders>
            <w:vAlign w:val="center"/>
          </w:tcPr>
          <w:p w14:paraId="76AD0337">
            <w:pPr>
              <w:keepNext w:val="0"/>
              <w:keepLines w:val="0"/>
              <w:widowControl/>
              <w:suppressLineNumbers w:val="0"/>
              <w:autoSpaceDE w:val="0"/>
              <w:autoSpaceDN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864" w:type="pct"/>
            <w:vAlign w:val="center"/>
          </w:tcPr>
          <w:p w14:paraId="561CCBBD">
            <w:pPr>
              <w:keepNext w:val="0"/>
              <w:keepLines w:val="0"/>
              <w:widowControl/>
              <w:suppressLineNumbers w:val="0"/>
              <w:autoSpaceDE w:val="0"/>
              <w:autoSpaceDN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内存使用率不超过 70%</w:t>
            </w:r>
          </w:p>
        </w:tc>
      </w:tr>
      <w:tr w14:paraId="5D896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1135" w:type="pct"/>
            <w:vAlign w:val="center"/>
          </w:tcPr>
          <w:p w14:paraId="4E44E67A">
            <w:pPr>
              <w:keepNext w:val="0"/>
              <w:keepLines w:val="0"/>
              <w:widowControl/>
              <w:suppressLineNumbers w:val="0"/>
              <w:autoSpaceDE w:val="0"/>
              <w:autoSpaceDN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用户并发数</w:t>
            </w:r>
          </w:p>
        </w:tc>
        <w:tc>
          <w:tcPr>
            <w:tcW w:w="3864" w:type="pct"/>
            <w:vAlign w:val="center"/>
          </w:tcPr>
          <w:p w14:paraId="40367DA8">
            <w:pPr>
              <w:keepNext w:val="0"/>
              <w:keepLines w:val="0"/>
              <w:widowControl/>
              <w:suppressLineNumbers w:val="0"/>
              <w:autoSpaceDE w:val="0"/>
              <w:autoSpaceDN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系统用户并发数不能低于 100 人</w:t>
            </w:r>
          </w:p>
        </w:tc>
      </w:tr>
      <w:tr w14:paraId="1D1AB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1135" w:type="pct"/>
            <w:vMerge w:val="restart"/>
            <w:tcBorders>
              <w:bottom w:val="nil"/>
            </w:tcBorders>
            <w:vAlign w:val="center"/>
          </w:tcPr>
          <w:p w14:paraId="3C4B92EE">
            <w:pPr>
              <w:keepNext w:val="0"/>
              <w:keepLines w:val="0"/>
              <w:widowControl/>
              <w:suppressLineNumbers w:val="0"/>
              <w:autoSpaceDE w:val="0"/>
              <w:autoSpaceDN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可靠性</w:t>
            </w:r>
          </w:p>
        </w:tc>
        <w:tc>
          <w:tcPr>
            <w:tcW w:w="3864" w:type="pct"/>
            <w:vAlign w:val="center"/>
          </w:tcPr>
          <w:p w14:paraId="7B44BBD9">
            <w:pPr>
              <w:keepNext w:val="0"/>
              <w:keepLines w:val="0"/>
              <w:widowControl/>
              <w:suppressLineNumbers w:val="0"/>
              <w:autoSpaceDE w:val="0"/>
              <w:autoSpaceDN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系统正常稳定运行，保证所处理事务，数据完整性</w:t>
            </w:r>
          </w:p>
        </w:tc>
      </w:tr>
      <w:tr w14:paraId="0E4E5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1135" w:type="pct"/>
            <w:vMerge w:val="continue"/>
            <w:tcBorders>
              <w:top w:val="nil"/>
              <w:bottom w:val="nil"/>
            </w:tcBorders>
            <w:vAlign w:val="center"/>
          </w:tcPr>
          <w:p w14:paraId="1F2156F3">
            <w:pPr>
              <w:keepNext w:val="0"/>
              <w:keepLines w:val="0"/>
              <w:widowControl/>
              <w:suppressLineNumbers w:val="0"/>
              <w:autoSpaceDE w:val="0"/>
              <w:autoSpaceDN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864" w:type="pct"/>
            <w:vAlign w:val="center"/>
          </w:tcPr>
          <w:p w14:paraId="27D68469">
            <w:pPr>
              <w:keepNext w:val="0"/>
              <w:keepLines w:val="0"/>
              <w:widowControl/>
              <w:suppressLineNumbers w:val="0"/>
              <w:autoSpaceDE w:val="0"/>
              <w:autoSpaceDN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系统提供 7x24 小时连续运行，平均年故障时间少于 5 天</w:t>
            </w:r>
          </w:p>
        </w:tc>
      </w:tr>
      <w:tr w14:paraId="6B020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1135" w:type="pct"/>
            <w:vMerge w:val="continue"/>
            <w:tcBorders>
              <w:top w:val="nil"/>
            </w:tcBorders>
            <w:vAlign w:val="center"/>
          </w:tcPr>
          <w:p w14:paraId="150122CB">
            <w:pPr>
              <w:keepNext w:val="0"/>
              <w:keepLines w:val="0"/>
              <w:widowControl/>
              <w:suppressLineNumbers w:val="0"/>
              <w:autoSpaceDE w:val="0"/>
              <w:autoSpaceDN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864" w:type="pct"/>
            <w:vAlign w:val="center"/>
          </w:tcPr>
          <w:p w14:paraId="5CB23D6C">
            <w:pPr>
              <w:keepNext w:val="0"/>
              <w:keepLines w:val="0"/>
              <w:widowControl/>
              <w:suppressLineNumbers w:val="0"/>
              <w:autoSpaceDE w:val="0"/>
              <w:autoSpaceDN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具有较强的灾难恢复能力，平均故障修复时间少于 24 小时</w:t>
            </w:r>
          </w:p>
        </w:tc>
      </w:tr>
    </w:tbl>
    <w:p w14:paraId="182B2DD4">
      <w:pPr>
        <w:pStyle w:val="56"/>
        <w:widowControl w:val="0"/>
        <w:numPr>
          <w:ilvl w:val="0"/>
          <w:numId w:val="0"/>
        </w:numPr>
        <w:suppressAutoHyphens/>
        <w:autoSpaceDN w:val="0"/>
        <w:spacing w:line="360" w:lineRule="auto"/>
        <w:ind w:leftChars="0" w:firstLine="480" w:firstLineChars="200"/>
        <w:jc w:val="both"/>
        <w:textAlignment w:val="baseline"/>
        <w:rPr>
          <w:rFonts w:hint="default" w:ascii="宋体" w:hAnsi="宋体" w:eastAsia="宋体" w:cs="宋体"/>
          <w:color w:val="auto"/>
          <w:sz w:val="24"/>
          <w:szCs w:val="24"/>
          <w:highlight w:val="none"/>
          <w:lang w:val="en-US" w:eastAsia="zh-CN"/>
        </w:rPr>
      </w:pPr>
    </w:p>
    <w:p w14:paraId="0706AA6C">
      <w:pPr>
        <w:widowControl/>
        <w:spacing w:line="360" w:lineRule="auto"/>
        <w:ind w:firstLine="420" w:firstLineChars="200"/>
        <w:jc w:val="left"/>
        <w:rPr>
          <w:color w:val="auto"/>
          <w:highlight w:val="none"/>
        </w:rPr>
      </w:pPr>
    </w:p>
    <w:p w14:paraId="7E3D8D17">
      <w:pPr>
        <w:widowControl/>
        <w:spacing w:line="360" w:lineRule="auto"/>
        <w:ind w:firstLine="420" w:firstLineChars="200"/>
        <w:jc w:val="left"/>
        <w:rPr>
          <w:rFonts w:hint="eastAsia"/>
          <w:color w:val="auto"/>
          <w:highlight w:val="none"/>
        </w:rPr>
        <w:sectPr>
          <w:headerReference r:id="rId6" w:type="first"/>
          <w:footerReference r:id="rId8" w:type="first"/>
          <w:headerReference r:id="rId5" w:type="even"/>
          <w:footerReference r:id="rId7" w:type="even"/>
          <w:pgSz w:w="11907" w:h="16840"/>
          <w:pgMar w:top="1418" w:right="1134" w:bottom="1418" w:left="1701" w:header="851" w:footer="851" w:gutter="0"/>
          <w:cols w:space="720" w:num="1"/>
          <w:docGrid w:linePitch="462" w:charSpace="0"/>
        </w:sectPr>
      </w:pPr>
    </w:p>
    <w:p w14:paraId="734C366D">
      <w:pPr>
        <w:spacing w:line="360" w:lineRule="auto"/>
        <w:jc w:val="center"/>
        <w:outlineLvl w:val="0"/>
        <w:rPr>
          <w:rFonts w:ascii="宋体" w:hAnsi="宋体" w:cs="宋体"/>
          <w:b/>
          <w:color w:val="auto"/>
          <w:sz w:val="36"/>
          <w:szCs w:val="36"/>
          <w:highlight w:val="none"/>
        </w:rPr>
      </w:pPr>
      <w:bookmarkStart w:id="812" w:name="_Toc256"/>
      <w:r>
        <w:rPr>
          <w:rFonts w:hint="eastAsia" w:ascii="宋体" w:hAnsi="宋体" w:cs="宋体"/>
          <w:b/>
          <w:color w:val="auto"/>
          <w:sz w:val="36"/>
          <w:szCs w:val="36"/>
          <w:highlight w:val="none"/>
        </w:rPr>
        <w:t>第六章   拟签订的合同文本</w:t>
      </w:r>
      <w:bookmarkEnd w:id="812"/>
    </w:p>
    <w:p w14:paraId="309AE69F">
      <w:pPr>
        <w:spacing w:before="120" w:line="460" w:lineRule="exact"/>
        <w:jc w:val="center"/>
        <w:rPr>
          <w:rFonts w:ascii="宋体" w:hAnsi="宋体"/>
          <w:b/>
          <w:color w:val="auto"/>
          <w:sz w:val="24"/>
          <w:highlight w:val="none"/>
        </w:rPr>
      </w:pPr>
      <w:r>
        <w:rPr>
          <w:rFonts w:hint="eastAsia" w:ascii="宋体" w:hAnsi="宋体"/>
          <w:b/>
          <w:color w:val="auto"/>
          <w:sz w:val="24"/>
          <w:highlight w:val="none"/>
        </w:rPr>
        <w:t>（此处</w:t>
      </w:r>
      <w:r>
        <w:rPr>
          <w:rFonts w:ascii="宋体" w:hAnsi="宋体"/>
          <w:b/>
          <w:color w:val="auto"/>
          <w:sz w:val="24"/>
          <w:highlight w:val="none"/>
        </w:rPr>
        <w:t>为合同模板，最终以甲乙双方</w:t>
      </w:r>
      <w:r>
        <w:rPr>
          <w:rFonts w:hint="eastAsia" w:ascii="宋体" w:hAnsi="宋体"/>
          <w:b/>
          <w:color w:val="auto"/>
          <w:sz w:val="24"/>
          <w:highlight w:val="none"/>
        </w:rPr>
        <w:t>实际</w:t>
      </w:r>
      <w:r>
        <w:rPr>
          <w:rFonts w:ascii="宋体" w:hAnsi="宋体"/>
          <w:b/>
          <w:color w:val="auto"/>
          <w:sz w:val="24"/>
          <w:highlight w:val="none"/>
        </w:rPr>
        <w:t>签订为准</w:t>
      </w:r>
      <w:r>
        <w:rPr>
          <w:rFonts w:hint="eastAsia" w:ascii="宋体" w:hAnsi="宋体"/>
          <w:b/>
          <w:color w:val="auto"/>
          <w:sz w:val="24"/>
          <w:highlight w:val="none"/>
        </w:rPr>
        <w:t>）</w:t>
      </w:r>
    </w:p>
    <w:p w14:paraId="71F0495A">
      <w:pPr>
        <w:autoSpaceDE w:val="0"/>
        <w:adjustRightInd w:val="0"/>
        <w:spacing w:line="360" w:lineRule="auto"/>
        <w:jc w:val="center"/>
        <w:rPr>
          <w:rFonts w:ascii="宋体" w:hAnsi="宋体"/>
          <w:b/>
          <w:color w:val="auto"/>
          <w:sz w:val="24"/>
          <w:highlight w:val="none"/>
        </w:rPr>
      </w:pPr>
    </w:p>
    <w:p w14:paraId="23F630C8">
      <w:pPr>
        <w:spacing w:before="120" w:line="460" w:lineRule="exact"/>
        <w:jc w:val="center"/>
        <w:rPr>
          <w:rFonts w:ascii="宋体" w:hAnsi="宋体"/>
          <w:b/>
          <w:color w:val="auto"/>
          <w:sz w:val="24"/>
          <w:highlight w:val="none"/>
        </w:rPr>
      </w:pPr>
    </w:p>
    <w:p w14:paraId="0346EB08">
      <w:pPr>
        <w:autoSpaceDE w:val="0"/>
        <w:adjustRightInd w:val="0"/>
        <w:spacing w:line="360" w:lineRule="auto"/>
        <w:jc w:val="center"/>
        <w:rPr>
          <w:rFonts w:ascii="宋体" w:hAnsi="宋体"/>
          <w:b/>
          <w:color w:val="auto"/>
          <w:sz w:val="24"/>
          <w:highlight w:val="none"/>
        </w:rPr>
      </w:pPr>
    </w:p>
    <w:p w14:paraId="1269ECDC">
      <w:pPr>
        <w:spacing w:before="120"/>
        <w:jc w:val="center"/>
        <w:rPr>
          <w:rFonts w:ascii="宋体" w:hAnsi="宋体" w:cs="宋体"/>
          <w:b/>
          <w:color w:val="auto"/>
          <w:sz w:val="28"/>
          <w:szCs w:val="28"/>
          <w:highlight w:val="none"/>
        </w:rPr>
      </w:pPr>
      <w:r>
        <w:rPr>
          <w:rFonts w:hint="eastAsia" w:ascii="宋体" w:hAnsi="宋体" w:cs="宋体"/>
          <w:b/>
          <w:color w:val="auto"/>
          <w:sz w:val="24"/>
          <w:highlight w:val="none"/>
        </w:rPr>
        <w:t xml:space="preserve"> </w:t>
      </w:r>
      <w:r>
        <w:rPr>
          <w:rFonts w:hint="eastAsia" w:ascii="宋体" w:hAnsi="宋体" w:cs="宋体"/>
          <w:b/>
          <w:color w:val="auto"/>
          <w:sz w:val="28"/>
          <w:szCs w:val="28"/>
          <w:highlight w:val="none"/>
        </w:rPr>
        <w:t>政 府 采 购 合 同</w:t>
      </w:r>
    </w:p>
    <w:p w14:paraId="1C47ABE5">
      <w:pPr>
        <w:spacing w:before="120"/>
        <w:jc w:val="center"/>
        <w:rPr>
          <w:rFonts w:ascii="宋体" w:hAnsi="宋体" w:cs="宋体"/>
          <w:color w:val="auto"/>
          <w:sz w:val="24"/>
          <w:highlight w:val="none"/>
        </w:rPr>
      </w:pPr>
    </w:p>
    <w:p w14:paraId="152316B4">
      <w:pPr>
        <w:spacing w:before="120"/>
        <w:ind w:firstLine="5880" w:firstLineChars="2450"/>
        <w:rPr>
          <w:rFonts w:ascii="宋体" w:hAnsi="宋体" w:cs="宋体"/>
          <w:color w:val="auto"/>
          <w:sz w:val="24"/>
          <w:highlight w:val="none"/>
        </w:rPr>
      </w:pPr>
      <w:bookmarkStart w:id="813" w:name="_Toc109542396"/>
      <w:bookmarkStart w:id="814" w:name="_Toc109543216"/>
      <w:r>
        <w:rPr>
          <w:rFonts w:hint="eastAsia" w:ascii="宋体" w:hAnsi="宋体" w:cs="宋体"/>
          <w:color w:val="auto"/>
          <w:sz w:val="24"/>
          <w:highlight w:val="none"/>
        </w:rPr>
        <w:t>合同编号：</w:t>
      </w:r>
      <w:bookmarkEnd w:id="813"/>
      <w:bookmarkEnd w:id="814"/>
      <w:r>
        <w:rPr>
          <w:rFonts w:hint="eastAsia" w:ascii="宋体" w:hAnsi="宋体" w:cs="宋体"/>
          <w:color w:val="auto"/>
          <w:sz w:val="24"/>
          <w:highlight w:val="none"/>
        </w:rPr>
        <w:t xml:space="preserve">        </w:t>
      </w:r>
    </w:p>
    <w:p w14:paraId="07D83C3A">
      <w:pPr>
        <w:pStyle w:val="5"/>
        <w:spacing w:before="120"/>
        <w:rPr>
          <w:rFonts w:hAnsi="宋体" w:cs="宋体"/>
          <w:color w:val="auto"/>
          <w:highlight w:val="none"/>
        </w:rPr>
      </w:pPr>
    </w:p>
    <w:p w14:paraId="254325DD">
      <w:pPr>
        <w:spacing w:before="120"/>
        <w:rPr>
          <w:rFonts w:ascii="宋体" w:hAnsi="宋体" w:cs="宋体"/>
          <w:color w:val="auto"/>
          <w:sz w:val="24"/>
          <w:highlight w:val="none"/>
        </w:rPr>
      </w:pPr>
    </w:p>
    <w:p w14:paraId="4334B025">
      <w:pPr>
        <w:spacing w:before="120"/>
        <w:rPr>
          <w:rFonts w:ascii="宋体" w:hAnsi="宋体" w:cs="宋体"/>
          <w:color w:val="auto"/>
          <w:sz w:val="24"/>
          <w:highlight w:val="none"/>
        </w:rPr>
      </w:pPr>
    </w:p>
    <w:p w14:paraId="741F4025">
      <w:pPr>
        <w:spacing w:before="120"/>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186B3B4">
      <w:pPr>
        <w:pStyle w:val="41"/>
        <w:spacing w:before="120"/>
        <w:rPr>
          <w:rFonts w:ascii="宋体" w:hAnsi="宋体" w:cs="宋体"/>
          <w:color w:val="auto"/>
          <w:sz w:val="24"/>
          <w:szCs w:val="24"/>
          <w:highlight w:val="none"/>
        </w:rPr>
      </w:pPr>
    </w:p>
    <w:p w14:paraId="67D374A8">
      <w:pPr>
        <w:rPr>
          <w:rFonts w:ascii="宋体" w:hAnsi="宋体" w:cs="宋体"/>
          <w:color w:val="auto"/>
          <w:highlight w:val="none"/>
        </w:rPr>
      </w:pPr>
    </w:p>
    <w:p w14:paraId="14025913">
      <w:pPr>
        <w:rPr>
          <w:rFonts w:ascii="宋体" w:hAnsi="宋体" w:cs="宋体"/>
          <w:color w:val="auto"/>
          <w:highlight w:val="none"/>
        </w:rPr>
      </w:pPr>
    </w:p>
    <w:p w14:paraId="1917C3DF">
      <w:pPr>
        <w:spacing w:before="120"/>
        <w:ind w:left="960"/>
        <w:rPr>
          <w:rFonts w:ascii="宋体" w:hAnsi="宋体" w:cs="宋体"/>
          <w:color w:val="auto"/>
          <w:sz w:val="24"/>
          <w:highlight w:val="none"/>
        </w:rPr>
      </w:pPr>
      <w:r>
        <w:rPr>
          <w:rFonts w:hint="eastAsia" w:ascii="宋体" w:hAnsi="宋体" w:cs="宋体"/>
          <w:color w:val="auto"/>
          <w:sz w:val="24"/>
          <w:highlight w:val="none"/>
        </w:rPr>
        <w:t>甲方（采购人）：</w:t>
      </w:r>
      <w:r>
        <w:rPr>
          <w:rFonts w:hint="eastAsia" w:ascii="宋体" w:hAnsi="宋体" w:cs="宋体"/>
          <w:color w:val="auto"/>
          <w:sz w:val="24"/>
          <w:highlight w:val="none"/>
          <w:u w:val="single"/>
        </w:rPr>
        <w:t xml:space="preserve">   　　　　　　　                            </w:t>
      </w:r>
    </w:p>
    <w:p w14:paraId="003EAB20">
      <w:pPr>
        <w:spacing w:before="120"/>
        <w:ind w:left="960"/>
        <w:rPr>
          <w:rFonts w:ascii="宋体" w:hAnsi="宋体" w:cs="宋体"/>
          <w:color w:val="auto"/>
          <w:sz w:val="24"/>
          <w:highlight w:val="none"/>
        </w:rPr>
      </w:pPr>
    </w:p>
    <w:p w14:paraId="575954DE">
      <w:pPr>
        <w:spacing w:before="120"/>
        <w:ind w:left="960"/>
        <w:rPr>
          <w:rFonts w:ascii="宋体" w:hAnsi="宋体" w:cs="宋体"/>
          <w:color w:val="auto"/>
          <w:sz w:val="24"/>
          <w:highlight w:val="none"/>
          <w:u w:val="single"/>
        </w:rPr>
      </w:pPr>
      <w:r>
        <w:rPr>
          <w:rFonts w:hint="eastAsia" w:ascii="宋体" w:hAnsi="宋体" w:cs="宋体"/>
          <w:color w:val="auto"/>
          <w:sz w:val="24"/>
          <w:highlight w:val="none"/>
        </w:rPr>
        <w:t>乙方（中标供应商）：</w:t>
      </w:r>
      <w:r>
        <w:rPr>
          <w:rFonts w:hint="eastAsia" w:ascii="宋体" w:hAnsi="宋体" w:cs="宋体"/>
          <w:color w:val="auto"/>
          <w:sz w:val="24"/>
          <w:highlight w:val="none"/>
          <w:u w:val="single"/>
        </w:rPr>
        <w:t xml:space="preserve"> 　　　　　　　                          </w:t>
      </w:r>
    </w:p>
    <w:p w14:paraId="45F49A52">
      <w:pPr>
        <w:spacing w:before="120"/>
        <w:ind w:firstLine="840" w:firstLineChars="350"/>
        <w:rPr>
          <w:rFonts w:ascii="宋体" w:hAnsi="宋体" w:cs="宋体"/>
          <w:color w:val="auto"/>
          <w:sz w:val="24"/>
          <w:highlight w:val="none"/>
        </w:rPr>
      </w:pPr>
      <w:r>
        <w:rPr>
          <w:rFonts w:hint="eastAsia" w:ascii="宋体" w:hAnsi="宋体" w:cs="宋体"/>
          <w:color w:val="auto"/>
          <w:sz w:val="24"/>
          <w:highlight w:val="none"/>
        </w:rPr>
        <w:t xml:space="preserve">  </w:t>
      </w:r>
    </w:p>
    <w:p w14:paraId="7C9ECFD4">
      <w:pPr>
        <w:spacing w:before="120"/>
        <w:ind w:firstLine="840" w:firstLineChars="350"/>
        <w:rPr>
          <w:rFonts w:ascii="宋体" w:hAnsi="宋体" w:cs="宋体"/>
          <w:color w:val="auto"/>
          <w:sz w:val="24"/>
          <w:highlight w:val="none"/>
        </w:rPr>
      </w:pPr>
    </w:p>
    <w:p w14:paraId="1F11837F">
      <w:pPr>
        <w:spacing w:before="120"/>
        <w:ind w:firstLine="840" w:firstLineChars="350"/>
        <w:rPr>
          <w:rFonts w:ascii="宋体" w:hAnsi="宋体" w:cs="宋体"/>
          <w:color w:val="auto"/>
          <w:sz w:val="24"/>
          <w:highlight w:val="none"/>
        </w:rPr>
      </w:pPr>
    </w:p>
    <w:p w14:paraId="18446588">
      <w:pPr>
        <w:spacing w:before="120"/>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签署日期：</w:t>
      </w:r>
      <w:r>
        <w:rPr>
          <w:rFonts w:hint="eastAsia" w:ascii="宋体" w:hAnsi="宋体" w:cs="宋体"/>
          <w:color w:val="auto"/>
          <w:sz w:val="24"/>
          <w:highlight w:val="none"/>
          <w:u w:val="single"/>
        </w:rPr>
        <w:t>　　　　　　　　　　　　　　　　　　</w:t>
      </w:r>
    </w:p>
    <w:p w14:paraId="0AC017FF">
      <w:pPr>
        <w:jc w:val="center"/>
        <w:rPr>
          <w:rFonts w:eastAsia="黑体"/>
          <w:color w:val="auto"/>
          <w:sz w:val="36"/>
          <w:highlight w:val="none"/>
        </w:rPr>
      </w:pPr>
    </w:p>
    <w:p w14:paraId="2BD620B0">
      <w:pPr>
        <w:rPr>
          <w:rFonts w:eastAsia="黑体"/>
          <w:color w:val="auto"/>
          <w:sz w:val="36"/>
          <w:highlight w:val="none"/>
        </w:rPr>
      </w:pPr>
    </w:p>
    <w:p w14:paraId="0F9C8D49">
      <w:pPr>
        <w:rPr>
          <w:rFonts w:eastAsia="黑体"/>
          <w:color w:val="auto"/>
          <w:sz w:val="36"/>
          <w:highlight w:val="none"/>
        </w:rPr>
        <w:sectPr>
          <w:headerReference r:id="rId10" w:type="first"/>
          <w:headerReference r:id="rId9" w:type="default"/>
          <w:footerReference r:id="rId11" w:type="default"/>
          <w:footerReference r:id="rId12" w:type="even"/>
          <w:pgSz w:w="11906" w:h="16838"/>
          <w:pgMar w:top="1304" w:right="1469" w:bottom="1304" w:left="1469" w:header="851" w:footer="992" w:gutter="0"/>
          <w:cols w:space="720" w:num="1"/>
          <w:titlePg/>
          <w:docGrid w:type="lines" w:linePitch="312" w:charSpace="0"/>
        </w:sectPr>
      </w:pPr>
    </w:p>
    <w:p w14:paraId="180D34C8">
      <w:pPr>
        <w:spacing w:before="120"/>
        <w:jc w:val="center"/>
        <w:rPr>
          <w:rFonts w:ascii="宋体" w:hAnsi="宋体" w:cs="宋体"/>
          <w:b/>
          <w:color w:val="auto"/>
          <w:sz w:val="28"/>
          <w:szCs w:val="28"/>
          <w:highlight w:val="none"/>
        </w:rPr>
      </w:pPr>
      <w:r>
        <w:rPr>
          <w:rFonts w:hint="eastAsia" w:ascii="宋体" w:hAnsi="宋体" w:cs="宋体"/>
          <w:b/>
          <w:color w:val="auto"/>
          <w:sz w:val="28"/>
          <w:szCs w:val="28"/>
          <w:highlight w:val="none"/>
        </w:rPr>
        <w:t>合　　同　　书</w:t>
      </w:r>
    </w:p>
    <w:p w14:paraId="26A0F4D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bookmarkStart w:id="815" w:name="_Toc145751397"/>
    </w:p>
    <w:p w14:paraId="58AB6A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(项目名称)中所需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(服务名称)经</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号</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文件进行</w:t>
      </w:r>
      <w:r>
        <w:rPr>
          <w:rFonts w:hint="eastAsia" w:ascii="宋体" w:hAnsi="宋体" w:cs="宋体"/>
          <w:color w:val="auto"/>
          <w:sz w:val="24"/>
          <w:highlight w:val="none"/>
          <w:lang w:val="en-US" w:eastAsia="zh-CN"/>
        </w:rPr>
        <w:t>评标</w:t>
      </w:r>
      <w:r>
        <w:rPr>
          <w:rFonts w:hint="eastAsia" w:ascii="宋体" w:hAnsi="宋体" w:cs="宋体"/>
          <w:color w:val="auto"/>
          <w:sz w:val="24"/>
          <w:highlight w:val="none"/>
        </w:rPr>
        <w:t>。经评标委员会评定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(公司名称)为</w:t>
      </w:r>
      <w:r>
        <w:rPr>
          <w:rFonts w:hint="eastAsia" w:ascii="宋体" w:hAnsi="宋体" w:cs="宋体"/>
          <w:color w:val="auto"/>
          <w:sz w:val="24"/>
          <w:highlight w:val="none"/>
          <w:lang w:val="en-US" w:eastAsia="zh-Hans"/>
        </w:rPr>
        <w:t>中标</w:t>
      </w:r>
      <w:r>
        <w:rPr>
          <w:rFonts w:hint="eastAsia" w:ascii="宋体" w:hAnsi="宋体" w:cs="宋体"/>
          <w:color w:val="auto"/>
          <w:sz w:val="24"/>
          <w:highlight w:val="none"/>
        </w:rPr>
        <w:t>供应商。甲方、乙方同意按照下面的条款和条件，签署本合同。</w:t>
      </w:r>
      <w:bookmarkEnd w:id="815"/>
    </w:p>
    <w:p w14:paraId="16F943AB">
      <w:pPr>
        <w:spacing w:before="360" w:after="240" w:line="360" w:lineRule="auto"/>
        <w:rPr>
          <w:rFonts w:ascii="宋体" w:hAnsi="宋体" w:cs="宋体"/>
          <w:b/>
          <w:color w:val="auto"/>
          <w:sz w:val="24"/>
          <w:highlight w:val="none"/>
        </w:rPr>
      </w:pPr>
      <w:r>
        <w:rPr>
          <w:rFonts w:hint="eastAsia" w:ascii="宋体" w:hAnsi="宋体" w:cs="宋体"/>
          <w:b/>
          <w:color w:val="auto"/>
          <w:sz w:val="24"/>
          <w:highlight w:val="none"/>
        </w:rPr>
        <w:t>1、合同文件</w:t>
      </w:r>
    </w:p>
    <w:p w14:paraId="5DD909B2">
      <w:pPr>
        <w:spacing w:before="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下列文件构成本合同的组成部分，应当认为是一个整体，彼此相互解释，相互补充。为便于解释，组成合同的多个文件的优先支配地位的次序如下：</w:t>
      </w:r>
    </w:p>
    <w:p w14:paraId="02BB3171">
      <w:pPr>
        <w:spacing w:before="120" w:line="360" w:lineRule="auto"/>
        <w:ind w:firstLine="580" w:firstLineChars="242"/>
        <w:rPr>
          <w:rFonts w:ascii="宋体" w:hAnsi="宋体" w:cs="宋体"/>
          <w:color w:val="auto"/>
          <w:sz w:val="24"/>
          <w:highlight w:val="none"/>
        </w:rPr>
      </w:pPr>
      <w:r>
        <w:rPr>
          <w:rFonts w:hint="eastAsia" w:ascii="宋体" w:hAnsi="宋体" w:cs="宋体"/>
          <w:color w:val="auto"/>
          <w:sz w:val="24"/>
          <w:highlight w:val="none"/>
        </w:rPr>
        <w:t>a.本合同书　</w:t>
      </w:r>
    </w:p>
    <w:p w14:paraId="0FE5692E">
      <w:pPr>
        <w:spacing w:before="120" w:line="360" w:lineRule="auto"/>
        <w:ind w:firstLine="580" w:firstLineChars="242"/>
        <w:rPr>
          <w:rFonts w:ascii="宋体" w:hAnsi="宋体" w:cs="宋体"/>
          <w:color w:val="auto"/>
          <w:sz w:val="24"/>
          <w:highlight w:val="none"/>
        </w:rPr>
      </w:pPr>
      <w:r>
        <w:rPr>
          <w:rFonts w:hint="eastAsia" w:ascii="宋体" w:hAnsi="宋体" w:cs="宋体"/>
          <w:color w:val="auto"/>
          <w:sz w:val="24"/>
          <w:highlight w:val="none"/>
        </w:rPr>
        <w:t>b.中标通知书</w:t>
      </w:r>
    </w:p>
    <w:p w14:paraId="476BC4D2">
      <w:pPr>
        <w:spacing w:before="120" w:line="360" w:lineRule="auto"/>
        <w:ind w:firstLine="580" w:firstLineChars="242"/>
        <w:rPr>
          <w:rFonts w:ascii="宋体" w:hAnsi="宋体" w:cs="宋体"/>
          <w:color w:val="auto"/>
          <w:sz w:val="24"/>
          <w:highlight w:val="none"/>
        </w:rPr>
      </w:pPr>
      <w:r>
        <w:rPr>
          <w:rFonts w:hint="eastAsia" w:ascii="宋体" w:hAnsi="宋体" w:cs="宋体"/>
          <w:color w:val="auto"/>
          <w:sz w:val="24"/>
          <w:highlight w:val="none"/>
        </w:rPr>
        <w:t>c.合同书条款</w:t>
      </w:r>
    </w:p>
    <w:p w14:paraId="7AB07C63">
      <w:pPr>
        <w:spacing w:before="120" w:line="360" w:lineRule="auto"/>
        <w:ind w:firstLine="580" w:firstLineChars="242"/>
        <w:rPr>
          <w:rFonts w:ascii="宋体" w:hAnsi="宋体" w:cs="宋体"/>
          <w:color w:val="auto"/>
          <w:sz w:val="24"/>
          <w:highlight w:val="none"/>
        </w:rPr>
      </w:pPr>
      <w:r>
        <w:rPr>
          <w:rFonts w:hint="eastAsia" w:ascii="宋体" w:hAnsi="宋体" w:cs="宋体"/>
          <w:color w:val="auto"/>
          <w:sz w:val="24"/>
          <w:highlight w:val="none"/>
        </w:rPr>
        <w:t>d.合同一般条款</w:t>
      </w:r>
    </w:p>
    <w:p w14:paraId="2BF7E427">
      <w:pPr>
        <w:spacing w:before="120" w:line="360" w:lineRule="auto"/>
        <w:ind w:firstLine="580" w:firstLineChars="242"/>
        <w:rPr>
          <w:rFonts w:ascii="宋体" w:hAnsi="宋体" w:cs="宋体"/>
          <w:color w:val="auto"/>
          <w:sz w:val="24"/>
          <w:highlight w:val="none"/>
        </w:rPr>
      </w:pPr>
      <w:r>
        <w:rPr>
          <w:rFonts w:hint="eastAsia" w:ascii="宋体" w:hAnsi="宋体" w:cs="宋体"/>
          <w:color w:val="auto"/>
          <w:sz w:val="24"/>
          <w:highlight w:val="none"/>
        </w:rPr>
        <w:t>e.</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文件(含澄清文件)</w:t>
      </w:r>
    </w:p>
    <w:p w14:paraId="07D5C4F6">
      <w:pPr>
        <w:spacing w:before="120" w:line="360" w:lineRule="auto"/>
        <w:ind w:firstLine="580" w:firstLineChars="242"/>
        <w:rPr>
          <w:rFonts w:ascii="宋体" w:hAnsi="宋体" w:cs="宋体"/>
          <w:color w:val="auto"/>
          <w:sz w:val="24"/>
          <w:highlight w:val="none"/>
        </w:rPr>
      </w:pPr>
      <w:r>
        <w:rPr>
          <w:rFonts w:hint="eastAsia" w:ascii="宋体" w:hAnsi="宋体" w:cs="宋体"/>
          <w:color w:val="auto"/>
          <w:sz w:val="24"/>
          <w:highlight w:val="none"/>
        </w:rPr>
        <w:t>f.</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文件其他内容（含</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文件补充通知）</w:t>
      </w:r>
    </w:p>
    <w:p w14:paraId="1CAC69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28A41D2">
      <w:pPr>
        <w:spacing w:line="360" w:lineRule="auto"/>
        <w:rPr>
          <w:rFonts w:ascii="宋体" w:hAnsi="宋体" w:cs="宋体"/>
          <w:b/>
          <w:bCs/>
          <w:color w:val="auto"/>
          <w:sz w:val="24"/>
          <w:highlight w:val="none"/>
        </w:rPr>
      </w:pPr>
      <w:bookmarkStart w:id="816" w:name="_Toc145751405"/>
      <w:r>
        <w:rPr>
          <w:rFonts w:hint="eastAsia" w:ascii="宋体" w:hAnsi="宋体" w:cs="宋体"/>
          <w:b/>
          <w:bCs/>
          <w:color w:val="auto"/>
          <w:sz w:val="24"/>
          <w:highlight w:val="none"/>
        </w:rPr>
        <w:t>2、合同范围和条件</w:t>
      </w:r>
      <w:bookmarkEnd w:id="816"/>
    </w:p>
    <w:p w14:paraId="5526E24B">
      <w:pPr>
        <w:spacing w:line="360" w:lineRule="auto"/>
        <w:ind w:firstLine="480" w:firstLineChars="200"/>
        <w:rPr>
          <w:rFonts w:ascii="宋体" w:hAnsi="宋体" w:cs="宋体"/>
          <w:color w:val="auto"/>
          <w:sz w:val="24"/>
          <w:highlight w:val="none"/>
        </w:rPr>
      </w:pPr>
      <w:bookmarkStart w:id="817" w:name="_Toc145751406"/>
      <w:r>
        <w:rPr>
          <w:rFonts w:hint="eastAsia" w:ascii="宋体" w:hAnsi="宋体" w:cs="宋体"/>
          <w:color w:val="auto"/>
          <w:sz w:val="24"/>
          <w:highlight w:val="none"/>
        </w:rPr>
        <w:t>本合同的范围和条件应与上述规定的合同文件内容一致。</w:t>
      </w:r>
      <w:bookmarkEnd w:id="817"/>
    </w:p>
    <w:p w14:paraId="1E3FE633">
      <w:pPr>
        <w:spacing w:line="360" w:lineRule="auto"/>
        <w:rPr>
          <w:rFonts w:ascii="宋体" w:hAnsi="宋体" w:cs="宋体"/>
          <w:b/>
          <w:bCs/>
          <w:color w:val="auto"/>
          <w:sz w:val="24"/>
          <w:highlight w:val="none"/>
        </w:rPr>
      </w:pPr>
      <w:bookmarkStart w:id="818" w:name="_Toc145751407"/>
      <w:r>
        <w:rPr>
          <w:rFonts w:hint="eastAsia" w:ascii="宋体" w:hAnsi="宋体" w:cs="宋体"/>
          <w:b/>
          <w:bCs/>
          <w:color w:val="auto"/>
          <w:sz w:val="24"/>
          <w:highlight w:val="none"/>
        </w:rPr>
        <w:t>3、</w:t>
      </w:r>
      <w:bookmarkEnd w:id="818"/>
      <w:r>
        <w:rPr>
          <w:rFonts w:hint="eastAsia" w:ascii="宋体" w:hAnsi="宋体" w:cs="宋体"/>
          <w:b/>
          <w:bCs/>
          <w:color w:val="auto"/>
          <w:sz w:val="24"/>
          <w:highlight w:val="none"/>
        </w:rPr>
        <w:t>服务内容</w:t>
      </w:r>
    </w:p>
    <w:p w14:paraId="6413FAC4">
      <w:pPr>
        <w:spacing w:line="360" w:lineRule="auto"/>
        <w:ind w:firstLine="480" w:firstLineChars="200"/>
        <w:rPr>
          <w:rFonts w:ascii="宋体" w:hAnsi="宋体" w:cs="宋体"/>
          <w:color w:val="auto"/>
          <w:sz w:val="24"/>
          <w:highlight w:val="none"/>
        </w:rPr>
      </w:pPr>
      <w:bookmarkStart w:id="819" w:name="_Toc145751408"/>
      <w:r>
        <w:rPr>
          <w:rFonts w:hint="eastAsia" w:ascii="宋体" w:hAnsi="宋体" w:cs="宋体"/>
          <w:color w:val="auto"/>
          <w:sz w:val="24"/>
          <w:highlight w:val="none"/>
        </w:rPr>
        <w:t>本合同要求提供的服务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bookmarkEnd w:id="819"/>
    </w:p>
    <w:p w14:paraId="3A565415">
      <w:pPr>
        <w:spacing w:line="360" w:lineRule="auto"/>
        <w:rPr>
          <w:rFonts w:ascii="宋体" w:hAnsi="宋体" w:cs="宋体"/>
          <w:b/>
          <w:bCs/>
          <w:color w:val="auto"/>
          <w:sz w:val="24"/>
          <w:highlight w:val="none"/>
        </w:rPr>
      </w:pPr>
      <w:bookmarkStart w:id="820" w:name="_Toc145751409"/>
      <w:r>
        <w:rPr>
          <w:rFonts w:hint="eastAsia" w:ascii="宋体" w:hAnsi="宋体" w:cs="宋体"/>
          <w:b/>
          <w:bCs/>
          <w:color w:val="auto"/>
          <w:sz w:val="24"/>
          <w:highlight w:val="none"/>
        </w:rPr>
        <w:t>4、提供服务期限、地点</w:t>
      </w:r>
    </w:p>
    <w:p w14:paraId="0E235EFD">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w:t>
      </w:r>
      <w:r>
        <w:rPr>
          <w:rFonts w:hint="eastAsia" w:ascii="宋体" w:hAnsi="宋体" w:cs="宋体"/>
          <w:b/>
          <w:bCs/>
          <w:color w:val="auto"/>
          <w:sz w:val="24"/>
          <w:highlight w:val="none"/>
          <w:u w:val="single"/>
        </w:rPr>
        <w:t xml:space="preserve">                        </w:t>
      </w:r>
    </w:p>
    <w:bookmarkEnd w:id="820"/>
    <w:p w14:paraId="14048737">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5、合同金额及付款方式</w:t>
      </w:r>
    </w:p>
    <w:p w14:paraId="6FD3E3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合同金额：</w:t>
      </w:r>
      <w:bookmarkStart w:id="821" w:name="_Toc145751410"/>
      <w:r>
        <w:rPr>
          <w:rFonts w:hint="eastAsia" w:ascii="宋体" w:hAnsi="宋体" w:cs="宋体"/>
          <w:color w:val="auto"/>
          <w:sz w:val="24"/>
          <w:highlight w:val="none"/>
          <w:u w:val="single"/>
        </w:rPr>
        <w:t xml:space="preserve">                                         </w:t>
      </w:r>
    </w:p>
    <w:bookmarkEnd w:id="821"/>
    <w:p w14:paraId="2C91A836">
      <w:pPr>
        <w:spacing w:line="360" w:lineRule="auto"/>
        <w:ind w:firstLine="480" w:firstLineChars="200"/>
        <w:rPr>
          <w:rFonts w:hint="default" w:ascii="宋体" w:hAnsi="宋体" w:eastAsia="宋体"/>
          <w:b/>
          <w:color w:val="auto"/>
          <w:sz w:val="24"/>
          <w:highlight w:val="none"/>
          <w:lang w:val="en-US" w:eastAsia="zh-CN"/>
        </w:rPr>
      </w:pPr>
      <w:r>
        <w:rPr>
          <w:rFonts w:hint="eastAsia" w:ascii="宋体" w:hAnsi="宋体" w:cs="宋体"/>
          <w:color w:val="auto"/>
          <w:sz w:val="24"/>
          <w:highlight w:val="none"/>
        </w:rPr>
        <w:t>付款方式：合同签订后7个工作日内，甲方向乙方支付</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%的合同款；</w:t>
      </w:r>
      <w:r>
        <w:rPr>
          <w:rFonts w:hint="eastAsia" w:ascii="宋体" w:hAnsi="宋体" w:cs="宋体"/>
          <w:color w:val="auto"/>
          <w:sz w:val="24"/>
          <w:highlight w:val="none"/>
          <w:lang w:val="en-US" w:eastAsia="zh-CN"/>
        </w:rPr>
        <w:t>服务完成并验收后</w:t>
      </w:r>
      <w:r>
        <w:rPr>
          <w:rFonts w:hint="eastAsia" w:ascii="宋体" w:hAnsi="宋体" w:cs="宋体"/>
          <w:color w:val="auto"/>
          <w:sz w:val="24"/>
          <w:highlight w:val="none"/>
        </w:rPr>
        <w:t>，甲方向乙方支付</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0%的合同款；项目</w:t>
      </w:r>
      <w:r>
        <w:rPr>
          <w:rFonts w:hint="eastAsia" w:ascii="宋体" w:hAnsi="宋体" w:cs="宋体"/>
          <w:color w:val="auto"/>
          <w:sz w:val="24"/>
          <w:highlight w:val="none"/>
          <w:lang w:val="en-US" w:eastAsia="zh-CN"/>
        </w:rPr>
        <w:t>结算完成</w:t>
      </w:r>
      <w:r>
        <w:rPr>
          <w:rFonts w:hint="eastAsia" w:ascii="宋体" w:hAnsi="宋体" w:cs="宋体"/>
          <w:color w:val="auto"/>
          <w:sz w:val="24"/>
          <w:highlight w:val="none"/>
        </w:rPr>
        <w:t>后，</w:t>
      </w:r>
      <w:r>
        <w:rPr>
          <w:rFonts w:hint="eastAsia" w:ascii="宋体" w:hAnsi="宋体" w:cs="宋体"/>
          <w:color w:val="auto"/>
          <w:sz w:val="24"/>
          <w:highlight w:val="none"/>
          <w:lang w:val="en-US" w:eastAsia="zh-CN"/>
        </w:rPr>
        <w:t>以区财政局评审中心结算评审结果为依据，支付剩余尾款</w:t>
      </w:r>
      <w:r>
        <w:rPr>
          <w:rFonts w:hint="eastAsia" w:ascii="宋体" w:hAnsi="宋体" w:cs="宋体"/>
          <w:color w:val="auto"/>
          <w:sz w:val="24"/>
          <w:highlight w:val="none"/>
        </w:rPr>
        <w:t>。</w:t>
      </w:r>
    </w:p>
    <w:p w14:paraId="7AB26D5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若乙方发生违约行为，甲方有权从第二次应支付的款项中扣除乙方应支付的违约金，不足的部分乙方另行支付。</w:t>
      </w:r>
    </w:p>
    <w:p w14:paraId="55D8AB98">
      <w:pPr>
        <w:spacing w:line="360" w:lineRule="auto"/>
        <w:ind w:firstLine="480" w:firstLineChars="200"/>
        <w:rPr>
          <w:rFonts w:ascii="宋体" w:hAnsi="宋体" w:cs="宋体"/>
          <w:color w:val="auto"/>
          <w:sz w:val="24"/>
          <w:highlight w:val="none"/>
          <w:u w:val="single"/>
        </w:rPr>
      </w:pPr>
      <w:r>
        <w:rPr>
          <w:rFonts w:hint="eastAsia" w:ascii="宋体" w:hAnsi="宋体"/>
          <w:color w:val="auto"/>
          <w:sz w:val="24"/>
          <w:highlight w:val="none"/>
        </w:rPr>
        <w:t>费用的支付需以相应财政资金审批通过并实际拨付至甲方账户为前提，若因相应财政资金未能审批通过或未及时到账而导致的延期支付，不属于违约行为，甲方不承担违约责任。</w:t>
      </w:r>
    </w:p>
    <w:p w14:paraId="3BCED686">
      <w:pPr>
        <w:numPr>
          <w:ilvl w:val="0"/>
          <w:numId w:val="0"/>
        </w:num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合同的份数及生效</w:t>
      </w:r>
    </w:p>
    <w:p w14:paraId="5F3CE8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本合同一式</w:t>
      </w:r>
      <w:r>
        <w:rPr>
          <w:rFonts w:hint="eastAsia" w:ascii="宋体" w:hAnsi="宋体" w:cs="宋体"/>
          <w:color w:val="auto"/>
          <w:sz w:val="24"/>
          <w:highlight w:val="none"/>
          <w:u w:val="single"/>
        </w:rPr>
        <w:t>　　</w:t>
      </w:r>
      <w:r>
        <w:rPr>
          <w:rFonts w:hint="eastAsia" w:ascii="宋体" w:hAnsi="宋体" w:cs="宋体"/>
          <w:color w:val="auto"/>
          <w:sz w:val="24"/>
          <w:highlight w:val="none"/>
        </w:rPr>
        <w:t>份，</w:t>
      </w:r>
      <w:r>
        <w:rPr>
          <w:rFonts w:hint="eastAsia" w:ascii="宋体" w:hAnsi="宋体" w:cs="宋体"/>
          <w:color w:val="auto"/>
          <w:sz w:val="24"/>
          <w:highlight w:val="none"/>
          <w:u w:val="single"/>
        </w:rPr>
        <w:t>　　</w:t>
      </w:r>
      <w:r>
        <w:rPr>
          <w:rFonts w:hint="eastAsia" w:ascii="宋体" w:hAnsi="宋体" w:cs="宋体"/>
          <w:color w:val="auto"/>
          <w:sz w:val="24"/>
          <w:highlight w:val="none"/>
        </w:rPr>
        <w:t>和</w:t>
      </w:r>
      <w:r>
        <w:rPr>
          <w:rFonts w:hint="eastAsia" w:ascii="宋体" w:hAnsi="宋体" w:cs="宋体"/>
          <w:color w:val="auto"/>
          <w:sz w:val="24"/>
          <w:highlight w:val="none"/>
          <w:u w:val="single"/>
        </w:rPr>
        <w:t>　　</w:t>
      </w:r>
      <w:r>
        <w:rPr>
          <w:rFonts w:hint="eastAsia" w:ascii="宋体" w:hAnsi="宋体" w:cs="宋体"/>
          <w:color w:val="auto"/>
          <w:sz w:val="24"/>
          <w:highlight w:val="none"/>
        </w:rPr>
        <w:t>各执</w:t>
      </w:r>
      <w:r>
        <w:rPr>
          <w:rFonts w:hint="eastAsia" w:ascii="宋体" w:hAnsi="宋体" w:cs="宋体"/>
          <w:color w:val="auto"/>
          <w:sz w:val="24"/>
          <w:highlight w:val="none"/>
          <w:u w:val="single"/>
        </w:rPr>
        <w:t>　　</w:t>
      </w:r>
      <w:r>
        <w:rPr>
          <w:rFonts w:hint="eastAsia" w:ascii="宋体" w:hAnsi="宋体" w:cs="宋体"/>
          <w:color w:val="auto"/>
          <w:sz w:val="24"/>
          <w:highlight w:val="none"/>
        </w:rPr>
        <w:t>份，具有同等法律效力。</w:t>
      </w:r>
    </w:p>
    <w:p w14:paraId="3CDC37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本合同经双方各自的</w:t>
      </w:r>
      <w:r>
        <w:rPr>
          <w:rFonts w:hint="eastAsia" w:ascii="宋体" w:hAnsi="宋体" w:cs="宋体"/>
          <w:color w:val="auto"/>
          <w:sz w:val="24"/>
          <w:highlight w:val="none"/>
          <w:lang w:val="en-US" w:eastAsia="zh-CN"/>
        </w:rPr>
        <w:t>法定代表人或</w:t>
      </w:r>
      <w:r>
        <w:rPr>
          <w:rFonts w:hint="eastAsia" w:ascii="宋体" w:hAnsi="宋体" w:cs="宋体"/>
          <w:color w:val="auto"/>
          <w:sz w:val="24"/>
          <w:highlight w:val="none"/>
        </w:rPr>
        <w:t>授权代表签署、加盖单位公章或合同专用章之日起生效。</w:t>
      </w:r>
    </w:p>
    <w:p w14:paraId="0D262B22">
      <w:pPr>
        <w:spacing w:before="120" w:line="360" w:lineRule="auto"/>
        <w:ind w:firstLine="454"/>
        <w:rPr>
          <w:rFonts w:ascii="宋体" w:hAnsi="宋体" w:cs="宋体"/>
          <w:color w:val="auto"/>
          <w:sz w:val="24"/>
          <w:highlight w:val="none"/>
        </w:rPr>
      </w:pPr>
    </w:p>
    <w:p w14:paraId="3A4843A4">
      <w:pPr>
        <w:spacing w:before="120" w:line="360" w:lineRule="auto"/>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p>
    <w:p w14:paraId="606A1C21">
      <w:pPr>
        <w:spacing w:before="120" w:line="360" w:lineRule="auto"/>
        <w:rPr>
          <w:rFonts w:ascii="宋体" w:hAnsi="宋体" w:cs="宋体"/>
          <w:color w:val="auto"/>
          <w:sz w:val="24"/>
          <w:highlight w:val="none"/>
          <w:u w:val="single"/>
        </w:rPr>
      </w:pPr>
      <w:r>
        <w:rPr>
          <w:rFonts w:hint="eastAsia" w:ascii="宋体" w:hAnsi="宋体" w:cs="宋体"/>
          <w:color w:val="auto"/>
          <w:sz w:val="24"/>
          <w:highlight w:val="none"/>
        </w:rPr>
        <w:t>名称：(印章)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名称：(印章)</w:t>
      </w:r>
      <w:r>
        <w:rPr>
          <w:rFonts w:hint="eastAsia" w:ascii="宋体" w:hAnsi="宋体" w:cs="宋体"/>
          <w:color w:val="auto"/>
          <w:sz w:val="24"/>
          <w:highlight w:val="none"/>
          <w:u w:val="single"/>
        </w:rPr>
        <w:t xml:space="preserve">                   </w:t>
      </w:r>
    </w:p>
    <w:p w14:paraId="793A6F1D">
      <w:pPr>
        <w:spacing w:before="120"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6F38826">
      <w:pPr>
        <w:spacing w:before="120" w:line="360" w:lineRule="auto"/>
        <w:rPr>
          <w:rFonts w:ascii="宋体" w:hAnsi="宋体" w:cs="宋体"/>
          <w:color w:val="auto"/>
          <w:sz w:val="24"/>
          <w:highlight w:val="none"/>
        </w:rPr>
      </w:pPr>
      <w:r>
        <w:rPr>
          <w:rFonts w:hint="eastAsia" w:ascii="宋体" w:hAnsi="宋体" w:cs="宋体"/>
          <w:color w:val="auto"/>
          <w:sz w:val="24"/>
          <w:highlight w:val="none"/>
        </w:rPr>
        <w:t>　</w:t>
      </w:r>
    </w:p>
    <w:p w14:paraId="49E07DD2">
      <w:pPr>
        <w:spacing w:before="120"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经办人</w:t>
      </w:r>
      <w:r>
        <w:rPr>
          <w:rFonts w:hint="eastAsia" w:ascii="宋体" w:hAnsi="宋体" w:cs="宋体"/>
          <w:color w:val="auto"/>
          <w:sz w:val="24"/>
          <w:highlight w:val="none"/>
        </w:rPr>
        <w:t>(签字)：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授权代表(签字)：</w:t>
      </w:r>
      <w:r>
        <w:rPr>
          <w:rFonts w:hint="eastAsia" w:ascii="宋体" w:hAnsi="宋体" w:cs="宋体"/>
          <w:color w:val="auto"/>
          <w:sz w:val="24"/>
          <w:highlight w:val="none"/>
          <w:u w:val="single"/>
        </w:rPr>
        <w:t xml:space="preserve">               </w:t>
      </w:r>
    </w:p>
    <w:p w14:paraId="0123FFBD">
      <w:pPr>
        <w:spacing w:before="120" w:line="360" w:lineRule="auto"/>
        <w:ind w:firstLine="120" w:firstLineChars="50"/>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地址：</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p>
    <w:p w14:paraId="0AE8845A">
      <w:pPr>
        <w:spacing w:before="120" w:line="360" w:lineRule="auto"/>
        <w:ind w:firstLine="120" w:firstLineChars="50"/>
        <w:rPr>
          <w:rFonts w:ascii="宋体" w:hAnsi="宋体" w:cs="宋体"/>
          <w:color w:val="auto"/>
          <w:sz w:val="24"/>
          <w:highlight w:val="none"/>
          <w:u w:val="singl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邮政编码：</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p>
    <w:p w14:paraId="322CD11C">
      <w:pPr>
        <w:spacing w:before="120" w:line="360" w:lineRule="auto"/>
        <w:ind w:firstLine="120" w:firstLineChars="50"/>
        <w:rPr>
          <w:rFonts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电话：</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p>
    <w:p w14:paraId="565C4FF4">
      <w:pPr>
        <w:spacing w:before="120" w:line="360" w:lineRule="auto"/>
        <w:ind w:firstLine="120" w:firstLineChars="50"/>
        <w:rPr>
          <w:rFonts w:ascii="宋体" w:hAnsi="宋体" w:cs="宋体"/>
          <w:color w:val="auto"/>
          <w:sz w:val="24"/>
          <w:highlight w:val="none"/>
          <w:u w:val="singl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开户银行：</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p>
    <w:p w14:paraId="53B4EE82">
      <w:pPr>
        <w:spacing w:before="120" w:line="360" w:lineRule="auto"/>
        <w:ind w:firstLine="120" w:firstLineChars="50"/>
        <w:rPr>
          <w:rFonts w:ascii="宋体" w:hAnsi="宋体" w:cs="宋体"/>
          <w:color w:val="auto"/>
          <w:sz w:val="24"/>
          <w:highlight w:val="none"/>
          <w:u w:val="single"/>
        </w:rPr>
      </w:pPr>
      <w:r>
        <w:rPr>
          <w:rFonts w:hint="eastAsia" w:ascii="宋体" w:hAnsi="宋体" w:cs="宋体"/>
          <w:color w:val="auto"/>
          <w:sz w:val="24"/>
          <w:highlight w:val="none"/>
        </w:rPr>
        <w:t>账号：</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p>
    <w:p w14:paraId="3AC8C7AE">
      <w:pPr>
        <w:widowControl/>
        <w:rPr>
          <w:rFonts w:ascii="宋体" w:hAnsi="宋体" w:cs="宋体"/>
          <w:color w:val="auto"/>
          <w:highlight w:val="none"/>
        </w:rPr>
      </w:pPr>
      <w:r>
        <w:rPr>
          <w:rFonts w:hint="eastAsia" w:ascii="宋体" w:hAnsi="宋体" w:cs="宋体"/>
          <w:color w:val="auto"/>
          <w:sz w:val="24"/>
          <w:highlight w:val="none"/>
          <w:u w:val="single"/>
        </w:rPr>
        <w:br w:type="page"/>
      </w:r>
    </w:p>
    <w:p w14:paraId="0A02A1C1">
      <w:pPr>
        <w:spacing w:line="360" w:lineRule="auto"/>
        <w:jc w:val="center"/>
        <w:rPr>
          <w:rFonts w:ascii="宋体" w:hAnsi="宋体" w:cs="宋体"/>
          <w:b/>
          <w:bCs/>
          <w:color w:val="auto"/>
          <w:sz w:val="28"/>
          <w:szCs w:val="28"/>
          <w:highlight w:val="none"/>
        </w:rPr>
      </w:pPr>
      <w:bookmarkStart w:id="822" w:name="_Toc26636"/>
      <w:bookmarkStart w:id="823" w:name="_Toc2330"/>
      <w:bookmarkStart w:id="824" w:name="_Toc20322"/>
      <w:bookmarkStart w:id="825" w:name="_Toc10477"/>
      <w:bookmarkStart w:id="826" w:name="_Toc11318"/>
      <w:bookmarkStart w:id="827" w:name="_Toc13104"/>
      <w:r>
        <w:rPr>
          <w:rFonts w:hint="eastAsia" w:ascii="宋体" w:hAnsi="宋体" w:cs="宋体"/>
          <w:b/>
          <w:bCs/>
          <w:color w:val="auto"/>
          <w:sz w:val="28"/>
          <w:szCs w:val="28"/>
          <w:highlight w:val="none"/>
        </w:rPr>
        <w:t>合同一般条款</w:t>
      </w:r>
      <w:bookmarkEnd w:id="822"/>
      <w:bookmarkEnd w:id="823"/>
      <w:bookmarkEnd w:id="824"/>
      <w:bookmarkEnd w:id="825"/>
      <w:bookmarkEnd w:id="826"/>
      <w:bookmarkEnd w:id="827"/>
    </w:p>
    <w:p w14:paraId="03DEA4BF">
      <w:pPr>
        <w:spacing w:line="360" w:lineRule="auto"/>
        <w:rPr>
          <w:rFonts w:ascii="宋体" w:hAnsi="宋体" w:cs="宋体"/>
          <w:b/>
          <w:bCs/>
          <w:color w:val="auto"/>
          <w:sz w:val="24"/>
          <w:highlight w:val="none"/>
        </w:rPr>
      </w:pPr>
      <w:bookmarkStart w:id="828" w:name="_Toc96998517"/>
      <w:bookmarkStart w:id="829" w:name="_Toc109543211"/>
      <w:bookmarkStart w:id="830" w:name="_Toc109542391"/>
      <w:bookmarkStart w:id="831" w:name="_Toc487900374"/>
      <w:r>
        <w:rPr>
          <w:rFonts w:hint="eastAsia" w:ascii="宋体" w:hAnsi="宋体" w:cs="宋体"/>
          <w:b/>
          <w:bCs/>
          <w:color w:val="auto"/>
          <w:sz w:val="24"/>
          <w:highlight w:val="none"/>
        </w:rPr>
        <w:t>1、定义</w:t>
      </w:r>
      <w:bookmarkEnd w:id="828"/>
    </w:p>
    <w:p w14:paraId="2BA05F0A">
      <w:pPr>
        <w:spacing w:line="360" w:lineRule="auto"/>
        <w:rPr>
          <w:rFonts w:ascii="宋体" w:hAnsi="宋体" w:cs="宋体"/>
          <w:color w:val="auto"/>
          <w:sz w:val="24"/>
          <w:highlight w:val="none"/>
        </w:rPr>
      </w:pPr>
      <w:r>
        <w:rPr>
          <w:rFonts w:hint="eastAsia" w:ascii="宋体" w:hAnsi="宋体" w:cs="宋体"/>
          <w:color w:val="auto"/>
          <w:sz w:val="24"/>
          <w:highlight w:val="none"/>
        </w:rPr>
        <w:t>本合同中的下列术语应解释为：</w:t>
      </w:r>
    </w:p>
    <w:p w14:paraId="41A18579">
      <w:pPr>
        <w:spacing w:line="360" w:lineRule="auto"/>
        <w:rPr>
          <w:rFonts w:ascii="宋体" w:hAnsi="宋体" w:cs="宋体"/>
          <w:color w:val="auto"/>
          <w:sz w:val="24"/>
          <w:highlight w:val="none"/>
        </w:rPr>
      </w:pPr>
      <w:r>
        <w:rPr>
          <w:rFonts w:hint="eastAsia" w:ascii="宋体" w:hAnsi="宋体" w:cs="宋体"/>
          <w:color w:val="auto"/>
          <w:sz w:val="24"/>
          <w:highlight w:val="none"/>
        </w:rPr>
        <w:t>1.1“合同”系指甲方与乙方签署的、合同格式中载明的甲方与乙方所达成的合同，包括所有的附件、附录和构成合同的其它文件。</w:t>
      </w:r>
    </w:p>
    <w:p w14:paraId="54E614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1.2“服务”系指根据合同规定乙方承担的服务。</w:t>
      </w:r>
    </w:p>
    <w:p w14:paraId="62BDA001">
      <w:pPr>
        <w:spacing w:line="360" w:lineRule="auto"/>
        <w:rPr>
          <w:rFonts w:ascii="宋体" w:hAnsi="宋体" w:cs="宋体"/>
          <w:color w:val="auto"/>
          <w:sz w:val="24"/>
          <w:highlight w:val="none"/>
        </w:rPr>
      </w:pPr>
      <w:r>
        <w:rPr>
          <w:rFonts w:hint="eastAsia" w:ascii="宋体" w:hAnsi="宋体" w:cs="宋体"/>
          <w:color w:val="auto"/>
          <w:sz w:val="24"/>
          <w:highlight w:val="none"/>
        </w:rPr>
        <w:t>1.3“甲方”系指与乙方签署采购合同的单位（含最终用户）</w:t>
      </w:r>
    </w:p>
    <w:p w14:paraId="346BA8BE">
      <w:pPr>
        <w:spacing w:line="360" w:lineRule="auto"/>
        <w:rPr>
          <w:rFonts w:ascii="宋体" w:hAnsi="宋体" w:cs="宋体"/>
          <w:color w:val="auto"/>
          <w:sz w:val="24"/>
          <w:highlight w:val="none"/>
          <w:u w:val="single"/>
        </w:rPr>
      </w:pPr>
      <w:r>
        <w:rPr>
          <w:rFonts w:hint="eastAsia" w:ascii="宋体" w:hAnsi="宋体" w:cs="宋体"/>
          <w:color w:val="auto"/>
          <w:sz w:val="24"/>
          <w:highlight w:val="none"/>
        </w:rPr>
        <w:t>1.4“乙方”系指</w:t>
      </w:r>
      <w:r>
        <w:rPr>
          <w:rFonts w:hint="eastAsia" w:ascii="宋体" w:hAnsi="宋体" w:cs="宋体"/>
          <w:color w:val="auto"/>
          <w:sz w:val="24"/>
          <w:highlight w:val="none"/>
          <w:u w:val="single"/>
        </w:rPr>
        <w:t>根据合同规定提供服务的供应商。</w:t>
      </w:r>
    </w:p>
    <w:p w14:paraId="179F94A3">
      <w:pPr>
        <w:spacing w:line="360" w:lineRule="auto"/>
        <w:rPr>
          <w:rFonts w:ascii="宋体" w:hAnsi="宋体" w:cs="宋体"/>
          <w:color w:val="auto"/>
          <w:sz w:val="24"/>
          <w:highlight w:val="none"/>
        </w:rPr>
      </w:pPr>
      <w:r>
        <w:rPr>
          <w:rFonts w:hint="eastAsia" w:ascii="宋体" w:hAnsi="宋体" w:cs="宋体"/>
          <w:color w:val="auto"/>
          <w:sz w:val="24"/>
          <w:highlight w:val="none"/>
        </w:rPr>
        <w:t>1.5“招标代理机构”系</w:t>
      </w:r>
      <w:r>
        <w:rPr>
          <w:rFonts w:hint="eastAsia" w:ascii="宋体" w:hAnsi="宋体" w:cs="宋体"/>
          <w:color w:val="auto"/>
          <w:sz w:val="24"/>
          <w:highlight w:val="none"/>
          <w:u w:val="single"/>
        </w:rPr>
        <w:t>指</w:t>
      </w:r>
      <w:r>
        <w:rPr>
          <w:rFonts w:hint="eastAsia" w:ascii="宋体" w:hAnsi="宋体" w:cs="宋体"/>
          <w:color w:val="auto"/>
          <w:sz w:val="24"/>
          <w:highlight w:val="none"/>
          <w:u w:val="single"/>
          <w:lang w:eastAsia="zh-CN"/>
        </w:rPr>
        <w:t>北京环宇祥吉工程咨询有限公司</w:t>
      </w:r>
      <w:r>
        <w:rPr>
          <w:rFonts w:hint="eastAsia" w:ascii="宋体" w:hAnsi="宋体" w:cs="宋体"/>
          <w:color w:val="auto"/>
          <w:sz w:val="24"/>
          <w:highlight w:val="none"/>
          <w:u w:val="single"/>
        </w:rPr>
        <w:t>。</w:t>
      </w:r>
    </w:p>
    <w:p w14:paraId="354F9846">
      <w:pPr>
        <w:spacing w:line="360" w:lineRule="auto"/>
        <w:rPr>
          <w:rFonts w:ascii="宋体" w:hAnsi="宋体" w:cs="宋体"/>
          <w:color w:val="auto"/>
          <w:sz w:val="24"/>
          <w:highlight w:val="none"/>
        </w:rPr>
      </w:pPr>
      <w:r>
        <w:rPr>
          <w:rFonts w:hint="eastAsia" w:ascii="宋体" w:hAnsi="宋体" w:cs="宋体"/>
          <w:color w:val="auto"/>
          <w:sz w:val="24"/>
          <w:highlight w:val="none"/>
        </w:rPr>
        <w:t>1.6“现场”系指</w:t>
      </w:r>
      <w:r>
        <w:rPr>
          <w:rFonts w:hint="eastAsia" w:ascii="宋体" w:hAnsi="宋体" w:cs="宋体"/>
          <w:color w:val="auto"/>
          <w:sz w:val="24"/>
          <w:highlight w:val="none"/>
          <w:u w:val="single"/>
        </w:rPr>
        <w:t>合同项下服务的实施地点。</w:t>
      </w:r>
    </w:p>
    <w:p w14:paraId="02577E45">
      <w:pPr>
        <w:spacing w:line="360" w:lineRule="auto"/>
        <w:rPr>
          <w:rFonts w:ascii="宋体" w:hAnsi="宋体" w:cs="宋体"/>
          <w:color w:val="auto"/>
          <w:sz w:val="24"/>
          <w:highlight w:val="none"/>
          <w:u w:val="single"/>
        </w:rPr>
      </w:pPr>
      <w:r>
        <w:rPr>
          <w:rFonts w:hint="eastAsia" w:ascii="宋体" w:hAnsi="宋体" w:cs="宋体"/>
          <w:color w:val="auto"/>
          <w:sz w:val="24"/>
          <w:highlight w:val="none"/>
        </w:rPr>
        <w:t>1.7“验收”系指</w:t>
      </w:r>
      <w:r>
        <w:rPr>
          <w:rFonts w:hint="eastAsia" w:ascii="宋体" w:hAnsi="宋体" w:cs="宋体"/>
          <w:color w:val="auto"/>
          <w:sz w:val="24"/>
          <w:highlight w:val="none"/>
          <w:u w:val="single"/>
        </w:rPr>
        <w:t>合同双方依据规定的程序和条件确认合同项下的服务符合技术规范的要求。</w:t>
      </w:r>
    </w:p>
    <w:p w14:paraId="2D753F0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2、技术规范</w:t>
      </w:r>
    </w:p>
    <w:p w14:paraId="300327E4">
      <w:pPr>
        <w:spacing w:line="360" w:lineRule="auto"/>
        <w:rPr>
          <w:rFonts w:ascii="宋体" w:hAnsi="宋体" w:cs="宋体"/>
          <w:color w:val="auto"/>
          <w:sz w:val="24"/>
          <w:highlight w:val="none"/>
        </w:rPr>
      </w:pPr>
      <w:r>
        <w:rPr>
          <w:rFonts w:hint="eastAsia" w:ascii="宋体" w:hAnsi="宋体" w:cs="宋体"/>
          <w:color w:val="auto"/>
          <w:sz w:val="24"/>
          <w:highlight w:val="none"/>
        </w:rPr>
        <w:t>2.1提交货物（如有）的技术规范应与</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文件规定的技术规范和技术规范附件 (如果有的话)及其</w:t>
      </w:r>
      <w:r>
        <w:rPr>
          <w:rFonts w:hint="default" w:ascii="宋体" w:hAnsi="宋体" w:cs="宋体"/>
          <w:color w:val="auto"/>
          <w:sz w:val="24"/>
          <w:highlight w:val="none"/>
        </w:rPr>
        <w:t>投标</w:t>
      </w:r>
      <w:r>
        <w:rPr>
          <w:rFonts w:hint="eastAsia" w:ascii="宋体" w:hAnsi="宋体" w:cs="宋体"/>
          <w:color w:val="auto"/>
          <w:sz w:val="24"/>
          <w:highlight w:val="none"/>
        </w:rPr>
        <w:t>文件的规格偏差表(如果被甲方接受的话) 相一致。</w:t>
      </w:r>
    </w:p>
    <w:p w14:paraId="60788D36">
      <w:pPr>
        <w:spacing w:line="360" w:lineRule="auto"/>
        <w:rPr>
          <w:rFonts w:ascii="宋体" w:hAnsi="宋体" w:cs="宋体"/>
          <w:color w:val="auto"/>
          <w:sz w:val="24"/>
          <w:highlight w:val="none"/>
        </w:rPr>
      </w:pPr>
      <w:r>
        <w:rPr>
          <w:rFonts w:hint="eastAsia" w:ascii="宋体" w:hAnsi="宋体" w:cs="宋体"/>
          <w:color w:val="auto"/>
          <w:sz w:val="24"/>
          <w:highlight w:val="none"/>
        </w:rPr>
        <w:t>2.2若技术规范中无相应说明，则以国家有关部门最新颁布的相应标准及规范为准。</w:t>
      </w:r>
    </w:p>
    <w:p w14:paraId="36D2AD71">
      <w:pPr>
        <w:numPr>
          <w:ilvl w:val="0"/>
          <w:numId w:val="14"/>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服务内容</w:t>
      </w:r>
    </w:p>
    <w:p w14:paraId="010B27A5">
      <w:pPr>
        <w:spacing w:line="360" w:lineRule="auto"/>
        <w:rPr>
          <w:rFonts w:ascii="宋体" w:hAnsi="宋体" w:cs="宋体"/>
          <w:color w:val="auto"/>
          <w:sz w:val="24"/>
          <w:highlight w:val="none"/>
        </w:rPr>
      </w:pPr>
      <w:r>
        <w:rPr>
          <w:rFonts w:hint="eastAsia" w:ascii="宋体" w:hAnsi="宋体" w:cs="宋体"/>
          <w:color w:val="auto"/>
          <w:sz w:val="24"/>
          <w:highlight w:val="none"/>
        </w:rPr>
        <w:t>详见合同书中规定。</w:t>
      </w:r>
    </w:p>
    <w:p w14:paraId="445F7DC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4、提供服务期限、地点</w:t>
      </w:r>
    </w:p>
    <w:p w14:paraId="793F86DD">
      <w:pPr>
        <w:spacing w:line="360" w:lineRule="auto"/>
        <w:rPr>
          <w:rFonts w:ascii="宋体" w:hAnsi="宋体" w:cs="宋体"/>
          <w:bCs/>
          <w:color w:val="auto"/>
          <w:sz w:val="24"/>
          <w:highlight w:val="none"/>
        </w:rPr>
      </w:pPr>
      <w:r>
        <w:rPr>
          <w:rFonts w:hint="eastAsia" w:ascii="宋体" w:hAnsi="宋体" w:cs="宋体"/>
          <w:color w:val="auto"/>
          <w:sz w:val="24"/>
          <w:highlight w:val="none"/>
        </w:rPr>
        <w:t xml:space="preserve">详见合同书中规定。                    </w:t>
      </w:r>
    </w:p>
    <w:p w14:paraId="0B5020D7">
      <w:pPr>
        <w:spacing w:line="360" w:lineRule="auto"/>
        <w:rPr>
          <w:rFonts w:ascii="宋体" w:hAnsi="宋体" w:cs="宋体"/>
          <w:b/>
          <w:bCs/>
          <w:color w:val="auto"/>
          <w:sz w:val="24"/>
          <w:highlight w:val="none"/>
        </w:rPr>
      </w:pPr>
      <w:bookmarkStart w:id="832" w:name="_Toc96998522"/>
      <w:r>
        <w:rPr>
          <w:rFonts w:hint="eastAsia" w:ascii="宋体" w:hAnsi="宋体" w:cs="宋体"/>
          <w:b/>
          <w:bCs/>
          <w:color w:val="auto"/>
          <w:sz w:val="24"/>
          <w:highlight w:val="none"/>
        </w:rPr>
        <w:t>5、付款方式</w:t>
      </w:r>
      <w:bookmarkEnd w:id="832"/>
      <w:bookmarkStart w:id="833" w:name="_Toc96998524"/>
    </w:p>
    <w:bookmarkEnd w:id="833"/>
    <w:p w14:paraId="223530EF">
      <w:pPr>
        <w:spacing w:before="120" w:line="360" w:lineRule="auto"/>
        <w:ind w:left="1080" w:hanging="1080" w:hangingChars="450"/>
        <w:rPr>
          <w:rFonts w:ascii="宋体" w:hAnsi="宋体" w:cs="宋体"/>
          <w:color w:val="auto"/>
          <w:sz w:val="24"/>
          <w:highlight w:val="none"/>
        </w:rPr>
      </w:pPr>
      <w:bookmarkStart w:id="834" w:name="_Toc96998526"/>
      <w:r>
        <w:rPr>
          <w:rFonts w:hint="eastAsia" w:ascii="宋体" w:hAnsi="宋体" w:cs="宋体"/>
          <w:color w:val="auto"/>
          <w:sz w:val="24"/>
          <w:highlight w:val="none"/>
        </w:rPr>
        <w:t>付款条件详见合同书中规定。</w:t>
      </w:r>
    </w:p>
    <w:p w14:paraId="318B252F">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6、索赔</w:t>
      </w:r>
      <w:bookmarkEnd w:id="834"/>
    </w:p>
    <w:p w14:paraId="0627FBE2">
      <w:pPr>
        <w:spacing w:line="360" w:lineRule="auto"/>
        <w:rPr>
          <w:rFonts w:ascii="宋体" w:hAnsi="宋体" w:cs="宋体"/>
          <w:color w:val="auto"/>
          <w:sz w:val="24"/>
          <w:highlight w:val="none"/>
        </w:rPr>
      </w:pPr>
      <w:r>
        <w:rPr>
          <w:rFonts w:hint="eastAsia" w:ascii="宋体" w:hAnsi="宋体" w:cs="宋体"/>
          <w:color w:val="auto"/>
          <w:sz w:val="24"/>
          <w:highlight w:val="none"/>
        </w:rPr>
        <w:t>如果乙方提供的服务质量与合同不符，甲方有权根据合同约定向乙方提出索赔。</w:t>
      </w:r>
    </w:p>
    <w:p w14:paraId="400154F5">
      <w:pPr>
        <w:spacing w:line="360" w:lineRule="auto"/>
        <w:rPr>
          <w:rFonts w:ascii="宋体" w:hAnsi="宋体" w:cs="宋体"/>
          <w:b/>
          <w:bCs/>
          <w:color w:val="auto"/>
          <w:sz w:val="24"/>
          <w:highlight w:val="none"/>
        </w:rPr>
      </w:pPr>
      <w:bookmarkStart w:id="835" w:name="_Toc96998527"/>
      <w:r>
        <w:rPr>
          <w:rFonts w:hint="eastAsia" w:ascii="宋体" w:hAnsi="宋体" w:cs="宋体"/>
          <w:b/>
          <w:bCs/>
          <w:color w:val="auto"/>
          <w:sz w:val="24"/>
          <w:highlight w:val="none"/>
        </w:rPr>
        <w:t>7、延期提供</w:t>
      </w:r>
      <w:bookmarkEnd w:id="835"/>
      <w:r>
        <w:rPr>
          <w:rFonts w:hint="eastAsia" w:ascii="宋体" w:hAnsi="宋体" w:cs="宋体"/>
          <w:b/>
          <w:bCs/>
          <w:color w:val="auto"/>
          <w:sz w:val="24"/>
          <w:highlight w:val="none"/>
        </w:rPr>
        <w:t>服务</w:t>
      </w:r>
    </w:p>
    <w:p w14:paraId="01B89CAD">
      <w:pPr>
        <w:spacing w:line="360" w:lineRule="auto"/>
        <w:rPr>
          <w:rFonts w:ascii="宋体" w:hAnsi="宋体" w:cs="宋体"/>
          <w:color w:val="auto"/>
          <w:sz w:val="24"/>
          <w:highlight w:val="none"/>
        </w:rPr>
      </w:pPr>
      <w:r>
        <w:rPr>
          <w:rFonts w:hint="eastAsia" w:ascii="宋体" w:hAnsi="宋体" w:cs="宋体"/>
          <w:color w:val="auto"/>
          <w:sz w:val="24"/>
          <w:highlight w:val="none"/>
        </w:rPr>
        <w:t>7.1乙方应按照合同中规定的条款提供服务。</w:t>
      </w:r>
    </w:p>
    <w:p w14:paraId="56AA6D08">
      <w:pPr>
        <w:spacing w:line="360" w:lineRule="auto"/>
        <w:rPr>
          <w:rFonts w:ascii="宋体" w:hAnsi="宋体" w:cs="宋体"/>
          <w:color w:val="auto"/>
          <w:sz w:val="24"/>
          <w:highlight w:val="none"/>
        </w:rPr>
      </w:pPr>
      <w:r>
        <w:rPr>
          <w:rFonts w:hint="eastAsia" w:ascii="宋体" w:hAnsi="宋体" w:cs="宋体"/>
          <w:color w:val="auto"/>
          <w:sz w:val="24"/>
          <w:highlight w:val="none"/>
        </w:rPr>
        <w:t>7.2如果乙方延迟交货和/或提供服务并影响甲方正常履行合同的的，甲方可采取以下制裁: 收取违约金、赔偿金，直至解除合同。</w:t>
      </w:r>
    </w:p>
    <w:p w14:paraId="356E7C3C">
      <w:pPr>
        <w:spacing w:line="360" w:lineRule="auto"/>
        <w:rPr>
          <w:rFonts w:ascii="宋体" w:hAnsi="宋体" w:cs="宋体"/>
          <w:b/>
          <w:bCs/>
          <w:color w:val="auto"/>
          <w:sz w:val="24"/>
          <w:highlight w:val="none"/>
        </w:rPr>
      </w:pPr>
      <w:bookmarkStart w:id="836" w:name="_Toc96998528"/>
      <w:r>
        <w:rPr>
          <w:rFonts w:hint="eastAsia" w:ascii="宋体" w:hAnsi="宋体" w:cs="宋体"/>
          <w:b/>
          <w:color w:val="auto"/>
          <w:sz w:val="24"/>
          <w:highlight w:val="none"/>
        </w:rPr>
        <w:t>8</w:t>
      </w:r>
      <w:r>
        <w:rPr>
          <w:rFonts w:hint="eastAsia" w:ascii="宋体" w:hAnsi="宋体" w:cs="宋体"/>
          <w:b/>
          <w:bCs/>
          <w:color w:val="auto"/>
          <w:sz w:val="24"/>
          <w:highlight w:val="none"/>
        </w:rPr>
        <w:t>、违约赔偿</w:t>
      </w:r>
      <w:bookmarkEnd w:id="836"/>
    </w:p>
    <w:p w14:paraId="20432244">
      <w:pPr>
        <w:spacing w:line="360" w:lineRule="auto"/>
        <w:rPr>
          <w:rFonts w:ascii="宋体" w:hAnsi="宋体" w:cs="宋体"/>
          <w:color w:val="auto"/>
          <w:sz w:val="24"/>
          <w:highlight w:val="none"/>
        </w:rPr>
      </w:pPr>
      <w:r>
        <w:rPr>
          <w:rFonts w:hint="eastAsia" w:ascii="宋体" w:hAnsi="宋体" w:cs="宋体"/>
          <w:color w:val="auto"/>
          <w:sz w:val="24"/>
          <w:highlight w:val="none"/>
        </w:rPr>
        <w:t>如果乙方没有</w:t>
      </w:r>
      <w:bookmarkStart w:id="837" w:name="_Toc96998529"/>
      <w:r>
        <w:rPr>
          <w:rFonts w:hint="eastAsia" w:ascii="宋体" w:hAnsi="宋体" w:cs="宋体"/>
          <w:color w:val="auto"/>
          <w:sz w:val="24"/>
          <w:highlight w:val="none"/>
        </w:rPr>
        <w:t>按照合同规定的时间交货或提供服务，甲方可从应付款项中先行扣除违约金。</w:t>
      </w:r>
      <w:r>
        <w:rPr>
          <w:rFonts w:hint="eastAsia" w:ascii="宋体" w:hAnsi="宋体" w:cs="宋体"/>
          <w:color w:val="auto"/>
          <w:sz w:val="24"/>
          <w:highlight w:val="none"/>
          <w:lang w:val="en-US" w:eastAsia="zh-CN"/>
        </w:rPr>
        <w:t>延迟</w:t>
      </w:r>
      <w:r>
        <w:rPr>
          <w:rFonts w:hint="eastAsia" w:ascii="宋体" w:hAnsi="宋体" w:cs="宋体"/>
          <w:color w:val="auto"/>
          <w:sz w:val="24"/>
          <w:highlight w:val="none"/>
        </w:rPr>
        <w:t>违约金的计算标准为乙方每迟提供服务一天，按</w:t>
      </w:r>
      <w:r>
        <w:rPr>
          <w:rFonts w:hint="eastAsia" w:ascii="宋体" w:hAnsi="宋体" w:cs="宋体"/>
          <w:color w:val="auto"/>
          <w:sz w:val="24"/>
          <w:highlight w:val="none"/>
          <w:lang w:val="en-US" w:eastAsia="zh-Hans"/>
        </w:rPr>
        <w:t>合同总金额</w:t>
      </w:r>
      <w:r>
        <w:rPr>
          <w:rFonts w:hint="eastAsia" w:ascii="宋体" w:hAnsi="宋体" w:cs="宋体"/>
          <w:color w:val="auto"/>
          <w:sz w:val="24"/>
          <w:highlight w:val="none"/>
        </w:rPr>
        <w:t>的</w:t>
      </w:r>
      <w:r>
        <w:rPr>
          <w:rFonts w:hint="default" w:ascii="宋体" w:hAnsi="宋体" w:cs="宋体"/>
          <w:color w:val="auto"/>
          <w:sz w:val="24"/>
          <w:highlight w:val="none"/>
        </w:rPr>
        <w:t>0</w:t>
      </w:r>
      <w:r>
        <w:rPr>
          <w:rFonts w:hint="eastAsia" w:ascii="宋体" w:hAnsi="宋体" w:cs="宋体"/>
          <w:color w:val="auto"/>
          <w:sz w:val="24"/>
          <w:highlight w:val="none"/>
          <w:lang w:val="en-US" w:eastAsia="zh-Hans"/>
        </w:rPr>
        <w:t>.</w:t>
      </w:r>
      <w:r>
        <w:rPr>
          <w:rFonts w:hint="eastAsia" w:ascii="宋体" w:hAnsi="宋体" w:cs="宋体"/>
          <w:color w:val="auto"/>
          <w:sz w:val="24"/>
          <w:highlight w:val="none"/>
        </w:rPr>
        <w:t>1％计收。</w:t>
      </w:r>
      <w:r>
        <w:rPr>
          <w:rFonts w:hint="eastAsia" w:ascii="宋体" w:hAnsi="宋体" w:cs="宋体"/>
          <w:color w:val="auto"/>
          <w:sz w:val="24"/>
          <w:highlight w:val="none"/>
          <w:lang w:val="en-US" w:eastAsia="zh-CN"/>
        </w:rPr>
        <w:t>如</w:t>
      </w:r>
      <w:r>
        <w:rPr>
          <w:rFonts w:hint="eastAsia" w:ascii="宋体" w:hAnsi="宋体" w:cs="宋体"/>
          <w:color w:val="auto"/>
          <w:sz w:val="24"/>
          <w:highlight w:val="none"/>
        </w:rPr>
        <w:t>乙方出现未按合同约定（包括但不限于人员、地点、质量、数量、内容、形式等各项项目具体要求）承办委托项目的违约情形，该违约情形每出现一次，应当向甲方支付合同总金额</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%的违约金。如果违约金不足以弥补</w:t>
      </w:r>
      <w:r>
        <w:rPr>
          <w:rFonts w:hint="eastAsia" w:ascii="宋体" w:hAnsi="宋体" w:cs="宋体"/>
          <w:color w:val="auto"/>
          <w:sz w:val="24"/>
          <w:highlight w:val="none"/>
          <w:lang w:val="en-US" w:eastAsia="zh-Hans"/>
        </w:rPr>
        <w:t>甲方</w:t>
      </w:r>
      <w:r>
        <w:rPr>
          <w:rFonts w:hint="eastAsia" w:ascii="宋体" w:hAnsi="宋体" w:cs="宋体"/>
          <w:color w:val="auto"/>
          <w:sz w:val="24"/>
          <w:highlight w:val="none"/>
        </w:rPr>
        <w:t>损失的，甲方有权要求乙方支付赔偿金，补足违约金不足部分。如果乙方在超过</w:t>
      </w:r>
      <w:r>
        <w:rPr>
          <w:rFonts w:hint="eastAsia" w:ascii="宋体" w:hAnsi="宋体" w:cs="宋体"/>
          <w:b/>
          <w:color w:val="auto"/>
          <w:sz w:val="24"/>
          <w:highlight w:val="none"/>
        </w:rPr>
        <w:t>7</w:t>
      </w:r>
      <w:r>
        <w:rPr>
          <w:rFonts w:hint="eastAsia" w:ascii="宋体" w:hAnsi="宋体" w:cs="宋体"/>
          <w:color w:val="auto"/>
          <w:sz w:val="24"/>
          <w:highlight w:val="none"/>
        </w:rPr>
        <w:t>天后仍不能交货和/或提供服务，</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如乙方出现违约情形达到三次（包括三次）的甲方有权单方解除合同</w:t>
      </w:r>
      <w:r>
        <w:rPr>
          <w:rFonts w:hint="default" w:ascii="宋体" w:hAnsi="宋体" w:cs="宋体"/>
          <w:color w:val="auto"/>
          <w:sz w:val="24"/>
          <w:highlight w:val="none"/>
        </w:rPr>
        <w:t>，</w:t>
      </w:r>
      <w:r>
        <w:rPr>
          <w:rFonts w:hint="eastAsia" w:ascii="宋体" w:hAnsi="宋体" w:cs="宋体"/>
          <w:color w:val="auto"/>
          <w:sz w:val="24"/>
          <w:highlight w:val="none"/>
          <w:lang w:val="en-US" w:eastAsia="zh-Hans"/>
        </w:rPr>
        <w:t>乙方应退还甲方支付的全部合同款项</w:t>
      </w:r>
      <w:r>
        <w:rPr>
          <w:rFonts w:hint="default" w:ascii="宋体" w:hAnsi="宋体" w:cs="宋体"/>
          <w:color w:val="auto"/>
          <w:sz w:val="24"/>
          <w:highlight w:val="none"/>
          <w:lang w:eastAsia="zh-Hans"/>
        </w:rPr>
        <w:t>，</w:t>
      </w:r>
      <w:r>
        <w:rPr>
          <w:rFonts w:hint="eastAsia" w:ascii="宋体" w:hAnsi="宋体" w:cs="宋体"/>
          <w:color w:val="auto"/>
          <w:sz w:val="24"/>
          <w:highlight w:val="none"/>
          <w:lang w:val="en-US" w:eastAsia="zh-Hans"/>
        </w:rPr>
        <w:t>如给甲方造成其他损失的</w:t>
      </w:r>
      <w:r>
        <w:rPr>
          <w:rFonts w:hint="default" w:ascii="宋体" w:hAnsi="宋体" w:cs="宋体"/>
          <w:color w:val="auto"/>
          <w:sz w:val="24"/>
          <w:highlight w:val="none"/>
          <w:lang w:eastAsia="zh-Hans"/>
        </w:rPr>
        <w:t>，</w:t>
      </w:r>
      <w:r>
        <w:rPr>
          <w:rFonts w:hint="eastAsia" w:ascii="宋体" w:hAnsi="宋体" w:cs="宋体"/>
          <w:color w:val="auto"/>
          <w:sz w:val="24"/>
          <w:highlight w:val="none"/>
          <w:lang w:val="en-US" w:eastAsia="zh-Hans"/>
        </w:rPr>
        <w:t>乙方应予赔偿</w:t>
      </w:r>
      <w:r>
        <w:rPr>
          <w:rFonts w:hint="eastAsia" w:ascii="宋体" w:hAnsi="宋体" w:cs="宋体"/>
          <w:color w:val="auto"/>
          <w:sz w:val="24"/>
          <w:highlight w:val="none"/>
        </w:rPr>
        <w:t xml:space="preserve">。  </w:t>
      </w:r>
    </w:p>
    <w:p w14:paraId="22E8809C">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、不可抗力</w:t>
      </w:r>
      <w:bookmarkEnd w:id="837"/>
    </w:p>
    <w:p w14:paraId="7455E43A">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.1如果双方中任何一方由于战争、严重火灾、水灾、台风和地震以及其它经双方同意属于不可抗力的事故，致使合同履行受阻时，履行合同的期限应予延长，延长的期限应相当于事故所影响的时间。</w:t>
      </w:r>
    </w:p>
    <w:p w14:paraId="2ED15F55">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 受事故影响的一方应在不可抗力的事故发生后尽快以书面形式通知另一方，并在事故发生后14天内，将有关部门出具的证明文件用挂号信航寄给或送给另一方。</w:t>
      </w:r>
    </w:p>
    <w:p w14:paraId="30F39E47">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.3因不可抗力不能履行合同的，根据不可抗力的影响，当事人双方部分或全部免除责任，但法律另有规定的除外。当事人延迟履行合同后发生不可抗力的，不能免除责任。</w:t>
      </w:r>
    </w:p>
    <w:p w14:paraId="687556C5">
      <w:pPr>
        <w:pStyle w:val="56"/>
        <w:spacing w:line="360" w:lineRule="auto"/>
        <w:rPr>
          <w:rFonts w:hint="default" w:eastAsia="宋体"/>
          <w:color w:val="auto"/>
          <w:highlight w:val="none"/>
          <w:lang w:val="en-US" w:eastAsia="zh-CN"/>
        </w:rPr>
      </w:pPr>
      <w:r>
        <w:rPr>
          <w:rFonts w:hint="eastAsia" w:ascii="宋体" w:hAnsi="宋体" w:cs="宋体"/>
          <w:color w:val="auto"/>
          <w:sz w:val="24"/>
          <w:highlight w:val="none"/>
          <w:lang w:val="en-US" w:eastAsia="zh-CN"/>
        </w:rPr>
        <w:t>9.4如果不可抗力事件影响合同执行超过 30 天，双方则就未来合同的履行另行商议。如协商不成，就不可抗力所造成影响程度甲方有权决定是否继续履行或者终止本合同。如果双方决定终止合同，如甲方已经付款，乙方应在扣除实际发生的有确切合法有效单据证明的费用后在3日内向甲方返还余款。如甲方未付款，甲方应在乙方开具正规发票后30日内向乙方支付不可抗力发生前产生的实际费用。</w:t>
      </w:r>
    </w:p>
    <w:p w14:paraId="58C138EE">
      <w:pPr>
        <w:spacing w:line="360" w:lineRule="auto"/>
        <w:rPr>
          <w:rFonts w:ascii="宋体" w:hAnsi="宋体" w:cs="宋体"/>
          <w:b/>
          <w:bCs/>
          <w:color w:val="auto"/>
          <w:sz w:val="24"/>
          <w:highlight w:val="none"/>
        </w:rPr>
      </w:pPr>
      <w:bookmarkStart w:id="838" w:name="_Toc96998530"/>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、税费</w:t>
      </w:r>
      <w:bookmarkEnd w:id="838"/>
    </w:p>
    <w:p w14:paraId="7CCB737B">
      <w:pPr>
        <w:spacing w:line="360" w:lineRule="auto"/>
        <w:rPr>
          <w:rFonts w:ascii="宋体" w:hAnsi="宋体" w:cs="宋体"/>
          <w:color w:val="auto"/>
          <w:sz w:val="24"/>
          <w:highlight w:val="none"/>
        </w:rPr>
      </w:pPr>
      <w:r>
        <w:rPr>
          <w:rFonts w:hint="eastAsia" w:ascii="宋体" w:hAnsi="宋体" w:cs="宋体"/>
          <w:color w:val="auto"/>
          <w:sz w:val="24"/>
          <w:highlight w:val="none"/>
        </w:rPr>
        <w:t>与本合同有关的一切税费均适用中华人民共和国法律的相关规定。甲方与乙方按照中华人民共和国相关法律的规定各自承担其依法应承担的签订、履行本合同所需缴纳的税费。本合同价格为含税价格。</w:t>
      </w:r>
    </w:p>
    <w:p w14:paraId="5E9BD6A8">
      <w:pPr>
        <w:spacing w:line="360" w:lineRule="auto"/>
        <w:rPr>
          <w:rFonts w:ascii="宋体" w:hAnsi="宋体" w:cs="宋体"/>
          <w:b/>
          <w:bCs/>
          <w:color w:val="auto"/>
          <w:sz w:val="24"/>
          <w:highlight w:val="none"/>
        </w:rPr>
      </w:pPr>
      <w:bookmarkStart w:id="839" w:name="_Toc96998531"/>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履约保证金</w:t>
      </w:r>
      <w:bookmarkEnd w:id="839"/>
    </w:p>
    <w:p w14:paraId="629092C4">
      <w:pPr>
        <w:tabs>
          <w:tab w:val="left" w:pos="0"/>
        </w:tabs>
        <w:spacing w:before="120" w:line="360" w:lineRule="auto"/>
        <w:ind w:left="15" w:leftChars="7" w:firstLine="12" w:firstLineChars="5"/>
        <w:rPr>
          <w:rFonts w:ascii="宋体" w:hAnsi="宋体" w:cs="宋体"/>
          <w:color w:val="auto"/>
          <w:sz w:val="24"/>
          <w:highlight w:val="none"/>
        </w:rPr>
      </w:pPr>
      <w:bookmarkStart w:id="840" w:name="_Toc96998532"/>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.1 </w:t>
      </w:r>
      <w:r>
        <w:rPr>
          <w:rFonts w:hint="eastAsia" w:ascii="宋体" w:hAnsi="宋体" w:cs="宋体"/>
          <w:color w:val="auto"/>
          <w:sz w:val="24"/>
          <w:highlight w:val="none"/>
          <w:lang w:eastAsia="zh-CN"/>
        </w:rPr>
        <w:t>履约保证金</w:t>
      </w:r>
      <w:r>
        <w:rPr>
          <w:rFonts w:hint="eastAsia" w:ascii="宋体" w:hAnsi="宋体" w:cs="宋体"/>
          <w:color w:val="auto"/>
          <w:sz w:val="24"/>
          <w:highlight w:val="none"/>
        </w:rPr>
        <w:t>应当使用本合同指定货币，具体规定详见合同书中规定。</w:t>
      </w:r>
    </w:p>
    <w:p w14:paraId="756AEAD6">
      <w:pPr>
        <w:tabs>
          <w:tab w:val="left" w:pos="0"/>
        </w:tabs>
        <w:spacing w:before="120" w:line="360" w:lineRule="auto"/>
        <w:ind w:left="15" w:leftChars="7" w:firstLine="12" w:firstLineChars="5"/>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.2 </w:t>
      </w:r>
      <w:r>
        <w:rPr>
          <w:rFonts w:hint="eastAsia" w:ascii="宋体" w:hAnsi="宋体" w:cs="宋体"/>
          <w:color w:val="auto"/>
          <w:sz w:val="24"/>
          <w:highlight w:val="none"/>
          <w:lang w:eastAsia="zh-CN"/>
        </w:rPr>
        <w:t>履约保证金</w:t>
      </w:r>
      <w:r>
        <w:rPr>
          <w:rFonts w:hint="eastAsia" w:ascii="宋体" w:hAnsi="宋体" w:cs="宋体"/>
          <w:color w:val="auto"/>
          <w:sz w:val="24"/>
          <w:highlight w:val="none"/>
        </w:rPr>
        <w:t>用于补偿甲方因乙方不能履行其合同义务而蒙受的损失。</w:t>
      </w:r>
    </w:p>
    <w:p w14:paraId="24256F32">
      <w:pPr>
        <w:tabs>
          <w:tab w:val="left" w:pos="0"/>
        </w:tabs>
        <w:spacing w:before="120" w:line="360" w:lineRule="auto"/>
        <w:ind w:left="15" w:leftChars="7" w:firstLine="12" w:firstLineChars="5"/>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.3 </w:t>
      </w:r>
      <w:r>
        <w:rPr>
          <w:rFonts w:hint="eastAsia" w:ascii="宋体" w:hAnsi="宋体" w:cs="宋体"/>
          <w:color w:val="auto"/>
          <w:sz w:val="24"/>
          <w:highlight w:val="none"/>
          <w:lang w:eastAsia="zh-CN"/>
        </w:rPr>
        <w:t>履约保证金</w:t>
      </w:r>
      <w:r>
        <w:rPr>
          <w:rFonts w:hint="eastAsia" w:ascii="宋体" w:hAnsi="宋体" w:cs="宋体"/>
          <w:color w:val="auto"/>
          <w:sz w:val="24"/>
          <w:highlight w:val="none"/>
        </w:rPr>
        <w:t>在服务期满前完全有效。</w:t>
      </w:r>
    </w:p>
    <w:p w14:paraId="0AF3CE56">
      <w:pPr>
        <w:tabs>
          <w:tab w:val="left" w:pos="0"/>
        </w:tabs>
        <w:spacing w:before="120" w:line="360" w:lineRule="auto"/>
        <w:ind w:left="15" w:leftChars="7" w:firstLine="12" w:firstLineChars="5"/>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.4 如果乙方未能按合同规定履行其义务，甲方有权从履约保证</w:t>
      </w:r>
      <w:r>
        <w:rPr>
          <w:rFonts w:hint="eastAsia" w:ascii="宋体" w:hAnsi="宋体" w:cs="宋体"/>
          <w:color w:val="auto"/>
          <w:sz w:val="24"/>
          <w:highlight w:val="none"/>
          <w:lang w:val="en-US" w:eastAsia="zh-CN"/>
        </w:rPr>
        <w:t>金</w:t>
      </w:r>
      <w:r>
        <w:rPr>
          <w:rFonts w:hint="eastAsia" w:ascii="宋体" w:hAnsi="宋体" w:cs="宋体"/>
          <w:color w:val="auto"/>
          <w:sz w:val="24"/>
          <w:highlight w:val="none"/>
        </w:rPr>
        <w:t>中取得补偿。服务期结束后30天内，甲方将把</w:t>
      </w:r>
      <w:r>
        <w:rPr>
          <w:rFonts w:hint="eastAsia" w:ascii="宋体" w:hAnsi="宋体" w:cs="宋体"/>
          <w:color w:val="auto"/>
          <w:sz w:val="24"/>
          <w:highlight w:val="none"/>
          <w:lang w:eastAsia="zh-CN"/>
        </w:rPr>
        <w:t>履约保证金</w:t>
      </w:r>
      <w:r>
        <w:rPr>
          <w:rFonts w:hint="eastAsia" w:ascii="宋体" w:hAnsi="宋体" w:cs="宋体"/>
          <w:color w:val="auto"/>
          <w:sz w:val="24"/>
          <w:highlight w:val="none"/>
        </w:rPr>
        <w:t>退还乙方。</w:t>
      </w:r>
    </w:p>
    <w:p w14:paraId="19D1E636">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、合同争议的解决</w:t>
      </w:r>
      <w:bookmarkEnd w:id="840"/>
    </w:p>
    <w:p w14:paraId="1BD942CC">
      <w:pPr>
        <w:spacing w:line="360" w:lineRule="auto"/>
        <w:rPr>
          <w:rFonts w:ascii="宋体" w:hAnsi="宋体" w:cs="宋体"/>
          <w:color w:val="auto"/>
          <w:sz w:val="24"/>
          <w:highlight w:val="none"/>
        </w:rPr>
      </w:pPr>
      <w:r>
        <w:rPr>
          <w:rFonts w:hint="eastAsia" w:ascii="宋体" w:hAnsi="宋体" w:cs="宋体"/>
          <w:color w:val="auto"/>
          <w:sz w:val="24"/>
          <w:highlight w:val="none"/>
        </w:rPr>
        <w:t>甲方、乙方双方应通过友好协商， 解决在执行合同中所发生的或与本合同有关的一切争端，如果协商仍得不到解决，双方同意向甲方所在地的人民法院起诉解决。</w:t>
      </w:r>
    </w:p>
    <w:p w14:paraId="0FAE5117">
      <w:pPr>
        <w:spacing w:line="360" w:lineRule="auto"/>
        <w:rPr>
          <w:rFonts w:ascii="宋体" w:hAnsi="宋体" w:cs="宋体"/>
          <w:b/>
          <w:bCs/>
          <w:color w:val="auto"/>
          <w:sz w:val="24"/>
          <w:highlight w:val="none"/>
        </w:rPr>
      </w:pPr>
      <w:bookmarkStart w:id="841" w:name="_Toc96998533"/>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w:t>
      </w:r>
      <w:bookmarkEnd w:id="841"/>
      <w:r>
        <w:rPr>
          <w:rFonts w:hint="eastAsia" w:ascii="宋体" w:hAnsi="宋体" w:cs="宋体"/>
          <w:b/>
          <w:bCs/>
          <w:color w:val="auto"/>
          <w:sz w:val="24"/>
          <w:highlight w:val="none"/>
        </w:rPr>
        <w:t>合同变更和终止</w:t>
      </w:r>
    </w:p>
    <w:p w14:paraId="3851E6B4">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在本合同有效期内，如合同与其生效后新颁布的有关法律、法规、政策规定不符，由甲、乙双方协商变更，如能协商一致，按照符合新颁法律、法规、政策规定拟定补充合同执行；如不能达成一致，本合同解除。合同解除后，尚未发生的业务，停止履行。</w:t>
      </w:r>
    </w:p>
    <w:p w14:paraId="17AE764F">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.2 在乙方违约的情况下，甲方可向乙方发出书面通知，部分或全部终止合同。同时保留向乙方追诉的权利。</w:t>
      </w:r>
    </w:p>
    <w:p w14:paraId="5A8283EF">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.2.1乙方未能在合同规定的限期或甲方同意延长的限期内提供全部或部分服务, 合同解除； </w:t>
      </w:r>
    </w:p>
    <w:p w14:paraId="0C4448CF">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.2.2乙方未能履行合同规定的其它主要义务的；</w:t>
      </w:r>
    </w:p>
    <w:p w14:paraId="40CBBE8D">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.2.3在本合同履行过程中有腐败和欺诈行为的。</w:t>
      </w:r>
    </w:p>
    <w:p w14:paraId="6F7D3F15">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.2.3.1“腐败行为”和“欺诈行为”定义如下:</w:t>
      </w:r>
    </w:p>
    <w:p w14:paraId="3CC567D3">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.2.3.1.1“腐败行为”是指提供/给予/接受或索取任何有价值的东西来影响采购方在合同签订、履行过程中的行为。</w:t>
      </w:r>
    </w:p>
    <w:p w14:paraId="649A883F">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.2.3.1.2“欺诈行为”是指为了影响合同签订、履行过程，以谎报事实的方法，损害甲方的利益的行为。</w:t>
      </w:r>
    </w:p>
    <w:p w14:paraId="3954FAD0">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.3合同履行期间，如因乙方违反相关规定及本合同约定，甲方终止合同履行的，甲方需以书面形式通知乙方，通知送达乙方后本合同解除；合同解除前，本合同继续有效。</w:t>
      </w:r>
    </w:p>
    <w:p w14:paraId="7B5DD197">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.4本合同终止后，双方应对合同期间发生的应尽未尽事项负责结清，有关保密义务的条款对双方仍然有效。</w:t>
      </w:r>
    </w:p>
    <w:p w14:paraId="2CFA5D8F">
      <w:pPr>
        <w:spacing w:line="360" w:lineRule="auto"/>
        <w:rPr>
          <w:rFonts w:ascii="宋体" w:hAnsi="宋体" w:cs="宋体"/>
          <w:b/>
          <w:bCs/>
          <w:color w:val="auto"/>
          <w:sz w:val="24"/>
          <w:highlight w:val="none"/>
        </w:rPr>
      </w:pPr>
      <w:bookmarkStart w:id="842" w:name="_Toc96998534"/>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、破产终止</w:t>
      </w:r>
      <w:bookmarkEnd w:id="842"/>
      <w:r>
        <w:rPr>
          <w:rFonts w:hint="eastAsia" w:ascii="宋体" w:hAnsi="宋体" w:cs="宋体"/>
          <w:b/>
          <w:bCs/>
          <w:color w:val="auto"/>
          <w:sz w:val="24"/>
          <w:highlight w:val="none"/>
        </w:rPr>
        <w:t>合同</w:t>
      </w:r>
    </w:p>
    <w:p w14:paraId="3D4FE380">
      <w:pPr>
        <w:spacing w:line="360" w:lineRule="auto"/>
        <w:rPr>
          <w:rFonts w:ascii="宋体" w:hAnsi="宋体" w:cs="宋体"/>
          <w:color w:val="auto"/>
          <w:sz w:val="24"/>
          <w:highlight w:val="none"/>
        </w:rPr>
      </w:pPr>
      <w:r>
        <w:rPr>
          <w:rFonts w:hint="eastAsia" w:ascii="宋体" w:hAnsi="宋体" w:cs="宋体"/>
          <w:color w:val="auto"/>
          <w:sz w:val="24"/>
          <w:highlight w:val="none"/>
        </w:rPr>
        <w:t>如果乙方因破产、清算、注销、被吊销营业执照、停业等原因导致合同无法履行时，甲方可以书面形式通知乙方，单方解除合同而不给乙方补偿，但甲方必须以书面形式告知同级政府采购监督管理部门。该合同的解除将不损害或不影响甲方已经采取或将要采取的任何行动或补救措施的权利。</w:t>
      </w:r>
    </w:p>
    <w:p w14:paraId="5ECF934B">
      <w:pPr>
        <w:spacing w:line="360" w:lineRule="auto"/>
        <w:rPr>
          <w:rFonts w:ascii="宋体" w:hAnsi="宋体" w:cs="宋体"/>
          <w:b/>
          <w:bCs/>
          <w:color w:val="auto"/>
          <w:sz w:val="24"/>
          <w:highlight w:val="none"/>
        </w:rPr>
      </w:pPr>
      <w:bookmarkStart w:id="843" w:name="_Toc96998535"/>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、转让和分包</w:t>
      </w:r>
      <w:bookmarkEnd w:id="843"/>
    </w:p>
    <w:p w14:paraId="451E2B7D">
      <w:pPr>
        <w:spacing w:line="360" w:lineRule="auto"/>
        <w:rPr>
          <w:rFonts w:ascii="宋体" w:hAnsi="宋体" w:cs="宋体"/>
          <w:color w:val="auto"/>
          <w:sz w:val="24"/>
          <w:highlight w:val="none"/>
        </w:rPr>
      </w:pPr>
      <w:r>
        <w:rPr>
          <w:rFonts w:hint="eastAsia" w:ascii="宋体" w:hAnsi="宋体" w:cs="宋体"/>
          <w:color w:val="auto"/>
          <w:sz w:val="24"/>
          <w:highlight w:val="none"/>
        </w:rPr>
        <w:t>未经甲方事先书面同意，乙方不得部分转让或全部转让其所享有的合同权利或应履行的合同义务。并且未经甲方事先书面同意，乙方不得将本合同项目中实质性内容分包给其他第三方完成。否则，乙方应当向甲方支付合同总金额20%的违约金，并且于此情形下，甲方还有权解除合同。</w:t>
      </w:r>
    </w:p>
    <w:p w14:paraId="064D3865">
      <w:pPr>
        <w:spacing w:line="360" w:lineRule="auto"/>
        <w:rPr>
          <w:rFonts w:ascii="宋体" w:hAnsi="宋体" w:cs="宋体"/>
          <w:b/>
          <w:bCs/>
          <w:color w:val="auto"/>
          <w:sz w:val="24"/>
          <w:highlight w:val="none"/>
        </w:rPr>
      </w:pPr>
      <w:bookmarkStart w:id="844" w:name="_Toc96998536"/>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、合同修改</w:t>
      </w:r>
      <w:bookmarkEnd w:id="844"/>
    </w:p>
    <w:p w14:paraId="7CC675AF">
      <w:pPr>
        <w:spacing w:line="360" w:lineRule="auto"/>
        <w:rPr>
          <w:rFonts w:ascii="宋体" w:hAnsi="宋体" w:cs="宋体"/>
          <w:color w:val="auto"/>
          <w:sz w:val="24"/>
          <w:highlight w:val="none"/>
        </w:rPr>
      </w:pPr>
      <w:r>
        <w:rPr>
          <w:rFonts w:hint="eastAsia" w:ascii="宋体" w:hAnsi="宋体" w:cs="宋体"/>
          <w:color w:val="auto"/>
          <w:sz w:val="24"/>
          <w:highlight w:val="none"/>
        </w:rPr>
        <w:t>欲对合同条款进行任何改动，均须由甲方、乙方签署书面的合同修改书。</w:t>
      </w:r>
    </w:p>
    <w:p w14:paraId="7E2CA67B">
      <w:pPr>
        <w:spacing w:line="360" w:lineRule="auto"/>
        <w:rPr>
          <w:rFonts w:ascii="宋体" w:hAnsi="宋体" w:cs="宋体"/>
          <w:b/>
          <w:bCs/>
          <w:color w:val="auto"/>
          <w:sz w:val="24"/>
          <w:highlight w:val="none"/>
        </w:rPr>
      </w:pPr>
      <w:bookmarkStart w:id="845" w:name="_Toc96998537"/>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、通知</w:t>
      </w:r>
      <w:bookmarkEnd w:id="845"/>
    </w:p>
    <w:p w14:paraId="71FCDD94">
      <w:pPr>
        <w:spacing w:line="360" w:lineRule="auto"/>
        <w:rPr>
          <w:rFonts w:ascii="宋体" w:hAnsi="宋体" w:cs="宋体"/>
          <w:color w:val="auto"/>
          <w:sz w:val="24"/>
          <w:highlight w:val="none"/>
        </w:rPr>
      </w:pPr>
      <w:r>
        <w:rPr>
          <w:rFonts w:hint="eastAsia" w:ascii="宋体" w:hAnsi="宋体" w:cs="宋体"/>
          <w:color w:val="auto"/>
          <w:sz w:val="24"/>
          <w:highlight w:val="none"/>
        </w:rPr>
        <w:t>本合同任何一方给另一方的通知，都应以书面或传真的形式发送，而另一方应以书面形式确认并发送到对方明确的地址。</w:t>
      </w:r>
    </w:p>
    <w:p w14:paraId="04DD0AF8">
      <w:pPr>
        <w:spacing w:line="360" w:lineRule="auto"/>
        <w:rPr>
          <w:rFonts w:ascii="宋体" w:hAnsi="宋体" w:cs="宋体"/>
          <w:b/>
          <w:bCs/>
          <w:color w:val="auto"/>
          <w:sz w:val="24"/>
          <w:highlight w:val="none"/>
        </w:rPr>
      </w:pPr>
      <w:bookmarkStart w:id="846" w:name="_Toc96998539"/>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、知识产权条款</w:t>
      </w:r>
    </w:p>
    <w:p w14:paraId="1B31A3E9">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.1本项目成果的知识产权为甲方所有。未经甲方的许可，乙方不得向第三方转让、传播、销售。否则，乙方应当向甲方支付合同总金额20%的违约金。</w:t>
      </w:r>
    </w:p>
    <w:p w14:paraId="75C73A4A">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.2乙方应保证甲方在使用该项目成果时免受任何第三方提出的侵犯著作权、专利权或其他</w:t>
      </w:r>
      <w:r>
        <w:rPr>
          <w:rFonts w:hint="eastAsia" w:ascii="宋体" w:hAnsi="宋体" w:cs="宋体"/>
          <w:color w:val="auto"/>
          <w:sz w:val="24"/>
          <w:highlight w:val="none"/>
          <w:lang w:val="en-US" w:eastAsia="zh-Hans"/>
        </w:rPr>
        <w:t>合法权益</w:t>
      </w:r>
      <w:r>
        <w:rPr>
          <w:rFonts w:hint="eastAsia" w:ascii="宋体" w:hAnsi="宋体" w:cs="宋体"/>
          <w:color w:val="auto"/>
          <w:sz w:val="24"/>
          <w:highlight w:val="none"/>
        </w:rPr>
        <w:t>的诉讼或指控。如果任何第三方提起侵权</w:t>
      </w:r>
      <w:r>
        <w:rPr>
          <w:rFonts w:hint="eastAsia" w:ascii="宋体" w:hAnsi="宋体" w:cs="宋体"/>
          <w:color w:val="auto"/>
          <w:sz w:val="24"/>
          <w:highlight w:val="none"/>
          <w:lang w:val="en-US" w:eastAsia="zh-Hans"/>
        </w:rPr>
        <w:t>的</w:t>
      </w:r>
      <w:r>
        <w:rPr>
          <w:rFonts w:hint="eastAsia" w:ascii="宋体" w:hAnsi="宋体" w:cs="宋体"/>
          <w:color w:val="auto"/>
          <w:sz w:val="24"/>
          <w:highlight w:val="none"/>
        </w:rPr>
        <w:t>诉讼，将由乙方负责处理并承担相关的一切法律责任和费用；由此给甲方造成的任何损失，乙方应负责赔偿</w:t>
      </w:r>
      <w:r>
        <w:rPr>
          <w:rFonts w:hint="eastAsia" w:ascii="宋体" w:hAnsi="宋体" w:cs="宋体"/>
          <w:color w:val="auto"/>
          <w:sz w:val="24"/>
          <w:highlight w:val="none"/>
          <w:lang w:eastAsia="zh-CN"/>
        </w:rPr>
        <w:t>（包括但不限于诉讼仲裁费、律师费等甲方因维护权利支出的费用、法院或者仲裁机构最终裁定的侵权赔偿费用及甲方承担其他法律责任所造成的经济损失等）</w:t>
      </w:r>
      <w:r>
        <w:rPr>
          <w:rFonts w:hint="eastAsia" w:ascii="宋体" w:hAnsi="宋体" w:cs="宋体"/>
          <w:color w:val="auto"/>
          <w:sz w:val="24"/>
          <w:highlight w:val="none"/>
        </w:rPr>
        <w:t>。</w:t>
      </w:r>
    </w:p>
    <w:p w14:paraId="0745A0B4">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19</w:t>
      </w:r>
      <w:r>
        <w:rPr>
          <w:rFonts w:hint="eastAsia" w:ascii="宋体" w:hAnsi="宋体" w:cs="宋体"/>
          <w:b/>
          <w:bCs/>
          <w:color w:val="auto"/>
          <w:sz w:val="24"/>
          <w:highlight w:val="none"/>
        </w:rPr>
        <w:t>、技术情报和资料的保密</w:t>
      </w:r>
    </w:p>
    <w:p w14:paraId="0F449FC1">
      <w:pPr>
        <w:spacing w:line="360" w:lineRule="auto"/>
        <w:rPr>
          <w:rFonts w:ascii="宋体" w:hAnsi="宋体" w:cs="宋体"/>
          <w:bCs/>
          <w:color w:val="auto"/>
          <w:sz w:val="24"/>
          <w:highlight w:val="none"/>
        </w:rPr>
      </w:pPr>
      <w:r>
        <w:rPr>
          <w:rFonts w:hint="eastAsia" w:ascii="宋体" w:hAnsi="宋体" w:cs="宋体"/>
          <w:bCs/>
          <w:color w:val="auto"/>
          <w:sz w:val="24"/>
          <w:highlight w:val="none"/>
        </w:rPr>
        <w:t>乙方应对合同执行过程中的技术情报及资料履行保密义务。</w:t>
      </w:r>
    </w:p>
    <w:p w14:paraId="7C3EC572">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、适用法律</w:t>
      </w:r>
      <w:bookmarkEnd w:id="846"/>
    </w:p>
    <w:p w14:paraId="3EFC0B03">
      <w:pPr>
        <w:spacing w:line="360" w:lineRule="auto"/>
        <w:rPr>
          <w:rFonts w:ascii="宋体" w:hAnsi="宋体" w:cs="宋体"/>
          <w:color w:val="auto"/>
          <w:sz w:val="24"/>
          <w:highlight w:val="none"/>
        </w:rPr>
      </w:pPr>
      <w:r>
        <w:rPr>
          <w:rFonts w:hint="eastAsia" w:ascii="宋体" w:hAnsi="宋体" w:cs="宋体"/>
          <w:color w:val="auto"/>
          <w:sz w:val="24"/>
          <w:highlight w:val="none"/>
        </w:rPr>
        <w:t>本合同应按照中华人民共和国的法律进行解释。</w:t>
      </w:r>
    </w:p>
    <w:bookmarkEnd w:id="829"/>
    <w:bookmarkEnd w:id="830"/>
    <w:bookmarkEnd w:id="831"/>
    <w:p w14:paraId="09E534D0">
      <w:pPr>
        <w:spacing w:line="360" w:lineRule="auto"/>
        <w:rPr>
          <w:rFonts w:ascii="宋体" w:hAnsi="宋体" w:cs="宋体"/>
          <w:b/>
          <w:bCs/>
          <w:color w:val="auto"/>
          <w:sz w:val="24"/>
          <w:highlight w:val="none"/>
        </w:rPr>
      </w:pPr>
      <w:bookmarkStart w:id="847" w:name="_Toc96998540"/>
      <w:bookmarkStart w:id="848" w:name="_Toc12882"/>
      <w:bookmarkStart w:id="849" w:name="_Toc28794"/>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w:t>
      </w:r>
      <w:bookmarkEnd w:id="847"/>
      <w:r>
        <w:rPr>
          <w:rFonts w:hint="eastAsia" w:ascii="宋体" w:hAnsi="宋体" w:cs="宋体"/>
          <w:b/>
          <w:bCs/>
          <w:color w:val="auto"/>
          <w:sz w:val="24"/>
          <w:highlight w:val="none"/>
        </w:rPr>
        <w:t>其他</w:t>
      </w:r>
    </w:p>
    <w:p w14:paraId="2DF29914">
      <w:pPr>
        <w:spacing w:line="360" w:lineRule="auto"/>
        <w:ind w:left="14" w:hanging="14" w:hangingChars="6"/>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.1 甲方应当自政府采购合同签订之日起2个工作日内，将政府采购合同在省级以上人民政府财政部门指定的媒体上公告，但政府采购合同中涉及国家秘密、商业秘密的内容除外。</w:t>
      </w:r>
    </w:p>
    <w:p w14:paraId="5BEA471D">
      <w:pPr>
        <w:spacing w:before="120" w:line="360" w:lineRule="auto"/>
        <w:ind w:firstLine="120" w:firstLineChars="50"/>
        <w:rPr>
          <w:rFonts w:hint="eastAsia" w:ascii="宋体" w:hAnsi="宋体" w:eastAsia="宋体" w:cs="宋体"/>
          <w:color w:val="auto"/>
          <w:sz w:val="24"/>
          <w:szCs w:val="24"/>
          <w:highlight w:val="none"/>
          <w:u w:val="singl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 如需修改或补充合同内容，经协商，甲方与乙方应签署书面修改或补充合同，该合同将作为本合同的一个组成部分。</w:t>
      </w:r>
      <w:bookmarkEnd w:id="848"/>
      <w:bookmarkEnd w:id="849"/>
    </w:p>
    <w:p w14:paraId="36484858">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p w14:paraId="50A88A99">
      <w:pPr>
        <w:rPr>
          <w:rFonts w:ascii="宋体" w:hAnsi="宋体" w:cs="宋体"/>
          <w:b/>
          <w:color w:val="auto"/>
          <w:sz w:val="36"/>
          <w:szCs w:val="36"/>
          <w:highlight w:val="none"/>
        </w:rPr>
      </w:pPr>
    </w:p>
    <w:p w14:paraId="63203C87">
      <w:pPr>
        <w:pStyle w:val="56"/>
        <w:rPr>
          <w:color w:val="auto"/>
          <w:highlight w:val="none"/>
        </w:rPr>
      </w:pPr>
    </w:p>
    <w:p w14:paraId="1324C9B1">
      <w:pPr>
        <w:spacing w:line="360" w:lineRule="auto"/>
        <w:jc w:val="center"/>
        <w:outlineLvl w:val="0"/>
        <w:rPr>
          <w:rFonts w:ascii="宋体" w:hAnsi="宋体" w:cs="宋体"/>
          <w:b/>
          <w:bCs/>
          <w:color w:val="auto"/>
          <w:kern w:val="0"/>
          <w:sz w:val="24"/>
          <w:highlight w:val="none"/>
        </w:rPr>
      </w:pPr>
      <w:bookmarkStart w:id="850" w:name="_Toc4544"/>
      <w:r>
        <w:rPr>
          <w:rFonts w:hint="eastAsia" w:ascii="宋体" w:hAnsi="宋体" w:cs="宋体"/>
          <w:b/>
          <w:color w:val="auto"/>
          <w:sz w:val="36"/>
          <w:szCs w:val="36"/>
          <w:highlight w:val="none"/>
        </w:rPr>
        <w:t>第七章   投标文件格式</w:t>
      </w:r>
      <w:bookmarkEnd w:id="850"/>
    </w:p>
    <w:p w14:paraId="35FC1D8C">
      <w:pPr>
        <w:tabs>
          <w:tab w:val="left" w:pos="900"/>
          <w:tab w:val="left" w:pos="1980"/>
        </w:tabs>
        <w:snapToGrid w:val="0"/>
        <w:spacing w:line="360" w:lineRule="auto"/>
        <w:ind w:left="142"/>
        <w:rPr>
          <w:rFonts w:ascii="宋体" w:hAnsi="宋体" w:cs="宋体"/>
          <w:b/>
          <w:color w:val="auto"/>
          <w:sz w:val="24"/>
          <w:highlight w:val="none"/>
        </w:rPr>
      </w:pPr>
    </w:p>
    <w:p w14:paraId="3B23DDA1">
      <w:pPr>
        <w:tabs>
          <w:tab w:val="left" w:pos="900"/>
          <w:tab w:val="left" w:pos="1980"/>
        </w:tabs>
        <w:snapToGrid w:val="0"/>
        <w:spacing w:line="360" w:lineRule="auto"/>
        <w:ind w:left="142"/>
        <w:rPr>
          <w:rFonts w:ascii="宋体" w:hAnsi="宋体" w:cs="宋体"/>
          <w:color w:val="auto"/>
          <w:sz w:val="24"/>
          <w:highlight w:val="none"/>
        </w:rPr>
      </w:pPr>
      <w:r>
        <w:rPr>
          <w:rFonts w:hint="eastAsia" w:ascii="宋体" w:hAnsi="宋体" w:cs="宋体"/>
          <w:b/>
          <w:color w:val="auto"/>
          <w:sz w:val="24"/>
          <w:highlight w:val="none"/>
        </w:rPr>
        <w:t>投标人编制文件须知</w:t>
      </w:r>
    </w:p>
    <w:p w14:paraId="6A67D7C6">
      <w:pPr>
        <w:tabs>
          <w:tab w:val="left" w:pos="900"/>
          <w:tab w:val="left" w:pos="1980"/>
        </w:tabs>
        <w:snapToGrid w:val="0"/>
        <w:spacing w:line="360" w:lineRule="auto"/>
        <w:ind w:left="142"/>
        <w:rPr>
          <w:rFonts w:ascii="宋体" w:hAnsi="宋体" w:cs="宋体"/>
          <w:color w:val="auto"/>
          <w:sz w:val="24"/>
          <w:highlight w:val="none"/>
        </w:rPr>
      </w:pPr>
      <w:r>
        <w:rPr>
          <w:rFonts w:hint="eastAsia" w:ascii="宋体" w:hAnsi="宋体" w:cs="宋体"/>
          <w:color w:val="auto"/>
          <w:sz w:val="24"/>
          <w:highlight w:val="none"/>
        </w:rPr>
        <w:t>1、投标人按照本部分的顺序编制投标文件（资格证明文件）、投标文件（商务技术文件），编制中涉及格式资料的，应按照本部分提供的内容和格式（所有表格的格式可扩展）填写提交。</w:t>
      </w:r>
    </w:p>
    <w:p w14:paraId="4594B957">
      <w:pPr>
        <w:tabs>
          <w:tab w:val="left" w:pos="900"/>
          <w:tab w:val="left" w:pos="1980"/>
        </w:tabs>
        <w:snapToGrid w:val="0"/>
        <w:spacing w:line="360" w:lineRule="auto"/>
        <w:ind w:left="142"/>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对于招标文件中标记了“实质性格式”文件的，</w:t>
      </w:r>
      <w:r>
        <w:rPr>
          <w:rFonts w:hint="eastAsia" w:ascii="宋体" w:hAnsi="宋体" w:cs="宋体"/>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color w:val="auto"/>
          <w:kern w:val="0"/>
          <w:sz w:val="24"/>
          <w:highlight w:val="none"/>
        </w:rPr>
        <w:t>否则</w:t>
      </w:r>
      <w:r>
        <w:rPr>
          <w:rFonts w:hint="eastAsia" w:ascii="宋体" w:hAnsi="宋体" w:cs="宋体"/>
          <w:b/>
          <w:color w:val="auto"/>
          <w:kern w:val="0"/>
          <w:sz w:val="24"/>
          <w:highlight w:val="none"/>
        </w:rPr>
        <w:t>投标无效</w:t>
      </w:r>
      <w:r>
        <w:rPr>
          <w:rFonts w:hint="eastAsia" w:ascii="宋体" w:hAnsi="宋体" w:cs="宋体"/>
          <w:color w:val="auto"/>
          <w:kern w:val="0"/>
          <w:sz w:val="24"/>
          <w:highlight w:val="none"/>
        </w:rPr>
        <w:t>。未标记“实质性格式”的文件和招标文件未提供格式的内容，可由投标人自行编写。</w:t>
      </w:r>
    </w:p>
    <w:p w14:paraId="472EDBE0">
      <w:pPr>
        <w:tabs>
          <w:tab w:val="left" w:pos="900"/>
          <w:tab w:val="left" w:pos="1980"/>
        </w:tabs>
        <w:snapToGrid w:val="0"/>
        <w:spacing w:line="360" w:lineRule="auto"/>
        <w:ind w:left="142"/>
        <w:rPr>
          <w:rFonts w:ascii="宋体" w:hAnsi="宋体" w:cs="宋体"/>
          <w:color w:val="auto"/>
          <w:sz w:val="24"/>
          <w:highlight w:val="none"/>
        </w:rPr>
      </w:pPr>
      <w:r>
        <w:rPr>
          <w:rFonts w:hint="eastAsia" w:ascii="宋体" w:hAnsi="宋体" w:cs="宋体"/>
          <w:color w:val="auto"/>
          <w:sz w:val="24"/>
          <w:highlight w:val="none"/>
        </w:rPr>
        <w:t>3、全部声明和问题的回答及所附材料必须是真实的、准确的和完整的。</w:t>
      </w:r>
    </w:p>
    <w:p w14:paraId="300749A6">
      <w:pPr>
        <w:widowControl/>
        <w:jc w:val="left"/>
        <w:rPr>
          <w:rFonts w:ascii="宋体" w:hAnsi="宋体" w:cs="宋体"/>
          <w:color w:val="auto"/>
          <w:sz w:val="24"/>
          <w:highlight w:val="none"/>
        </w:rPr>
      </w:pPr>
      <w:r>
        <w:rPr>
          <w:rFonts w:hint="eastAsia" w:ascii="宋体" w:hAnsi="宋体" w:cs="宋体"/>
          <w:color w:val="auto"/>
          <w:sz w:val="24"/>
          <w:highlight w:val="none"/>
        </w:rPr>
        <w:br w:type="page"/>
      </w:r>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14:paraId="5830707F">
      <w:pPr>
        <w:keepNext/>
        <w:keepLines/>
        <w:autoSpaceDE w:val="0"/>
        <w:autoSpaceDN w:val="0"/>
        <w:adjustRightInd w:val="0"/>
        <w:spacing w:before="120" w:line="300" w:lineRule="auto"/>
        <w:jc w:val="left"/>
        <w:outlineLvl w:val="1"/>
        <w:rPr>
          <w:rFonts w:ascii="宋体" w:hAnsi="宋体" w:cs="宋体"/>
          <w:b/>
          <w:color w:val="auto"/>
          <w:kern w:val="0"/>
          <w:sz w:val="30"/>
          <w:szCs w:val="20"/>
          <w:highlight w:val="none"/>
        </w:rPr>
      </w:pPr>
      <w:r>
        <w:rPr>
          <w:rFonts w:hint="eastAsia" w:ascii="宋体" w:hAnsi="宋体" w:cs="宋体"/>
          <w:b/>
          <w:color w:val="auto"/>
          <w:spacing w:val="20"/>
          <w:sz w:val="24"/>
          <w:highlight w:val="none"/>
        </w:rPr>
        <w:t>一、资格证明文件格式</w:t>
      </w:r>
    </w:p>
    <w:p w14:paraId="08E7E7C9">
      <w:pPr>
        <w:rPr>
          <w:rFonts w:ascii="宋体" w:hAnsi="宋体" w:cs="宋体"/>
          <w:b/>
          <w:color w:val="auto"/>
          <w:spacing w:val="20"/>
          <w:szCs w:val="21"/>
          <w:highlight w:val="none"/>
        </w:rPr>
      </w:pPr>
    </w:p>
    <w:p w14:paraId="2FE2B303">
      <w:pPr>
        <w:rPr>
          <w:rFonts w:ascii="宋体" w:hAnsi="宋体" w:cs="宋体"/>
          <w:b/>
          <w:color w:val="auto"/>
          <w:sz w:val="24"/>
          <w:highlight w:val="none"/>
        </w:rPr>
      </w:pPr>
      <w:r>
        <w:rPr>
          <w:rFonts w:hint="eastAsia" w:ascii="宋体" w:hAnsi="宋体" w:cs="宋体"/>
          <w:b/>
          <w:color w:val="auto"/>
          <w:spacing w:val="20"/>
          <w:sz w:val="24"/>
          <w:highlight w:val="none"/>
        </w:rPr>
        <w:t>投标文件（资格证明文件）</w:t>
      </w:r>
      <w:r>
        <w:rPr>
          <w:rFonts w:hint="eastAsia" w:ascii="宋体" w:hAnsi="宋体" w:cs="宋体"/>
          <w:b/>
          <w:color w:val="auto"/>
          <w:sz w:val="24"/>
          <w:highlight w:val="none"/>
        </w:rPr>
        <w:t>封面（非实质性格式）</w:t>
      </w:r>
    </w:p>
    <w:p w14:paraId="436273F6">
      <w:pPr>
        <w:jc w:val="center"/>
        <w:rPr>
          <w:rFonts w:ascii="宋体" w:hAnsi="宋体" w:cs="宋体"/>
          <w:color w:val="auto"/>
          <w:szCs w:val="21"/>
          <w:highlight w:val="none"/>
        </w:rPr>
      </w:pPr>
    </w:p>
    <w:p w14:paraId="4D922243">
      <w:pPr>
        <w:jc w:val="center"/>
        <w:rPr>
          <w:rFonts w:ascii="宋体" w:hAnsi="宋体" w:cs="宋体"/>
          <w:b/>
          <w:color w:val="auto"/>
          <w:spacing w:val="60"/>
          <w:sz w:val="84"/>
          <w:szCs w:val="84"/>
          <w:highlight w:val="none"/>
        </w:rPr>
      </w:pPr>
      <w:r>
        <w:rPr>
          <w:rFonts w:hint="eastAsia" w:ascii="宋体" w:hAnsi="宋体" w:cs="宋体"/>
          <w:b/>
          <w:color w:val="auto"/>
          <w:spacing w:val="60"/>
          <w:sz w:val="84"/>
          <w:szCs w:val="84"/>
          <w:highlight w:val="none"/>
        </w:rPr>
        <w:t>投 标 文 件</w:t>
      </w:r>
    </w:p>
    <w:p w14:paraId="3BD4F7D6">
      <w:pPr>
        <w:jc w:val="center"/>
        <w:rPr>
          <w:rFonts w:ascii="宋体" w:hAnsi="宋体" w:cs="宋体"/>
          <w:b/>
          <w:color w:val="auto"/>
          <w:spacing w:val="60"/>
          <w:sz w:val="52"/>
          <w:szCs w:val="52"/>
          <w:highlight w:val="none"/>
        </w:rPr>
      </w:pPr>
      <w:r>
        <w:rPr>
          <w:rFonts w:hint="eastAsia" w:ascii="宋体" w:hAnsi="宋体" w:cs="宋体"/>
          <w:b/>
          <w:color w:val="auto"/>
          <w:spacing w:val="60"/>
          <w:sz w:val="52"/>
          <w:szCs w:val="52"/>
          <w:highlight w:val="none"/>
        </w:rPr>
        <w:t>（资格证明文件）</w:t>
      </w:r>
    </w:p>
    <w:p w14:paraId="65328CCE">
      <w:pPr>
        <w:ind w:firstLine="542" w:firstLineChars="150"/>
        <w:rPr>
          <w:rFonts w:ascii="宋体" w:hAnsi="宋体" w:cs="宋体"/>
          <w:b/>
          <w:color w:val="auto"/>
          <w:spacing w:val="20"/>
          <w:sz w:val="32"/>
          <w:szCs w:val="32"/>
          <w:highlight w:val="none"/>
        </w:rPr>
      </w:pPr>
    </w:p>
    <w:p w14:paraId="14C01B3E">
      <w:pPr>
        <w:ind w:firstLine="542" w:firstLineChars="150"/>
        <w:rPr>
          <w:rFonts w:ascii="宋体" w:hAnsi="宋体" w:cs="宋体"/>
          <w:b/>
          <w:color w:val="auto"/>
          <w:spacing w:val="20"/>
          <w:sz w:val="32"/>
          <w:szCs w:val="32"/>
          <w:highlight w:val="none"/>
        </w:rPr>
      </w:pPr>
    </w:p>
    <w:p w14:paraId="0E8BEF48">
      <w:pPr>
        <w:ind w:firstLine="542" w:firstLineChars="150"/>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项目名称:</w:t>
      </w:r>
    </w:p>
    <w:p w14:paraId="1C684F6C">
      <w:pPr>
        <w:ind w:firstLine="542" w:firstLineChars="150"/>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项目编号/包号：</w:t>
      </w:r>
    </w:p>
    <w:p w14:paraId="04798FDF">
      <w:pPr>
        <w:ind w:firstLine="542" w:firstLineChars="150"/>
        <w:rPr>
          <w:rFonts w:ascii="宋体" w:hAnsi="宋体" w:cs="宋体"/>
          <w:b/>
          <w:color w:val="auto"/>
          <w:spacing w:val="20"/>
          <w:sz w:val="32"/>
          <w:szCs w:val="32"/>
          <w:highlight w:val="none"/>
        </w:rPr>
      </w:pPr>
    </w:p>
    <w:p w14:paraId="5DC1DBBE">
      <w:pPr>
        <w:ind w:firstLine="542" w:firstLineChars="150"/>
        <w:rPr>
          <w:rFonts w:ascii="宋体" w:hAnsi="宋体" w:cs="宋体"/>
          <w:b/>
          <w:color w:val="auto"/>
          <w:spacing w:val="20"/>
          <w:sz w:val="32"/>
          <w:szCs w:val="32"/>
          <w:highlight w:val="none"/>
        </w:rPr>
      </w:pPr>
    </w:p>
    <w:p w14:paraId="4932A83C">
      <w:pPr>
        <w:jc w:val="center"/>
        <w:rPr>
          <w:rFonts w:ascii="宋体" w:hAnsi="宋体" w:cs="宋体"/>
          <w:b/>
          <w:color w:val="auto"/>
          <w:sz w:val="32"/>
          <w:szCs w:val="32"/>
          <w:highlight w:val="none"/>
        </w:rPr>
      </w:pPr>
    </w:p>
    <w:p w14:paraId="5987F8E0">
      <w:pPr>
        <w:jc w:val="center"/>
        <w:rPr>
          <w:rFonts w:ascii="宋体" w:hAnsi="宋体" w:cs="宋体"/>
          <w:b/>
          <w:color w:val="auto"/>
          <w:sz w:val="32"/>
          <w:szCs w:val="32"/>
          <w:highlight w:val="none"/>
        </w:rPr>
      </w:pPr>
    </w:p>
    <w:p w14:paraId="5B30D2F3">
      <w:pPr>
        <w:jc w:val="center"/>
        <w:rPr>
          <w:rFonts w:ascii="宋体" w:hAnsi="宋体" w:cs="宋体"/>
          <w:b/>
          <w:color w:val="auto"/>
          <w:sz w:val="32"/>
          <w:szCs w:val="32"/>
          <w:highlight w:val="none"/>
        </w:rPr>
      </w:pPr>
    </w:p>
    <w:p w14:paraId="456E4FA5">
      <w:pPr>
        <w:jc w:val="center"/>
        <w:rPr>
          <w:rFonts w:ascii="宋体" w:hAnsi="宋体" w:cs="宋体"/>
          <w:b/>
          <w:color w:val="auto"/>
          <w:spacing w:val="20"/>
          <w:sz w:val="32"/>
          <w:szCs w:val="32"/>
          <w:highlight w:val="none"/>
        </w:rPr>
      </w:pPr>
    </w:p>
    <w:p w14:paraId="08F59BD7">
      <w:pPr>
        <w:jc w:val="center"/>
        <w:rPr>
          <w:rFonts w:ascii="宋体" w:hAnsi="宋体" w:cs="宋体"/>
          <w:b/>
          <w:color w:val="auto"/>
          <w:spacing w:val="20"/>
          <w:sz w:val="32"/>
          <w:szCs w:val="32"/>
          <w:highlight w:val="none"/>
        </w:rPr>
      </w:pPr>
    </w:p>
    <w:p w14:paraId="4D6EA501">
      <w:pPr>
        <w:jc w:val="center"/>
        <w:rPr>
          <w:rFonts w:ascii="宋体" w:hAnsi="宋体" w:cs="宋体"/>
          <w:b/>
          <w:color w:val="auto"/>
          <w:spacing w:val="20"/>
          <w:sz w:val="32"/>
          <w:szCs w:val="32"/>
          <w:highlight w:val="none"/>
        </w:rPr>
      </w:pPr>
    </w:p>
    <w:p w14:paraId="4611D594">
      <w:pPr>
        <w:spacing w:line="360" w:lineRule="auto"/>
        <w:ind w:firstLine="1445" w:firstLineChars="400"/>
        <w:jc w:val="left"/>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投标人名称：</w:t>
      </w:r>
    </w:p>
    <w:p w14:paraId="713A4BB9">
      <w:pPr>
        <w:jc w:val="center"/>
        <w:rPr>
          <w:rFonts w:ascii="宋体" w:hAnsi="宋体" w:cs="宋体"/>
          <w:b/>
          <w:color w:val="auto"/>
          <w:sz w:val="32"/>
          <w:szCs w:val="32"/>
          <w:highlight w:val="none"/>
        </w:rPr>
      </w:pPr>
    </w:p>
    <w:p w14:paraId="4FB45A1B">
      <w:pPr>
        <w:rPr>
          <w:rFonts w:ascii="宋体" w:hAnsi="宋体" w:cs="宋体"/>
          <w:b/>
          <w:color w:val="auto"/>
          <w:highlight w:val="none"/>
        </w:rPr>
      </w:pPr>
      <w:r>
        <w:rPr>
          <w:rFonts w:hint="eastAsia" w:ascii="宋体" w:hAnsi="宋体" w:cs="宋体"/>
          <w:b/>
          <w:color w:val="auto"/>
          <w:spacing w:val="20"/>
          <w:sz w:val="32"/>
          <w:szCs w:val="32"/>
          <w:highlight w:val="none"/>
        </w:rPr>
        <w:br w:type="page"/>
      </w:r>
    </w:p>
    <w:p w14:paraId="260E4B52">
      <w:pPr>
        <w:spacing w:line="360" w:lineRule="auto"/>
        <w:outlineLvl w:val="2"/>
        <w:rPr>
          <w:rFonts w:ascii="宋体" w:hAnsi="宋体" w:cs="宋体"/>
          <w:color w:val="auto"/>
          <w:sz w:val="24"/>
          <w:szCs w:val="20"/>
          <w:highlight w:val="none"/>
        </w:rPr>
      </w:pPr>
      <w:r>
        <w:rPr>
          <w:rFonts w:hint="eastAsia" w:ascii="宋体" w:hAnsi="宋体" w:cs="宋体"/>
          <w:color w:val="auto"/>
          <w:sz w:val="24"/>
          <w:szCs w:val="20"/>
          <w:highlight w:val="none"/>
        </w:rPr>
        <w:t xml:space="preserve">1 </w:t>
      </w:r>
      <w:r>
        <w:rPr>
          <w:rFonts w:hint="eastAsia" w:ascii="宋体" w:hAnsi="宋体" w:cs="宋体"/>
          <w:color w:val="auto"/>
          <w:sz w:val="24"/>
          <w:highlight w:val="none"/>
        </w:rPr>
        <w:t>满足《中华人民共和国政府采购法》第二十二条规定</w:t>
      </w:r>
    </w:p>
    <w:p w14:paraId="15B321AF">
      <w:pPr>
        <w:pStyle w:val="253"/>
        <w:ind w:firstLine="0" w:firstLineChars="0"/>
        <w:jc w:val="left"/>
        <w:rPr>
          <w:rFonts w:ascii="宋体" w:hAnsi="宋体" w:cs="宋体"/>
          <w:color w:val="auto"/>
          <w:highlight w:val="none"/>
        </w:rPr>
      </w:pPr>
      <w:r>
        <w:rPr>
          <w:rFonts w:hint="eastAsia" w:ascii="宋体" w:hAnsi="宋体" w:cs="宋体"/>
          <w:color w:val="auto"/>
          <w:highlight w:val="none"/>
        </w:rPr>
        <w:t xml:space="preserve">1-1营业执照等证明文件 </w:t>
      </w:r>
    </w:p>
    <w:p w14:paraId="74CB5A11">
      <w:pPr>
        <w:tabs>
          <w:tab w:val="left" w:pos="1080"/>
        </w:tabs>
        <w:snapToGrid w:val="0"/>
        <w:rPr>
          <w:rFonts w:ascii="宋体" w:hAnsi="宋体" w:cs="宋体"/>
          <w:color w:val="auto"/>
          <w:sz w:val="24"/>
          <w:highlight w:val="none"/>
        </w:rPr>
      </w:pPr>
    </w:p>
    <w:p w14:paraId="4B271989">
      <w:pPr>
        <w:spacing w:line="360" w:lineRule="auto"/>
        <w:outlineLvl w:val="2"/>
        <w:rPr>
          <w:rFonts w:ascii="宋体" w:hAnsi="宋体" w:cs="宋体"/>
          <w:b/>
          <w:bCs/>
          <w:color w:val="auto"/>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1-</w:t>
      </w:r>
      <w:r>
        <w:rPr>
          <w:rFonts w:hint="eastAsia" w:ascii="宋体" w:hAnsi="宋体" w:cs="宋体"/>
          <w:color w:val="auto"/>
          <w:sz w:val="24"/>
          <w:szCs w:val="20"/>
          <w:highlight w:val="none"/>
        </w:rPr>
        <w:t xml:space="preserve">2 投标人资格声明书 </w:t>
      </w:r>
    </w:p>
    <w:p w14:paraId="25FFBAD0">
      <w:pPr>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投标人资格声明书</w:t>
      </w:r>
    </w:p>
    <w:p w14:paraId="339060BF">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采购人或采购代理机构</w:t>
      </w:r>
    </w:p>
    <w:p w14:paraId="7F1D42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在参与本次项目投标中，我单位承诺：</w:t>
      </w:r>
    </w:p>
    <w:p w14:paraId="7F08B3AD">
      <w:pPr>
        <w:numPr>
          <w:ilvl w:val="0"/>
          <w:numId w:val="15"/>
        </w:numPr>
        <w:spacing w:line="360" w:lineRule="auto"/>
        <w:ind w:left="1134"/>
        <w:rPr>
          <w:rFonts w:ascii="宋体" w:hAnsi="宋体" w:cs="宋体"/>
          <w:color w:val="auto"/>
          <w:sz w:val="24"/>
          <w:szCs w:val="22"/>
          <w:highlight w:val="none"/>
        </w:rPr>
      </w:pPr>
      <w:r>
        <w:rPr>
          <w:rFonts w:hint="eastAsia" w:ascii="宋体" w:hAnsi="宋体" w:cs="宋体"/>
          <w:color w:val="auto"/>
          <w:sz w:val="24"/>
          <w:szCs w:val="22"/>
          <w:highlight w:val="none"/>
        </w:rPr>
        <w:t>具有良好的商业信誉和健全的财务会计制度；</w:t>
      </w:r>
    </w:p>
    <w:p w14:paraId="3FED22CD">
      <w:pPr>
        <w:numPr>
          <w:ilvl w:val="0"/>
          <w:numId w:val="15"/>
        </w:numPr>
        <w:spacing w:line="360" w:lineRule="auto"/>
        <w:ind w:left="1134"/>
        <w:rPr>
          <w:rFonts w:ascii="宋体" w:hAnsi="宋体" w:cs="宋体"/>
          <w:color w:val="auto"/>
          <w:sz w:val="24"/>
          <w:szCs w:val="22"/>
          <w:highlight w:val="none"/>
        </w:rPr>
      </w:pPr>
      <w:r>
        <w:rPr>
          <w:rFonts w:hint="eastAsia" w:ascii="宋体" w:hAnsi="宋体" w:cs="宋体"/>
          <w:color w:val="auto"/>
          <w:sz w:val="24"/>
          <w:szCs w:val="22"/>
          <w:highlight w:val="none"/>
        </w:rPr>
        <w:t>具有履行合同所必需的设备和专业技术能力；</w:t>
      </w:r>
    </w:p>
    <w:p w14:paraId="67E7C8E8">
      <w:pPr>
        <w:numPr>
          <w:ilvl w:val="0"/>
          <w:numId w:val="15"/>
        </w:numPr>
        <w:spacing w:line="360" w:lineRule="auto"/>
        <w:ind w:left="1134"/>
        <w:rPr>
          <w:rFonts w:ascii="宋体" w:hAnsi="宋体" w:cs="宋体"/>
          <w:color w:val="auto"/>
          <w:sz w:val="24"/>
          <w:szCs w:val="22"/>
          <w:highlight w:val="none"/>
        </w:rPr>
      </w:pPr>
      <w:r>
        <w:rPr>
          <w:rFonts w:hint="eastAsia" w:ascii="宋体" w:hAnsi="宋体" w:cs="宋体"/>
          <w:color w:val="auto"/>
          <w:sz w:val="24"/>
          <w:szCs w:val="22"/>
          <w:highlight w:val="none"/>
        </w:rPr>
        <w:t>有依法缴纳税收和社会保障资金的良好记录；</w:t>
      </w:r>
    </w:p>
    <w:p w14:paraId="2E38507A">
      <w:pPr>
        <w:numPr>
          <w:ilvl w:val="0"/>
          <w:numId w:val="15"/>
        </w:numPr>
        <w:spacing w:line="360" w:lineRule="auto"/>
        <w:ind w:left="1134"/>
        <w:rPr>
          <w:rFonts w:ascii="宋体" w:hAnsi="宋体" w:cs="宋体"/>
          <w:color w:val="auto"/>
          <w:sz w:val="24"/>
          <w:szCs w:val="22"/>
          <w:highlight w:val="none"/>
        </w:rPr>
      </w:pPr>
      <w:r>
        <w:rPr>
          <w:rFonts w:hint="eastAsia" w:ascii="宋体" w:hAnsi="宋体" w:cs="宋体"/>
          <w:color w:val="auto"/>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0D0F43B">
      <w:pPr>
        <w:numPr>
          <w:ilvl w:val="0"/>
          <w:numId w:val="15"/>
        </w:numPr>
        <w:spacing w:line="360" w:lineRule="auto"/>
        <w:ind w:left="1134"/>
        <w:rPr>
          <w:rFonts w:ascii="宋体" w:hAnsi="宋体" w:cs="宋体"/>
          <w:color w:val="auto"/>
          <w:sz w:val="24"/>
          <w:szCs w:val="22"/>
          <w:highlight w:val="none"/>
        </w:rPr>
      </w:pPr>
      <w:r>
        <w:rPr>
          <w:rFonts w:hint="eastAsia" w:ascii="宋体" w:hAnsi="宋体" w:cs="宋体"/>
          <w:color w:val="auto"/>
          <w:sz w:val="24"/>
          <w:szCs w:val="22"/>
          <w:highlight w:val="none"/>
        </w:rPr>
        <w:t>我单位不属于政府采购法律、行政法规规定的公益一类事业单位、或使用事业编制且由财政拨款保障的群团组织（仅适用于政府购买服务项目）；</w:t>
      </w:r>
    </w:p>
    <w:p w14:paraId="27771BD4">
      <w:pPr>
        <w:numPr>
          <w:ilvl w:val="0"/>
          <w:numId w:val="15"/>
        </w:numPr>
        <w:spacing w:line="360" w:lineRule="auto"/>
        <w:ind w:left="1134"/>
        <w:rPr>
          <w:rFonts w:ascii="宋体" w:hAnsi="宋体" w:cs="宋体"/>
          <w:color w:val="auto"/>
          <w:sz w:val="24"/>
          <w:szCs w:val="22"/>
          <w:highlight w:val="none"/>
        </w:rPr>
      </w:pPr>
      <w:r>
        <w:rPr>
          <w:rFonts w:hint="eastAsia" w:ascii="宋体" w:hAnsi="宋体" w:cs="宋体"/>
          <w:color w:val="auto"/>
          <w:sz w:val="24"/>
          <w:szCs w:val="22"/>
          <w:highlight w:val="none"/>
        </w:rPr>
        <w:t>我单位不存在为采购项目提供整体设计、规范编制或者项目管理、监理、检测等服务后，再参加该采购项目的其他采购活动的情形（单一来源采购项目除外）；</w:t>
      </w:r>
    </w:p>
    <w:p w14:paraId="488664B7">
      <w:pPr>
        <w:numPr>
          <w:ilvl w:val="0"/>
          <w:numId w:val="15"/>
        </w:numPr>
        <w:spacing w:line="360" w:lineRule="auto"/>
        <w:ind w:left="1134"/>
        <w:rPr>
          <w:rFonts w:ascii="宋体" w:hAnsi="宋体" w:cs="宋体"/>
          <w:color w:val="auto"/>
          <w:sz w:val="24"/>
          <w:szCs w:val="22"/>
          <w:highlight w:val="none"/>
        </w:rPr>
      </w:pPr>
      <w:r>
        <w:rPr>
          <w:rFonts w:hint="eastAsia" w:ascii="宋体" w:hAnsi="宋体" w:cs="宋体"/>
          <w:color w:val="auto"/>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2D75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FE56A65">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4574" w:type="dxa"/>
            <w:vAlign w:val="center"/>
          </w:tcPr>
          <w:p w14:paraId="380D22FF">
            <w:pPr>
              <w:jc w:val="center"/>
              <w:rPr>
                <w:rFonts w:ascii="宋体" w:hAnsi="宋体" w:cs="宋体"/>
                <w:color w:val="auto"/>
                <w:sz w:val="24"/>
                <w:highlight w:val="none"/>
              </w:rPr>
            </w:pPr>
            <w:r>
              <w:rPr>
                <w:rFonts w:hint="eastAsia" w:ascii="宋体" w:hAnsi="宋体" w:cs="宋体"/>
                <w:color w:val="auto"/>
                <w:sz w:val="24"/>
                <w:highlight w:val="none"/>
              </w:rPr>
              <w:t>单位名称</w:t>
            </w:r>
          </w:p>
        </w:tc>
        <w:tc>
          <w:tcPr>
            <w:tcW w:w="2976" w:type="dxa"/>
            <w:vAlign w:val="center"/>
          </w:tcPr>
          <w:p w14:paraId="57285176">
            <w:pPr>
              <w:jc w:val="center"/>
              <w:rPr>
                <w:rFonts w:ascii="宋体" w:hAnsi="宋体" w:cs="宋体"/>
                <w:color w:val="auto"/>
                <w:sz w:val="24"/>
                <w:highlight w:val="none"/>
              </w:rPr>
            </w:pPr>
            <w:r>
              <w:rPr>
                <w:rFonts w:hint="eastAsia" w:ascii="宋体" w:hAnsi="宋体" w:cs="宋体"/>
                <w:color w:val="auto"/>
                <w:sz w:val="24"/>
                <w:highlight w:val="none"/>
              </w:rPr>
              <w:t>相互关系</w:t>
            </w:r>
          </w:p>
        </w:tc>
      </w:tr>
      <w:tr w14:paraId="4679E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C23944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574" w:type="dxa"/>
            <w:vAlign w:val="center"/>
          </w:tcPr>
          <w:p w14:paraId="4BFACA93">
            <w:pPr>
              <w:jc w:val="center"/>
              <w:rPr>
                <w:rFonts w:ascii="宋体" w:hAnsi="宋体" w:cs="宋体"/>
                <w:color w:val="auto"/>
                <w:sz w:val="24"/>
                <w:highlight w:val="none"/>
              </w:rPr>
            </w:pPr>
          </w:p>
        </w:tc>
        <w:tc>
          <w:tcPr>
            <w:tcW w:w="2976" w:type="dxa"/>
            <w:vAlign w:val="center"/>
          </w:tcPr>
          <w:p w14:paraId="4512394D">
            <w:pPr>
              <w:jc w:val="center"/>
              <w:rPr>
                <w:rFonts w:ascii="宋体" w:hAnsi="宋体" w:cs="宋体"/>
                <w:color w:val="auto"/>
                <w:sz w:val="24"/>
                <w:highlight w:val="none"/>
              </w:rPr>
            </w:pPr>
          </w:p>
        </w:tc>
      </w:tr>
      <w:tr w14:paraId="19BCF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1C7B084">
            <w:pPr>
              <w:jc w:val="center"/>
              <w:rPr>
                <w:rFonts w:ascii="宋体" w:hAnsi="宋体" w:cs="宋体"/>
                <w:color w:val="auto"/>
                <w:sz w:val="24"/>
                <w:highlight w:val="none"/>
              </w:rPr>
            </w:pPr>
            <w:r>
              <w:rPr>
                <w:rFonts w:hint="eastAsia" w:ascii="宋体" w:hAnsi="宋体" w:cs="宋体"/>
                <w:color w:val="auto"/>
                <w:sz w:val="24"/>
                <w:highlight w:val="none"/>
              </w:rPr>
              <w:t>2</w:t>
            </w:r>
          </w:p>
        </w:tc>
        <w:tc>
          <w:tcPr>
            <w:tcW w:w="4574" w:type="dxa"/>
            <w:vAlign w:val="center"/>
          </w:tcPr>
          <w:p w14:paraId="59A90939">
            <w:pPr>
              <w:jc w:val="center"/>
              <w:rPr>
                <w:rFonts w:ascii="宋体" w:hAnsi="宋体" w:cs="宋体"/>
                <w:color w:val="auto"/>
                <w:sz w:val="24"/>
                <w:highlight w:val="none"/>
              </w:rPr>
            </w:pPr>
          </w:p>
        </w:tc>
        <w:tc>
          <w:tcPr>
            <w:tcW w:w="2976" w:type="dxa"/>
            <w:vAlign w:val="center"/>
          </w:tcPr>
          <w:p w14:paraId="16D2B8AD">
            <w:pPr>
              <w:jc w:val="center"/>
              <w:rPr>
                <w:rFonts w:ascii="宋体" w:hAnsi="宋体" w:cs="宋体"/>
                <w:color w:val="auto"/>
                <w:sz w:val="24"/>
                <w:highlight w:val="none"/>
              </w:rPr>
            </w:pPr>
          </w:p>
        </w:tc>
      </w:tr>
      <w:tr w14:paraId="16BC2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F1FC330">
            <w:pPr>
              <w:jc w:val="center"/>
              <w:rPr>
                <w:rFonts w:ascii="宋体" w:hAnsi="宋体" w:cs="宋体"/>
                <w:color w:val="auto"/>
                <w:sz w:val="24"/>
                <w:highlight w:val="none"/>
              </w:rPr>
            </w:pPr>
            <w:r>
              <w:rPr>
                <w:rFonts w:hint="eastAsia" w:ascii="宋体" w:hAnsi="宋体" w:cs="宋体"/>
                <w:color w:val="auto"/>
                <w:sz w:val="24"/>
                <w:highlight w:val="none"/>
              </w:rPr>
              <w:t>…</w:t>
            </w:r>
          </w:p>
        </w:tc>
        <w:tc>
          <w:tcPr>
            <w:tcW w:w="4574" w:type="dxa"/>
            <w:vAlign w:val="center"/>
          </w:tcPr>
          <w:p w14:paraId="5D213667">
            <w:pPr>
              <w:jc w:val="center"/>
              <w:rPr>
                <w:rFonts w:ascii="宋体" w:hAnsi="宋体" w:cs="宋体"/>
                <w:color w:val="auto"/>
                <w:sz w:val="24"/>
                <w:highlight w:val="none"/>
              </w:rPr>
            </w:pPr>
          </w:p>
        </w:tc>
        <w:tc>
          <w:tcPr>
            <w:tcW w:w="2976" w:type="dxa"/>
            <w:vAlign w:val="center"/>
          </w:tcPr>
          <w:p w14:paraId="4E26C51A">
            <w:pPr>
              <w:jc w:val="center"/>
              <w:rPr>
                <w:rFonts w:ascii="宋体" w:hAnsi="宋体" w:cs="宋体"/>
                <w:color w:val="auto"/>
                <w:sz w:val="24"/>
                <w:highlight w:val="none"/>
              </w:rPr>
            </w:pPr>
          </w:p>
        </w:tc>
      </w:tr>
    </w:tbl>
    <w:p w14:paraId="2271A173">
      <w:pPr>
        <w:rPr>
          <w:rFonts w:ascii="宋体" w:hAnsi="宋体" w:cs="宋体"/>
          <w:color w:val="auto"/>
          <w:highlight w:val="none"/>
        </w:rPr>
      </w:pPr>
    </w:p>
    <w:p w14:paraId="4B31C6EC">
      <w:pPr>
        <w:ind w:firstLine="480" w:firstLineChars="200"/>
        <w:rPr>
          <w:rFonts w:ascii="宋体" w:hAnsi="宋体" w:cs="宋体"/>
          <w:color w:val="auto"/>
          <w:sz w:val="24"/>
          <w:szCs w:val="22"/>
          <w:highlight w:val="none"/>
        </w:rPr>
      </w:pPr>
      <w:r>
        <w:rPr>
          <w:rFonts w:hint="eastAsia" w:ascii="宋体" w:hAnsi="宋体" w:cs="宋体"/>
          <w:color w:val="auto"/>
          <w:sz w:val="24"/>
          <w:highlight w:val="none"/>
        </w:rPr>
        <w:t>上述声明真实有效，否则我方负全部责任。</w:t>
      </w:r>
    </w:p>
    <w:p w14:paraId="6282D627">
      <w:pPr>
        <w:spacing w:line="360" w:lineRule="auto"/>
        <w:rPr>
          <w:rFonts w:ascii="宋体" w:hAnsi="宋体" w:cs="宋体"/>
          <w:color w:val="auto"/>
          <w:sz w:val="24"/>
          <w:highlight w:val="none"/>
        </w:rPr>
      </w:pPr>
    </w:p>
    <w:p w14:paraId="27724A97">
      <w:pPr>
        <w:autoSpaceDE w:val="0"/>
        <w:autoSpaceDN w:val="0"/>
        <w:adjustRightInd w:val="0"/>
        <w:snapToGrid w:val="0"/>
        <w:spacing w:before="25" w:after="25" w:line="360" w:lineRule="auto"/>
        <w:jc w:val="right"/>
        <w:rPr>
          <w:rFonts w:ascii="宋体" w:hAnsi="宋体" w:cs="宋体"/>
          <w:color w:val="auto"/>
          <w:sz w:val="24"/>
          <w:highlight w:val="none"/>
          <w:lang w:val="zh-CN"/>
        </w:rPr>
      </w:pPr>
      <w:r>
        <w:rPr>
          <w:rFonts w:hint="eastAsia" w:ascii="宋体" w:hAnsi="宋体" w:cs="宋体"/>
          <w:color w:val="auto"/>
          <w:sz w:val="24"/>
          <w:highlight w:val="none"/>
        </w:rPr>
        <w:t>投标人名称（加盖公章）</w:t>
      </w:r>
      <w:r>
        <w:rPr>
          <w:rFonts w:hint="eastAsia" w:ascii="宋体" w:hAnsi="宋体" w:cs="宋体"/>
          <w:color w:val="auto"/>
          <w:sz w:val="24"/>
          <w:highlight w:val="none"/>
          <w:lang w:val="zh-CN"/>
        </w:rPr>
        <w:t>：    ____________</w:t>
      </w:r>
    </w:p>
    <w:p w14:paraId="2283B2E5">
      <w:pPr>
        <w:spacing w:line="360" w:lineRule="auto"/>
        <w:ind w:right="360" w:firstLine="480"/>
        <w:jc w:val="right"/>
        <w:rPr>
          <w:rFonts w:ascii="宋体" w:hAnsi="宋体" w:cs="宋体"/>
          <w:color w:val="auto"/>
          <w:sz w:val="24"/>
          <w:highlight w:val="none"/>
        </w:rPr>
      </w:pPr>
      <w:r>
        <w:rPr>
          <w:rFonts w:hint="eastAsia" w:ascii="宋体" w:hAnsi="宋体" w:cs="宋体"/>
          <w:color w:val="auto"/>
          <w:sz w:val="24"/>
          <w:szCs w:val="20"/>
          <w:highlight w:val="none"/>
        </w:rPr>
        <w:t xml:space="preserve">日期：_____年______月______日   </w:t>
      </w:r>
    </w:p>
    <w:p w14:paraId="05A763D8">
      <w:pPr>
        <w:spacing w:line="360" w:lineRule="auto"/>
        <w:rPr>
          <w:rFonts w:ascii="宋体" w:hAnsi="宋体" w:cs="宋体"/>
          <w:color w:val="auto"/>
          <w:sz w:val="24"/>
          <w:highlight w:val="none"/>
        </w:rPr>
      </w:pPr>
      <w:r>
        <w:rPr>
          <w:rFonts w:hint="eastAsia" w:ascii="宋体" w:hAnsi="宋体" w:cs="宋体"/>
          <w:color w:val="auto"/>
          <w:sz w:val="24"/>
          <w:highlight w:val="none"/>
        </w:rPr>
        <w:t>说明：供应商承诺不实的，依据《政府采购法》第七十七条“提供虚假材料谋取中标、成交的”有关规定予以处理。</w:t>
      </w:r>
    </w:p>
    <w:p w14:paraId="06DAE649">
      <w:pPr>
        <w:rPr>
          <w:rFonts w:ascii="宋体" w:hAnsi="宋体" w:cs="宋体"/>
          <w:color w:val="auto"/>
          <w:sz w:val="24"/>
          <w:highlight w:val="none"/>
        </w:rPr>
      </w:pPr>
      <w:r>
        <w:rPr>
          <w:rFonts w:hint="eastAsia" w:ascii="宋体" w:hAnsi="宋体" w:cs="宋体"/>
          <w:color w:val="auto"/>
          <w:sz w:val="24"/>
          <w:highlight w:val="none"/>
        </w:rPr>
        <w:br w:type="page"/>
      </w:r>
    </w:p>
    <w:p w14:paraId="66F64CC7">
      <w:pPr>
        <w:tabs>
          <w:tab w:val="left" w:pos="5580"/>
        </w:tabs>
        <w:spacing w:line="360" w:lineRule="auto"/>
        <w:rPr>
          <w:rFonts w:ascii="宋体" w:hAnsi="宋体" w:cs="宋体"/>
          <w:color w:val="auto"/>
          <w:sz w:val="24"/>
          <w:highlight w:val="none"/>
        </w:rPr>
        <w:sectPr>
          <w:footerReference r:id="rId13" w:type="default"/>
          <w:pgSz w:w="11907" w:h="16840"/>
          <w:pgMar w:top="1418" w:right="1134" w:bottom="1418" w:left="1701" w:header="851" w:footer="851" w:gutter="0"/>
          <w:cols w:space="720" w:num="1"/>
          <w:docGrid w:linePitch="462" w:charSpace="0"/>
        </w:sectPr>
      </w:pPr>
    </w:p>
    <w:p w14:paraId="0D648691">
      <w:pPr>
        <w:spacing w:line="360" w:lineRule="auto"/>
        <w:outlineLvl w:val="2"/>
        <w:rPr>
          <w:rFonts w:ascii="宋体" w:hAnsi="宋体" w:cs="宋体"/>
          <w:color w:val="auto"/>
          <w:sz w:val="24"/>
          <w:szCs w:val="20"/>
          <w:highlight w:val="none"/>
        </w:rPr>
      </w:pPr>
      <w:r>
        <w:rPr>
          <w:rFonts w:hint="eastAsia" w:ascii="宋体" w:hAnsi="宋体" w:cs="宋体"/>
          <w:color w:val="auto"/>
          <w:sz w:val="24"/>
          <w:szCs w:val="20"/>
          <w:highlight w:val="none"/>
        </w:rPr>
        <w:t xml:space="preserve">2 落实政府采购政策需满足的资格要求 </w:t>
      </w:r>
    </w:p>
    <w:p w14:paraId="37E6F2B9">
      <w:pPr>
        <w:spacing w:line="360" w:lineRule="auto"/>
        <w:outlineLvl w:val="2"/>
        <w:rPr>
          <w:rFonts w:ascii="宋体" w:hAnsi="宋体" w:cs="宋体"/>
          <w:color w:val="auto"/>
          <w:sz w:val="24"/>
          <w:szCs w:val="20"/>
          <w:highlight w:val="none"/>
        </w:rPr>
      </w:pPr>
      <w:r>
        <w:rPr>
          <w:rFonts w:hint="eastAsia" w:ascii="宋体" w:hAnsi="宋体" w:cs="宋体"/>
          <w:color w:val="auto"/>
          <w:sz w:val="24"/>
          <w:szCs w:val="20"/>
          <w:highlight w:val="none"/>
        </w:rPr>
        <w:t>2-1中小企业证明文件</w:t>
      </w:r>
    </w:p>
    <w:p w14:paraId="4AE411E7">
      <w:pPr>
        <w:tabs>
          <w:tab w:val="left" w:pos="5580"/>
        </w:tabs>
        <w:spacing w:line="360" w:lineRule="auto"/>
        <w:rPr>
          <w:rFonts w:ascii="宋体" w:hAnsi="宋体" w:cs="宋体"/>
          <w:color w:val="auto"/>
          <w:sz w:val="24"/>
          <w:highlight w:val="none"/>
        </w:rPr>
      </w:pPr>
    </w:p>
    <w:p w14:paraId="7A491411">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说明：</w:t>
      </w:r>
    </w:p>
    <w:p w14:paraId="44F65472">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（1）如本项目（包）不专门面向中小企业预留采购份额，资格证明文件部分无需提供 《中小企业声明函》或《残疾人福利性单位声明函》或由省级以上监狱管理局、戒毒管 理局（含新疆生产建设兵团）出具的属于监狱企业的证明文件；供应商如具有上述证明</w:t>
      </w:r>
    </w:p>
    <w:p w14:paraId="3B27E562">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文件，建议在商务技术文件中提供。</w:t>
      </w:r>
    </w:p>
    <w:p w14:paraId="5E68CB37">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（2）如本项目（包）专门面向中小企业采购， 投标文件中须提供《中小企业声明函》 或《残疾人福利性单位声明函》或由省级以上监狱管理局、戒毒管理局（含新疆生产建</w:t>
      </w:r>
    </w:p>
    <w:p w14:paraId="338DF1A3">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设兵团）出具的属于监狱企业的证明文件，且建议在资格证明文件部分提供。</w:t>
      </w:r>
    </w:p>
    <w:p w14:paraId="38866FEA">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（3）如本项目（包） 预留部分采购项目预算专门面向中小企业采购，且要求获得采购 合同的供应商将采购项目中的一定比例分包给一家或者多家中小企业的，投标文件中除 须供《中小企业声明函》或《残疾人福利性单位声明函》或由省级以上监狱管理局、戒毒管理局（含新疆生产建设兵团）出具的属于监狱企业的证明文件，还须同时提供《拟</w:t>
      </w:r>
    </w:p>
    <w:p w14:paraId="3402C949">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分包情况说明》及《分包意向协议》，且建议在资格证明文件部分提供。</w:t>
      </w:r>
    </w:p>
    <w:p w14:paraId="227D6052">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（4）如本项目（包） 预留部分采购项目预算专门面向中小企业采购，且要求供应商以 联合体形式参加采购活动，投标文件中除须 《中小企业声明函》或《残疾人福利性单位声明函》或由省级以上监狱管理局、戒毒管理局（含新疆生产建设兵团）出具的属于监狱企业的证明文件，还须同时提供《联合协议》；上述文件建议在资格证明文件部分提供。</w:t>
      </w:r>
    </w:p>
    <w:p w14:paraId="6E733DF3">
      <w:pPr>
        <w:pStyle w:val="5"/>
        <w:spacing w:line="360" w:lineRule="auto"/>
        <w:ind w:firstLine="0"/>
        <w:rPr>
          <w:rFonts w:hAnsi="宋体" w:cs="宋体"/>
          <w:color w:val="auto"/>
          <w:highlight w:val="none"/>
        </w:rPr>
      </w:pPr>
      <w:r>
        <w:rPr>
          <w:rFonts w:hint="eastAsia" w:hAnsi="宋体" w:cs="宋体"/>
          <w:color w:val="auto"/>
          <w:highlight w:val="none"/>
        </w:rPr>
        <w:t>（5）中小企业声明函填写注意事项</w:t>
      </w:r>
    </w:p>
    <w:p w14:paraId="56982151">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1）《中小企业声明函》由参加政府采购活动的投标人出具。联合体投标的，《中小企业</w:t>
      </w:r>
    </w:p>
    <w:p w14:paraId="7F04148D">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声明函》可由牵头人出具。</w:t>
      </w:r>
    </w:p>
    <w:p w14:paraId="68FA1B67">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2）对于联合体中由中小企业承担的部分，或者分包给中小企业的部分，必须全部由中 小企业制造、承建或者承接。供应商应当在声明函“标的名称”部分标明联合体中中小企业承担的具体内容或者中小企业的具体分包内容。</w:t>
      </w:r>
    </w:p>
    <w:p w14:paraId="49E69081">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3）对于多标的采购项目，投标人应充分、准确地了解所供货物的制造企业、供服务的承接企业信息。对相关情况了解不清楚的，不建议填报本声明函。</w:t>
      </w:r>
    </w:p>
    <w:p w14:paraId="6FB4A4C8">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（6）温馨提示：为方便广大中小企业识别企业规模类型，工业和信息化部组织开发了</w:t>
      </w:r>
    </w:p>
    <w:p w14:paraId="409B953F">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中小企业规模类型自测小程序，在国务院客户端和工业和信息化部网站上均有链接， 投标人填写所属的行业和指标数据可自动生成企业规模类型测试结果。本项目中小企业划 分标准所属行业详见第二章《投标人须知资料表》，如在该程序中未找到本项目文件规 定的中小企业划分标准所属行业， 则按照《关于印发中小企业划型标准规定的通知（工</w:t>
      </w:r>
    </w:p>
    <w:p w14:paraId="11FE2142">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信部联企业﹝2011﹞300 号）》及本项目文件规定的中小企业划分标准所属行业执行。</w:t>
      </w:r>
    </w:p>
    <w:p w14:paraId="07E0C6DB">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14:paraId="2960E4F6">
      <w:pPr>
        <w:spacing w:before="240" w:beforeLines="100" w:after="240" w:afterLines="100" w:line="360" w:lineRule="auto"/>
        <w:jc w:val="left"/>
        <w:rPr>
          <w:rFonts w:ascii="宋体" w:hAnsi="宋体" w:cs="宋体"/>
          <w:color w:val="auto"/>
          <w:sz w:val="24"/>
          <w:szCs w:val="20"/>
          <w:highlight w:val="none"/>
        </w:rPr>
      </w:pPr>
      <w:r>
        <w:rPr>
          <w:rFonts w:hint="eastAsia" w:ascii="宋体" w:hAnsi="宋体" w:cs="宋体"/>
          <w:color w:val="auto"/>
          <w:sz w:val="24"/>
          <w:szCs w:val="20"/>
          <w:highlight w:val="none"/>
        </w:rPr>
        <w:t>2-1-1 中小企业声明函及残疾人福利性单位声明函格式</w:t>
      </w:r>
    </w:p>
    <w:p w14:paraId="403B567D">
      <w:pPr>
        <w:spacing w:before="240" w:beforeLines="100" w:after="240" w:afterLines="100" w:line="360" w:lineRule="auto"/>
        <w:jc w:val="center"/>
        <w:rPr>
          <w:rFonts w:ascii="宋体" w:hAnsi="宋体" w:cs="宋体"/>
          <w:b/>
          <w:color w:val="auto"/>
          <w:sz w:val="36"/>
          <w:szCs w:val="36"/>
          <w:highlight w:val="none"/>
        </w:rPr>
      </w:pPr>
      <w:r>
        <w:rPr>
          <w:rFonts w:hint="eastAsia" w:ascii="宋体" w:hAnsi="宋体" w:cs="宋体"/>
          <w:b/>
          <w:bCs/>
          <w:color w:val="auto"/>
          <w:sz w:val="36"/>
          <w:szCs w:val="36"/>
          <w:highlight w:val="none"/>
        </w:rPr>
        <w:t>中小企业声明函格式</w:t>
      </w:r>
    </w:p>
    <w:p w14:paraId="64C9FA73">
      <w:pPr>
        <w:autoSpaceDE w:val="0"/>
        <w:autoSpaceDN w:val="0"/>
        <w:spacing w:line="360" w:lineRule="auto"/>
        <w:ind w:left="220" w:right="415" w:firstLine="640"/>
        <w:jc w:val="left"/>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本公司（联合体）郑重声明，根据《政府采购促进中小企业发展管理办法》（财库﹝2020﹞46号）的规定，本公司（联合体）参加</w:t>
      </w:r>
      <w:r>
        <w:rPr>
          <w:rFonts w:hint="eastAsia" w:ascii="宋体" w:hAnsi="宋体" w:cs="宋体"/>
          <w:i/>
          <w:color w:val="auto"/>
          <w:kern w:val="0"/>
          <w:sz w:val="24"/>
          <w:highlight w:val="none"/>
          <w:u w:val="single"/>
        </w:rPr>
        <w:t>（单位名称）</w:t>
      </w:r>
      <w:r>
        <w:rPr>
          <w:rFonts w:hint="eastAsia" w:ascii="宋体" w:hAnsi="宋体" w:cs="宋体"/>
          <w:color w:val="auto"/>
          <w:kern w:val="0"/>
          <w:sz w:val="24"/>
          <w:highlight w:val="none"/>
        </w:rPr>
        <w:t>的</w:t>
      </w:r>
      <w:r>
        <w:rPr>
          <w:rFonts w:hint="eastAsia" w:ascii="宋体" w:hAnsi="宋体" w:cs="宋体"/>
          <w:i/>
          <w:color w:val="auto"/>
          <w:kern w:val="0"/>
          <w:sz w:val="24"/>
          <w:highlight w:val="none"/>
          <w:u w:val="single"/>
        </w:rPr>
        <w:t>（项目名称）</w:t>
      </w:r>
      <w:r>
        <w:rPr>
          <w:rFonts w:hint="eastAsia" w:ascii="宋体" w:hAnsi="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24D6F3B">
      <w:pPr>
        <w:numPr>
          <w:ilvl w:val="0"/>
          <w:numId w:val="16"/>
        </w:numPr>
        <w:tabs>
          <w:tab w:val="left" w:pos="1276"/>
          <w:tab w:val="left" w:pos="5005"/>
          <w:tab w:val="left" w:pos="7227"/>
        </w:tabs>
        <w:autoSpaceDE w:val="0"/>
        <w:autoSpaceDN w:val="0"/>
        <w:spacing w:line="360" w:lineRule="auto"/>
        <w:ind w:left="284" w:right="236" w:firstLine="576"/>
        <w:jc w:val="left"/>
        <w:rPr>
          <w:rFonts w:ascii="宋体" w:hAnsi="宋体" w:cs="宋体"/>
          <w:color w:val="auto"/>
          <w:kern w:val="0"/>
          <w:sz w:val="24"/>
          <w:highlight w:val="none"/>
        </w:rPr>
      </w:pPr>
      <w:r>
        <w:rPr>
          <w:rFonts w:hint="eastAsia" w:ascii="宋体" w:hAnsi="宋体" w:cs="宋体"/>
          <w:i/>
          <w:color w:val="auto"/>
          <w:kern w:val="0"/>
          <w:sz w:val="24"/>
          <w:highlight w:val="none"/>
          <w:u w:val="single" w:color="000000"/>
        </w:rPr>
        <w:t>（标的名称）</w:t>
      </w:r>
      <w:r>
        <w:rPr>
          <w:rFonts w:hint="eastAsia" w:ascii="宋体" w:hAnsi="宋体" w:cs="宋体"/>
          <w:color w:val="auto"/>
          <w:kern w:val="0"/>
          <w:sz w:val="24"/>
          <w:highlight w:val="none"/>
        </w:rPr>
        <w:t>，属于</w:t>
      </w:r>
      <w:r>
        <w:rPr>
          <w:rFonts w:hint="eastAsia" w:ascii="宋体" w:hAnsi="宋体" w:cs="宋体"/>
          <w:i/>
          <w:color w:val="auto"/>
          <w:kern w:val="0"/>
          <w:sz w:val="24"/>
          <w:highlight w:val="none"/>
        </w:rPr>
        <w:t>（</w:t>
      </w:r>
      <w:r>
        <w:rPr>
          <w:rFonts w:hint="eastAsia" w:ascii="宋体" w:hAnsi="宋体" w:cs="宋体"/>
          <w:i/>
          <w:color w:val="auto"/>
          <w:kern w:val="0"/>
          <w:sz w:val="24"/>
          <w:highlight w:val="none"/>
          <w:u w:val="single" w:color="000000"/>
        </w:rPr>
        <w:t>采购文件中明确的所属行业）</w:t>
      </w:r>
      <w:r>
        <w:rPr>
          <w:rFonts w:hint="eastAsia" w:ascii="宋体" w:hAnsi="宋体" w:cs="宋体"/>
          <w:color w:val="auto"/>
          <w:kern w:val="0"/>
          <w:sz w:val="24"/>
          <w:highlight w:val="none"/>
        </w:rPr>
        <w:t>；承建（承接）企业为</w:t>
      </w:r>
      <w:r>
        <w:rPr>
          <w:rFonts w:hint="eastAsia" w:ascii="宋体" w:hAnsi="宋体" w:cs="宋体"/>
          <w:i/>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万元</w:t>
      </w: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ascii="宋体" w:hAnsi="宋体" w:cs="宋体"/>
          <w:color w:val="auto"/>
          <w:kern w:val="0"/>
          <w:position w:val="16"/>
          <w:sz w:val="24"/>
          <w:highlight w:val="none"/>
        </w:rPr>
        <w:t>1</w:t>
      </w:r>
      <w:r>
        <w:rPr>
          <w:rFonts w:hint="eastAsia" w:ascii="宋体" w:hAnsi="宋体" w:cs="宋体"/>
          <w:color w:val="auto"/>
          <w:kern w:val="0"/>
          <w:position w:val="16"/>
          <w:sz w:val="24"/>
          <w:highlight w:val="none"/>
        </w:rPr>
        <w:fldChar w:fldCharType="end"/>
      </w:r>
      <w:r>
        <w:rPr>
          <w:rFonts w:hint="eastAsia" w:ascii="宋体" w:hAnsi="宋体" w:cs="宋体"/>
          <w:color w:val="auto"/>
          <w:kern w:val="0"/>
          <w:sz w:val="24"/>
          <w:highlight w:val="none"/>
        </w:rPr>
        <w:t>，属于</w:t>
      </w:r>
      <w:r>
        <w:rPr>
          <w:rFonts w:hint="eastAsia" w:ascii="宋体" w:hAnsi="宋体" w:cs="宋体"/>
          <w:i/>
          <w:color w:val="auto"/>
          <w:kern w:val="0"/>
          <w:sz w:val="24"/>
          <w:highlight w:val="none"/>
          <w:u w:val="single"/>
        </w:rPr>
        <w:t>（中型企业、小型企业、微型企业）</w:t>
      </w:r>
      <w:r>
        <w:rPr>
          <w:rFonts w:hint="eastAsia" w:ascii="宋体" w:hAnsi="宋体" w:cs="宋体"/>
          <w:color w:val="auto"/>
          <w:kern w:val="0"/>
          <w:sz w:val="24"/>
          <w:highlight w:val="none"/>
        </w:rPr>
        <w:t>；</w:t>
      </w:r>
    </w:p>
    <w:p w14:paraId="2DFFB65A">
      <w:pPr>
        <w:numPr>
          <w:ilvl w:val="0"/>
          <w:numId w:val="16"/>
        </w:numPr>
        <w:tabs>
          <w:tab w:val="left" w:pos="1243"/>
          <w:tab w:val="left" w:pos="1806"/>
          <w:tab w:val="left" w:pos="5005"/>
          <w:tab w:val="left" w:pos="7213"/>
        </w:tabs>
        <w:autoSpaceDE w:val="0"/>
        <w:autoSpaceDN w:val="0"/>
        <w:spacing w:line="360" w:lineRule="auto"/>
        <w:ind w:left="205" w:right="258" w:firstLine="655"/>
        <w:jc w:val="left"/>
        <w:rPr>
          <w:rFonts w:ascii="宋体" w:hAnsi="宋体" w:cs="宋体"/>
          <w:color w:val="auto"/>
          <w:kern w:val="0"/>
          <w:sz w:val="24"/>
          <w:highlight w:val="none"/>
        </w:rPr>
      </w:pPr>
      <w:r>
        <w:rPr>
          <w:rFonts w:hint="eastAsia" w:ascii="宋体" w:hAnsi="宋体" w:cs="宋体"/>
          <w:i/>
          <w:color w:val="auto"/>
          <w:kern w:val="0"/>
          <w:sz w:val="24"/>
          <w:highlight w:val="none"/>
          <w:u w:val="single" w:color="000000"/>
        </w:rPr>
        <w:t>（标的名称）</w:t>
      </w:r>
      <w:r>
        <w:rPr>
          <w:rFonts w:hint="eastAsia" w:ascii="宋体" w:hAnsi="宋体" w:cs="宋体"/>
          <w:color w:val="auto"/>
          <w:kern w:val="0"/>
          <w:sz w:val="24"/>
          <w:highlight w:val="none"/>
        </w:rPr>
        <w:t>，属于</w:t>
      </w:r>
      <w:r>
        <w:rPr>
          <w:rFonts w:hint="eastAsia" w:ascii="宋体" w:hAnsi="宋体" w:cs="宋体"/>
          <w:i/>
          <w:color w:val="auto"/>
          <w:kern w:val="0"/>
          <w:sz w:val="24"/>
          <w:highlight w:val="none"/>
        </w:rPr>
        <w:t>（</w:t>
      </w:r>
      <w:r>
        <w:rPr>
          <w:rFonts w:hint="eastAsia" w:ascii="宋体" w:hAnsi="宋体" w:cs="宋体"/>
          <w:i/>
          <w:color w:val="auto"/>
          <w:kern w:val="0"/>
          <w:sz w:val="24"/>
          <w:highlight w:val="none"/>
          <w:u w:val="single" w:color="000000"/>
        </w:rPr>
        <w:t>采购文件中明确的所属行业）</w:t>
      </w:r>
      <w:r>
        <w:rPr>
          <w:rFonts w:hint="eastAsia" w:ascii="宋体" w:hAnsi="宋体" w:cs="宋体"/>
          <w:color w:val="auto"/>
          <w:kern w:val="0"/>
          <w:sz w:val="24"/>
          <w:highlight w:val="none"/>
        </w:rPr>
        <w:t>；承建（承接）企业为</w:t>
      </w:r>
      <w:r>
        <w:rPr>
          <w:rFonts w:hint="eastAsia" w:ascii="宋体" w:hAnsi="宋体" w:cs="宋体"/>
          <w:i/>
          <w:color w:val="auto"/>
          <w:kern w:val="0"/>
          <w:sz w:val="24"/>
          <w:highlight w:val="none"/>
          <w:u w:val="single" w:color="000000"/>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color="000000"/>
        </w:rPr>
        <w:tab/>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color="000000"/>
        </w:rPr>
        <w:tab/>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color="000000"/>
        </w:rPr>
        <w:tab/>
      </w:r>
      <w:r>
        <w:rPr>
          <w:rFonts w:hint="eastAsia" w:ascii="宋体" w:hAnsi="宋体" w:cs="宋体"/>
          <w:color w:val="auto"/>
          <w:kern w:val="0"/>
          <w:sz w:val="24"/>
          <w:highlight w:val="none"/>
        </w:rPr>
        <w:t>万元，属于</w:t>
      </w:r>
      <w:r>
        <w:rPr>
          <w:rFonts w:hint="eastAsia" w:ascii="宋体" w:hAnsi="宋体" w:cs="宋体"/>
          <w:i/>
          <w:color w:val="auto"/>
          <w:kern w:val="0"/>
          <w:sz w:val="24"/>
          <w:highlight w:val="none"/>
          <w:u w:val="single" w:color="000000"/>
        </w:rPr>
        <w:t>（中型企业、小型企业、微型企业）</w:t>
      </w:r>
      <w:r>
        <w:rPr>
          <w:rFonts w:hint="eastAsia" w:ascii="宋体" w:hAnsi="宋体" w:cs="宋体"/>
          <w:color w:val="auto"/>
          <w:kern w:val="0"/>
          <w:sz w:val="24"/>
          <w:highlight w:val="none"/>
        </w:rPr>
        <w:t>；</w:t>
      </w:r>
    </w:p>
    <w:p w14:paraId="1E1F83BF">
      <w:pPr>
        <w:autoSpaceDE w:val="0"/>
        <w:autoSpaceDN w:val="0"/>
        <w:spacing w:line="360" w:lineRule="auto"/>
        <w:ind w:left="860"/>
        <w:jc w:val="left"/>
        <w:rPr>
          <w:rFonts w:ascii="宋体" w:hAnsi="宋体" w:cs="宋体"/>
          <w:color w:val="auto"/>
          <w:kern w:val="0"/>
          <w:sz w:val="24"/>
          <w:highlight w:val="none"/>
        </w:rPr>
      </w:pPr>
      <w:r>
        <w:rPr>
          <w:rFonts w:hint="eastAsia" w:ascii="宋体" w:hAnsi="宋体" w:cs="宋体"/>
          <w:color w:val="auto"/>
          <w:kern w:val="0"/>
          <w:sz w:val="24"/>
          <w:highlight w:val="none"/>
        </w:rPr>
        <w:t>……</w:t>
      </w:r>
    </w:p>
    <w:p w14:paraId="66DFF97A">
      <w:pPr>
        <w:autoSpaceDE w:val="0"/>
        <w:autoSpaceDN w:val="0"/>
        <w:spacing w:line="360" w:lineRule="auto"/>
        <w:ind w:left="220" w:right="417" w:firstLine="645"/>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14:paraId="1FA99A54">
      <w:pPr>
        <w:autoSpaceDE w:val="0"/>
        <w:autoSpaceDN w:val="0"/>
        <w:spacing w:line="360" w:lineRule="auto"/>
        <w:ind w:left="220" w:right="372" w:firstLine="645"/>
        <w:jc w:val="left"/>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14:paraId="33E10D18">
      <w:pPr>
        <w:spacing w:line="360" w:lineRule="auto"/>
        <w:ind w:firstLine="504"/>
        <w:rPr>
          <w:rFonts w:ascii="宋体" w:hAnsi="宋体" w:cs="宋体"/>
          <w:color w:val="auto"/>
          <w:spacing w:val="6"/>
          <w:sz w:val="24"/>
          <w:highlight w:val="none"/>
        </w:rPr>
      </w:pPr>
    </w:p>
    <w:p w14:paraId="458FEB33">
      <w:pPr>
        <w:spacing w:line="360" w:lineRule="auto"/>
        <w:ind w:firstLine="504"/>
        <w:rPr>
          <w:rFonts w:ascii="宋体" w:hAnsi="宋体" w:cs="宋体"/>
          <w:color w:val="auto"/>
          <w:spacing w:val="6"/>
          <w:sz w:val="24"/>
          <w:highlight w:val="none"/>
        </w:rPr>
      </w:pPr>
    </w:p>
    <w:p w14:paraId="52C78F3E">
      <w:pPr>
        <w:spacing w:line="360" w:lineRule="auto"/>
        <w:ind w:right="360" w:firstLine="480"/>
        <w:jc w:val="right"/>
        <w:rPr>
          <w:rFonts w:ascii="宋体" w:hAnsi="宋体" w:cs="宋体"/>
          <w:color w:val="auto"/>
          <w:sz w:val="24"/>
          <w:highlight w:val="none"/>
        </w:rPr>
      </w:pPr>
      <w:r>
        <w:rPr>
          <w:rFonts w:hint="eastAsia" w:ascii="宋体" w:hAnsi="宋体" w:cs="宋体"/>
          <w:color w:val="auto"/>
          <w:sz w:val="24"/>
          <w:highlight w:val="none"/>
        </w:rPr>
        <w:t>企业名称（盖章）：________</w:t>
      </w:r>
    </w:p>
    <w:p w14:paraId="258F2583">
      <w:pPr>
        <w:spacing w:line="360" w:lineRule="auto"/>
        <w:ind w:right="360" w:firstLine="480"/>
        <w:jc w:val="right"/>
        <w:rPr>
          <w:rFonts w:ascii="宋体" w:hAnsi="宋体" w:cs="宋体"/>
          <w:color w:val="auto"/>
          <w:sz w:val="24"/>
          <w:highlight w:val="none"/>
        </w:rPr>
      </w:pPr>
      <w:r>
        <w:rPr>
          <w:rFonts w:hint="eastAsia" w:ascii="宋体" w:hAnsi="宋体" w:cs="宋体"/>
          <w:color w:val="auto"/>
          <w:sz w:val="24"/>
          <w:highlight w:val="none"/>
        </w:rPr>
        <w:t>日 期：________</w:t>
      </w:r>
    </w:p>
    <w:p w14:paraId="6BA34185">
      <w:pPr>
        <w:spacing w:line="360" w:lineRule="auto"/>
        <w:ind w:right="360" w:firstLine="480"/>
        <w:jc w:val="right"/>
        <w:rPr>
          <w:rFonts w:ascii="宋体" w:hAnsi="宋体" w:cs="宋体"/>
          <w:color w:val="auto"/>
          <w:sz w:val="24"/>
          <w:highlight w:val="none"/>
        </w:rPr>
      </w:pPr>
    </w:p>
    <w:tbl>
      <w:tblPr>
        <w:tblStyle w:val="45"/>
        <w:tblpPr w:leftFromText="180" w:rightFromText="180" w:vertAnchor="text" w:horzAnchor="margin" w:tblpY="137"/>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35EF6D5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5F998BBB">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vertAlign w:val="superscript"/>
              </w:rPr>
              <w:t>1</w:t>
            </w:r>
            <w:r>
              <w:rPr>
                <w:rFonts w:hint="eastAsia" w:ascii="宋体" w:hAnsi="宋体" w:cs="宋体"/>
                <w:color w:val="auto"/>
                <w:szCs w:val="21"/>
                <w:highlight w:val="none"/>
              </w:rPr>
              <w:t>从业人员、营业收入、资产总额填报上一年度数据，无上一年度数据的新成立企业可不填报。</w:t>
            </w:r>
          </w:p>
        </w:tc>
      </w:tr>
    </w:tbl>
    <w:p w14:paraId="4026231C">
      <w:pPr>
        <w:spacing w:line="360" w:lineRule="auto"/>
        <w:ind w:right="360" w:firstLine="480"/>
        <w:jc w:val="right"/>
        <w:rPr>
          <w:rFonts w:ascii="宋体" w:hAnsi="宋体" w:cs="宋体"/>
          <w:color w:val="auto"/>
          <w:sz w:val="24"/>
          <w:highlight w:val="none"/>
        </w:rPr>
      </w:pPr>
    </w:p>
    <w:p w14:paraId="627A24CA">
      <w:pPr>
        <w:spacing w:line="360" w:lineRule="auto"/>
        <w:ind w:right="360" w:firstLine="480"/>
        <w:jc w:val="right"/>
        <w:rPr>
          <w:rFonts w:ascii="宋体" w:hAnsi="宋体" w:cs="宋体"/>
          <w:color w:val="auto"/>
          <w:sz w:val="24"/>
          <w:highlight w:val="none"/>
        </w:rPr>
      </w:pPr>
    </w:p>
    <w:p w14:paraId="22D70B50">
      <w:pPr>
        <w:spacing w:line="360" w:lineRule="auto"/>
        <w:ind w:right="360" w:firstLine="480"/>
        <w:jc w:val="right"/>
        <w:rPr>
          <w:rFonts w:ascii="宋体" w:hAnsi="宋体" w:cs="宋体"/>
          <w:color w:val="auto"/>
          <w:sz w:val="24"/>
          <w:highlight w:val="none"/>
        </w:rPr>
      </w:pPr>
    </w:p>
    <w:p w14:paraId="5055FD04">
      <w:pPr>
        <w:spacing w:line="360" w:lineRule="auto"/>
        <w:ind w:right="360" w:firstLine="480"/>
        <w:jc w:val="right"/>
        <w:rPr>
          <w:rFonts w:ascii="宋体" w:hAnsi="宋体" w:cs="宋体"/>
          <w:color w:val="auto"/>
          <w:sz w:val="24"/>
          <w:highlight w:val="none"/>
        </w:rPr>
      </w:pPr>
    </w:p>
    <w:p w14:paraId="466F2233">
      <w:pPr>
        <w:spacing w:line="360" w:lineRule="auto"/>
        <w:ind w:right="360" w:firstLine="480"/>
        <w:jc w:val="right"/>
        <w:rPr>
          <w:rFonts w:ascii="宋体" w:hAnsi="宋体" w:cs="宋体"/>
          <w:color w:val="auto"/>
          <w:sz w:val="24"/>
          <w:highlight w:val="none"/>
        </w:rPr>
      </w:pPr>
    </w:p>
    <w:p w14:paraId="3DC166BB">
      <w:pPr>
        <w:spacing w:line="360" w:lineRule="auto"/>
        <w:ind w:right="360" w:firstLine="480"/>
        <w:jc w:val="right"/>
        <w:rPr>
          <w:rFonts w:ascii="宋体" w:hAnsi="宋体" w:cs="宋体"/>
          <w:color w:val="auto"/>
          <w:sz w:val="24"/>
          <w:highlight w:val="none"/>
        </w:rPr>
      </w:pPr>
    </w:p>
    <w:p w14:paraId="3B3FD9FB">
      <w:pPr>
        <w:spacing w:line="360" w:lineRule="auto"/>
        <w:ind w:right="360" w:firstLine="480"/>
        <w:jc w:val="right"/>
        <w:rPr>
          <w:rFonts w:ascii="宋体" w:hAnsi="宋体" w:cs="宋体"/>
          <w:color w:val="auto"/>
          <w:sz w:val="24"/>
          <w:highlight w:val="none"/>
        </w:rPr>
      </w:pPr>
    </w:p>
    <w:p w14:paraId="20DD522D">
      <w:pPr>
        <w:spacing w:before="240" w:beforeLines="100" w:after="240" w:afterLines="100" w:line="360" w:lineRule="auto"/>
        <w:jc w:val="center"/>
        <w:rPr>
          <w:rFonts w:ascii="宋体" w:hAnsi="宋体" w:cs="宋体"/>
          <w:b/>
          <w:color w:val="auto"/>
          <w:sz w:val="36"/>
          <w:szCs w:val="36"/>
          <w:highlight w:val="none"/>
        </w:rPr>
      </w:pPr>
      <w:r>
        <w:rPr>
          <w:rFonts w:hint="eastAsia" w:ascii="宋体" w:hAnsi="宋体" w:cs="宋体"/>
          <w:b/>
          <w:bCs/>
          <w:color w:val="auto"/>
          <w:sz w:val="36"/>
          <w:szCs w:val="36"/>
          <w:highlight w:val="none"/>
        </w:rPr>
        <w:t>残疾人福利性单位声明函格式</w:t>
      </w:r>
      <w:r>
        <w:rPr>
          <w:rFonts w:hint="eastAsia" w:ascii="宋体" w:hAnsi="宋体" w:cs="宋体"/>
          <w:b/>
          <w:color w:val="auto"/>
          <w:sz w:val="36"/>
          <w:szCs w:val="36"/>
          <w:highlight w:val="none"/>
        </w:rPr>
        <w:t xml:space="preserve">       </w:t>
      </w:r>
    </w:p>
    <w:p w14:paraId="5D6D542A">
      <w:pPr>
        <w:spacing w:line="588" w:lineRule="exact"/>
        <w:ind w:firstLine="504"/>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w:t>
      </w:r>
      <w:r>
        <w:rPr>
          <w:rFonts w:hint="eastAsia" w:ascii="宋体" w:hAnsi="宋体" w:cs="宋体"/>
          <w:b/>
          <w:color w:val="auto"/>
          <w:sz w:val="24"/>
          <w:highlight w:val="none"/>
        </w:rPr>
        <w:t>（请进行选择）</w:t>
      </w:r>
      <w:r>
        <w:rPr>
          <w:rFonts w:hint="eastAsia" w:ascii="宋体" w:hAnsi="宋体" w:cs="宋体"/>
          <w:color w:val="auto"/>
          <w:spacing w:val="6"/>
          <w:sz w:val="24"/>
          <w:highlight w:val="none"/>
        </w:rPr>
        <w:t>：</w:t>
      </w:r>
    </w:p>
    <w:p w14:paraId="6759696F">
      <w:pPr>
        <w:spacing w:line="588" w:lineRule="exact"/>
        <w:ind w:firstLine="482"/>
        <w:rPr>
          <w:rFonts w:ascii="宋体" w:hAnsi="宋体" w:cs="宋体"/>
          <w:b/>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不属于符合条件的残疾人福利性单位。</w:t>
      </w:r>
    </w:p>
    <w:p w14:paraId="2FBE8E99">
      <w:pPr>
        <w:spacing w:line="588" w:lineRule="exact"/>
        <w:ind w:firstLine="482"/>
        <w:rPr>
          <w:rFonts w:ascii="宋体" w:hAnsi="宋体" w:cs="宋体"/>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属于符合条件的残疾人福利性单位，</w:t>
      </w:r>
      <w:r>
        <w:rPr>
          <w:rFonts w:hint="eastAsia" w:ascii="宋体" w:hAnsi="宋体" w:cs="宋体"/>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45C49542">
      <w:pPr>
        <w:spacing w:line="588" w:lineRule="exact"/>
        <w:ind w:firstLine="506" w:firstLineChars="200"/>
        <w:rPr>
          <w:rFonts w:ascii="宋体" w:hAnsi="宋体" w:cs="宋体"/>
          <w:color w:val="auto"/>
          <w:spacing w:val="6"/>
          <w:sz w:val="24"/>
          <w:highlight w:val="none"/>
        </w:rPr>
      </w:pPr>
      <w:r>
        <w:rPr>
          <w:rFonts w:hint="eastAsia" w:ascii="宋体" w:hAnsi="宋体" w:cs="宋体"/>
          <w:b/>
          <w:color w:val="auto"/>
          <w:spacing w:val="6"/>
          <w:sz w:val="24"/>
          <w:highlight w:val="none"/>
        </w:rPr>
        <w:t>本单位对上述声明的真实性负责。如有虚假，将依法承担相应责任。</w:t>
      </w:r>
    </w:p>
    <w:p w14:paraId="559B4CFA">
      <w:pPr>
        <w:spacing w:line="588" w:lineRule="exact"/>
        <w:ind w:firstLine="504" w:firstLineChars="200"/>
        <w:rPr>
          <w:rFonts w:ascii="宋体" w:hAnsi="宋体" w:cs="宋体"/>
          <w:color w:val="auto"/>
          <w:spacing w:val="6"/>
          <w:sz w:val="24"/>
          <w:highlight w:val="none"/>
        </w:rPr>
      </w:pPr>
    </w:p>
    <w:p w14:paraId="0DB57B8D">
      <w:pPr>
        <w:spacing w:line="588" w:lineRule="exact"/>
        <w:ind w:firstLine="504" w:firstLineChars="200"/>
        <w:rPr>
          <w:rFonts w:ascii="宋体" w:hAnsi="宋体" w:cs="宋体"/>
          <w:color w:val="auto"/>
          <w:spacing w:val="6"/>
          <w:sz w:val="24"/>
          <w:highlight w:val="none"/>
        </w:rPr>
      </w:pPr>
    </w:p>
    <w:p w14:paraId="10110506">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14:paraId="14DE2D65">
      <w:pPr>
        <w:tabs>
          <w:tab w:val="left" w:pos="4860"/>
        </w:tabs>
        <w:spacing w:line="588" w:lineRule="exact"/>
        <w:ind w:right="1560" w:firstLine="504" w:firstLineChars="200"/>
        <w:jc w:val="center"/>
        <w:rPr>
          <w:rFonts w:ascii="宋体" w:hAnsi="宋体" w:cs="宋体"/>
          <w:color w:val="auto"/>
          <w:spacing w:val="6"/>
          <w:sz w:val="24"/>
          <w:highlight w:val="none"/>
        </w:rPr>
        <w:sectPr>
          <w:headerReference r:id="rId15" w:type="first"/>
          <w:footerReference r:id="rId17" w:type="first"/>
          <w:headerReference r:id="rId14" w:type="even"/>
          <w:footerReference r:id="rId16" w:type="even"/>
          <w:pgSz w:w="11907" w:h="16840"/>
          <w:pgMar w:top="1418" w:right="1134" w:bottom="1418" w:left="1701" w:header="851" w:footer="851" w:gutter="0"/>
          <w:cols w:space="720" w:num="1"/>
          <w:docGrid w:linePitch="462" w:charSpace="0"/>
        </w:sectPr>
      </w:pPr>
      <w:r>
        <w:rPr>
          <w:rFonts w:hint="eastAsia" w:ascii="宋体" w:hAnsi="宋体" w:cs="宋体"/>
          <w:color w:val="auto"/>
          <w:spacing w:val="6"/>
          <w:sz w:val="24"/>
          <w:highlight w:val="none"/>
        </w:rPr>
        <w:t xml:space="preserve">       日  期：</w:t>
      </w:r>
    </w:p>
    <w:p w14:paraId="3FE25DBC">
      <w:pPr>
        <w:spacing w:line="360" w:lineRule="auto"/>
        <w:outlineLvl w:val="2"/>
        <w:rPr>
          <w:rFonts w:hint="default" w:ascii="宋体" w:hAnsi="宋体" w:eastAsia="宋体" w:cs="宋体"/>
          <w:color w:val="auto"/>
          <w:sz w:val="24"/>
          <w:szCs w:val="20"/>
          <w:highlight w:val="none"/>
          <w:lang w:val="en-US" w:eastAsia="zh-CN"/>
        </w:rPr>
      </w:pPr>
      <w:r>
        <w:rPr>
          <w:rFonts w:hint="eastAsia" w:ascii="宋体" w:hAnsi="宋体" w:cs="宋体"/>
          <w:color w:val="auto"/>
          <w:sz w:val="24"/>
          <w:szCs w:val="20"/>
          <w:highlight w:val="none"/>
        </w:rPr>
        <w:t>3-2 本项目的特定资格要求（</w:t>
      </w:r>
      <w:r>
        <w:rPr>
          <w:rFonts w:hint="eastAsia" w:ascii="宋体" w:hAnsi="宋体" w:cs="宋体"/>
          <w:color w:val="auto"/>
          <w:spacing w:val="11"/>
          <w:sz w:val="24"/>
          <w:highlight w:val="none"/>
        </w:rPr>
        <w:t>政府购买服务承</w:t>
      </w:r>
      <w:r>
        <w:rPr>
          <w:rFonts w:hint="eastAsia" w:ascii="宋体" w:hAnsi="宋体" w:cs="宋体"/>
          <w:color w:val="auto"/>
          <w:sz w:val="24"/>
          <w:highlight w:val="none"/>
        </w:rPr>
        <w:t>接主体的要求</w:t>
      </w:r>
      <w:r>
        <w:rPr>
          <w:rFonts w:hint="eastAsia" w:ascii="宋体" w:hAnsi="宋体" w:cs="宋体"/>
          <w:color w:val="auto"/>
          <w:sz w:val="24"/>
          <w:szCs w:val="20"/>
          <w:highlight w:val="none"/>
        </w:rPr>
        <w:t>）（自行承诺、格式自拟）</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lang w:val="en-US" w:eastAsia="zh-CN"/>
        </w:rPr>
        <w:t>如属于）</w:t>
      </w:r>
    </w:p>
    <w:p w14:paraId="550E8ECE">
      <w:pPr>
        <w:pStyle w:val="252"/>
        <w:spacing w:before="2" w:line="360" w:lineRule="auto"/>
        <w:ind w:left="108"/>
        <w:rPr>
          <w:color w:val="auto"/>
          <w:sz w:val="24"/>
          <w:szCs w:val="20"/>
          <w:highlight w:val="none"/>
          <w:lang w:eastAsia="zh-CN"/>
        </w:rPr>
      </w:pPr>
      <w:r>
        <w:rPr>
          <w:rFonts w:hint="eastAsia"/>
          <w:color w:val="auto"/>
          <w:sz w:val="24"/>
          <w:highlight w:val="none"/>
          <w:lang w:eastAsia="zh-CN"/>
        </w:rPr>
        <w:t>本项目属于政府购买服务，投标人不属于公益一类事业单位、使用事业编制且由财政拨款保障的群团组织。</w:t>
      </w:r>
    </w:p>
    <w:p w14:paraId="317F9BA6">
      <w:pPr>
        <w:spacing w:line="360" w:lineRule="auto"/>
        <w:outlineLvl w:val="2"/>
        <w:rPr>
          <w:rFonts w:ascii="宋体" w:hAnsi="宋体" w:cs="宋体"/>
          <w:color w:val="auto"/>
          <w:sz w:val="24"/>
          <w:szCs w:val="20"/>
          <w:highlight w:val="none"/>
        </w:rPr>
      </w:pPr>
    </w:p>
    <w:p w14:paraId="5C964493">
      <w:pPr>
        <w:spacing w:line="360" w:lineRule="auto"/>
        <w:outlineLvl w:val="2"/>
        <w:rPr>
          <w:rFonts w:ascii="宋体" w:hAnsi="宋体" w:cs="宋体"/>
          <w:color w:val="auto"/>
          <w:sz w:val="24"/>
          <w:szCs w:val="20"/>
          <w:highlight w:val="none"/>
        </w:rPr>
        <w:sectPr>
          <w:headerReference r:id="rId19" w:type="first"/>
          <w:footerReference r:id="rId21" w:type="first"/>
          <w:headerReference r:id="rId18" w:type="even"/>
          <w:footerReference r:id="rId20" w:type="even"/>
          <w:pgSz w:w="11907" w:h="16840"/>
          <w:pgMar w:top="1418" w:right="1134" w:bottom="1418" w:left="1701" w:header="851" w:footer="851" w:gutter="0"/>
          <w:cols w:space="720" w:num="1"/>
          <w:docGrid w:linePitch="462" w:charSpace="0"/>
        </w:sectPr>
      </w:pPr>
    </w:p>
    <w:p w14:paraId="5AA25751">
      <w:pPr>
        <w:spacing w:line="360" w:lineRule="auto"/>
        <w:outlineLvl w:val="2"/>
        <w:rPr>
          <w:rFonts w:ascii="宋体" w:hAnsi="宋体" w:cs="宋体"/>
          <w:color w:val="auto"/>
          <w:sz w:val="24"/>
          <w:szCs w:val="20"/>
          <w:highlight w:val="none"/>
        </w:rPr>
      </w:pPr>
      <w:r>
        <w:rPr>
          <w:rFonts w:hint="eastAsia" w:ascii="宋体" w:hAnsi="宋体" w:cs="宋体"/>
          <w:color w:val="auto"/>
          <w:sz w:val="24"/>
          <w:szCs w:val="20"/>
          <w:highlight w:val="none"/>
        </w:rPr>
        <w:t>4 投标保证金凭证/交款单据电子件</w:t>
      </w:r>
    </w:p>
    <w:p w14:paraId="4DA50833">
      <w:pPr>
        <w:spacing w:line="360" w:lineRule="auto"/>
        <w:rPr>
          <w:rFonts w:ascii="宋体" w:hAnsi="宋体" w:cs="宋体"/>
          <w:color w:val="auto"/>
          <w:sz w:val="24"/>
          <w:szCs w:val="20"/>
          <w:highlight w:val="none"/>
        </w:rPr>
      </w:pPr>
    </w:p>
    <w:p w14:paraId="6980EB48">
      <w:pPr>
        <w:widowControl/>
        <w:jc w:val="left"/>
        <w:rPr>
          <w:rFonts w:ascii="宋体" w:hAnsi="宋体" w:cs="宋体"/>
          <w:color w:val="auto"/>
          <w:sz w:val="24"/>
          <w:highlight w:val="none"/>
        </w:rPr>
      </w:pPr>
    </w:p>
    <w:p w14:paraId="745EEA68">
      <w:pPr>
        <w:spacing w:line="360" w:lineRule="auto"/>
        <w:ind w:left="719" w:leftChars="228" w:hanging="240" w:hangingChars="100"/>
        <w:rPr>
          <w:rFonts w:ascii="宋体" w:hAnsi="宋体" w:cs="宋体"/>
          <w:color w:val="auto"/>
          <w:sz w:val="24"/>
          <w:highlight w:val="none"/>
        </w:rPr>
      </w:pPr>
    </w:p>
    <w:p w14:paraId="0E8F1E6C">
      <w:pPr>
        <w:spacing w:line="360" w:lineRule="auto"/>
        <w:rPr>
          <w:rFonts w:ascii="宋体" w:hAnsi="宋体" w:cs="宋体"/>
          <w:color w:val="auto"/>
          <w:sz w:val="24"/>
          <w:szCs w:val="20"/>
          <w:highlight w:val="none"/>
        </w:rPr>
      </w:pPr>
    </w:p>
    <w:p w14:paraId="0701FA53">
      <w:pPr>
        <w:widowControl/>
        <w:jc w:val="left"/>
        <w:rPr>
          <w:rFonts w:ascii="宋体" w:hAnsi="宋体" w:cs="宋体"/>
          <w:color w:val="auto"/>
          <w:kern w:val="0"/>
          <w:sz w:val="24"/>
          <w:szCs w:val="20"/>
          <w:highlight w:val="none"/>
        </w:rPr>
      </w:pPr>
      <w:r>
        <w:rPr>
          <w:rFonts w:hint="eastAsia" w:ascii="宋体" w:hAnsi="宋体" w:cs="宋体"/>
          <w:color w:val="auto"/>
          <w:sz w:val="24"/>
          <w:szCs w:val="20"/>
          <w:highlight w:val="none"/>
        </w:rPr>
        <w:br w:type="page"/>
      </w:r>
    </w:p>
    <w:p w14:paraId="6B4ADB85">
      <w:pPr>
        <w:keepNext/>
        <w:keepLines/>
        <w:autoSpaceDE w:val="0"/>
        <w:autoSpaceDN w:val="0"/>
        <w:adjustRightInd w:val="0"/>
        <w:spacing w:before="120" w:line="300" w:lineRule="auto"/>
        <w:jc w:val="left"/>
        <w:outlineLvl w:val="1"/>
        <w:rPr>
          <w:rFonts w:ascii="宋体" w:hAnsi="宋体" w:cs="宋体"/>
          <w:b/>
          <w:color w:val="auto"/>
          <w:spacing w:val="20"/>
          <w:sz w:val="24"/>
          <w:highlight w:val="none"/>
        </w:rPr>
      </w:pPr>
      <w:r>
        <w:rPr>
          <w:rFonts w:hint="eastAsia" w:ascii="宋体" w:hAnsi="宋体" w:cs="宋体"/>
          <w:b/>
          <w:color w:val="auto"/>
          <w:spacing w:val="20"/>
          <w:sz w:val="24"/>
          <w:highlight w:val="none"/>
        </w:rPr>
        <w:t>二、商务技术文件格式</w:t>
      </w:r>
    </w:p>
    <w:p w14:paraId="643BDEBB">
      <w:pPr>
        <w:rPr>
          <w:rFonts w:ascii="宋体" w:hAnsi="宋体" w:cs="宋体"/>
          <w:b/>
          <w:color w:val="auto"/>
          <w:spacing w:val="20"/>
          <w:szCs w:val="21"/>
          <w:highlight w:val="none"/>
        </w:rPr>
      </w:pPr>
    </w:p>
    <w:p w14:paraId="6128079A">
      <w:pPr>
        <w:rPr>
          <w:rFonts w:ascii="宋体" w:hAnsi="宋体" w:cs="宋体"/>
          <w:b/>
          <w:color w:val="auto"/>
          <w:sz w:val="24"/>
          <w:highlight w:val="none"/>
        </w:rPr>
      </w:pPr>
      <w:r>
        <w:rPr>
          <w:rFonts w:hint="eastAsia" w:ascii="宋体" w:hAnsi="宋体" w:cs="宋体"/>
          <w:b/>
          <w:color w:val="auto"/>
          <w:spacing w:val="20"/>
          <w:sz w:val="24"/>
          <w:highlight w:val="none"/>
        </w:rPr>
        <w:t>投标文件（商务技术文件）</w:t>
      </w:r>
      <w:r>
        <w:rPr>
          <w:rFonts w:hint="eastAsia" w:ascii="宋体" w:hAnsi="宋体" w:cs="宋体"/>
          <w:b/>
          <w:color w:val="auto"/>
          <w:sz w:val="24"/>
          <w:highlight w:val="none"/>
        </w:rPr>
        <w:t>封面（非实质性格式）</w:t>
      </w:r>
    </w:p>
    <w:p w14:paraId="244562CA">
      <w:pPr>
        <w:jc w:val="center"/>
        <w:rPr>
          <w:rFonts w:ascii="宋体" w:hAnsi="宋体" w:cs="宋体"/>
          <w:color w:val="auto"/>
          <w:szCs w:val="21"/>
          <w:highlight w:val="none"/>
        </w:rPr>
      </w:pPr>
    </w:p>
    <w:p w14:paraId="6599C991">
      <w:pPr>
        <w:jc w:val="center"/>
        <w:rPr>
          <w:rFonts w:ascii="宋体" w:hAnsi="宋体" w:cs="宋体"/>
          <w:b/>
          <w:color w:val="auto"/>
          <w:spacing w:val="60"/>
          <w:sz w:val="84"/>
          <w:szCs w:val="84"/>
          <w:highlight w:val="none"/>
        </w:rPr>
      </w:pPr>
      <w:r>
        <w:rPr>
          <w:rFonts w:hint="eastAsia" w:ascii="宋体" w:hAnsi="宋体" w:cs="宋体"/>
          <w:b/>
          <w:color w:val="auto"/>
          <w:spacing w:val="60"/>
          <w:sz w:val="84"/>
          <w:szCs w:val="84"/>
          <w:highlight w:val="none"/>
        </w:rPr>
        <w:t>投 标 文 件</w:t>
      </w:r>
    </w:p>
    <w:p w14:paraId="031872CB">
      <w:pPr>
        <w:tabs>
          <w:tab w:val="left" w:pos="6510"/>
        </w:tabs>
        <w:jc w:val="center"/>
        <w:rPr>
          <w:rFonts w:ascii="宋体" w:hAnsi="宋体" w:cs="宋体"/>
          <w:b/>
          <w:color w:val="auto"/>
          <w:spacing w:val="60"/>
          <w:sz w:val="52"/>
          <w:szCs w:val="52"/>
          <w:highlight w:val="none"/>
        </w:rPr>
      </w:pPr>
      <w:r>
        <w:rPr>
          <w:rFonts w:hint="eastAsia" w:ascii="宋体" w:hAnsi="宋体" w:cs="宋体"/>
          <w:b/>
          <w:color w:val="auto"/>
          <w:spacing w:val="60"/>
          <w:sz w:val="52"/>
          <w:szCs w:val="52"/>
          <w:highlight w:val="none"/>
        </w:rPr>
        <w:t>（商务技术文件）</w:t>
      </w:r>
    </w:p>
    <w:p w14:paraId="39C60E82">
      <w:pPr>
        <w:ind w:firstLine="542" w:firstLineChars="150"/>
        <w:rPr>
          <w:rFonts w:ascii="宋体" w:hAnsi="宋体" w:cs="宋体"/>
          <w:b/>
          <w:color w:val="auto"/>
          <w:spacing w:val="20"/>
          <w:sz w:val="32"/>
          <w:szCs w:val="32"/>
          <w:highlight w:val="none"/>
        </w:rPr>
      </w:pPr>
    </w:p>
    <w:p w14:paraId="10C990AC">
      <w:pPr>
        <w:ind w:firstLine="542" w:firstLineChars="150"/>
        <w:rPr>
          <w:rFonts w:ascii="宋体" w:hAnsi="宋体" w:cs="宋体"/>
          <w:b/>
          <w:color w:val="auto"/>
          <w:spacing w:val="20"/>
          <w:sz w:val="32"/>
          <w:szCs w:val="32"/>
          <w:highlight w:val="none"/>
        </w:rPr>
      </w:pPr>
    </w:p>
    <w:p w14:paraId="5819DDE2">
      <w:pPr>
        <w:ind w:firstLine="542" w:firstLineChars="150"/>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项目名称:</w:t>
      </w:r>
    </w:p>
    <w:p w14:paraId="305BAC33">
      <w:pPr>
        <w:ind w:firstLine="542" w:firstLineChars="150"/>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项目编号/包号：</w:t>
      </w:r>
    </w:p>
    <w:p w14:paraId="32AB1412">
      <w:pPr>
        <w:ind w:firstLine="542" w:firstLineChars="150"/>
        <w:rPr>
          <w:rFonts w:ascii="宋体" w:hAnsi="宋体" w:cs="宋体"/>
          <w:b/>
          <w:color w:val="auto"/>
          <w:spacing w:val="20"/>
          <w:sz w:val="32"/>
          <w:szCs w:val="32"/>
          <w:highlight w:val="none"/>
        </w:rPr>
      </w:pPr>
    </w:p>
    <w:p w14:paraId="17577E14">
      <w:pPr>
        <w:ind w:firstLine="542" w:firstLineChars="150"/>
        <w:rPr>
          <w:rFonts w:ascii="宋体" w:hAnsi="宋体" w:cs="宋体"/>
          <w:b/>
          <w:color w:val="auto"/>
          <w:spacing w:val="20"/>
          <w:sz w:val="32"/>
          <w:szCs w:val="32"/>
          <w:highlight w:val="none"/>
        </w:rPr>
      </w:pPr>
    </w:p>
    <w:p w14:paraId="5A2743CF">
      <w:pPr>
        <w:jc w:val="center"/>
        <w:rPr>
          <w:rFonts w:ascii="宋体" w:hAnsi="宋体" w:cs="宋体"/>
          <w:b/>
          <w:color w:val="auto"/>
          <w:sz w:val="32"/>
          <w:szCs w:val="32"/>
          <w:highlight w:val="none"/>
        </w:rPr>
      </w:pPr>
    </w:p>
    <w:p w14:paraId="4B851417">
      <w:pPr>
        <w:jc w:val="center"/>
        <w:rPr>
          <w:rFonts w:ascii="宋体" w:hAnsi="宋体" w:cs="宋体"/>
          <w:b/>
          <w:color w:val="auto"/>
          <w:sz w:val="32"/>
          <w:szCs w:val="32"/>
          <w:highlight w:val="none"/>
        </w:rPr>
      </w:pPr>
    </w:p>
    <w:p w14:paraId="3FDD9178">
      <w:pPr>
        <w:jc w:val="center"/>
        <w:rPr>
          <w:rFonts w:ascii="宋体" w:hAnsi="宋体" w:cs="宋体"/>
          <w:b/>
          <w:color w:val="auto"/>
          <w:sz w:val="32"/>
          <w:szCs w:val="32"/>
          <w:highlight w:val="none"/>
        </w:rPr>
      </w:pPr>
    </w:p>
    <w:p w14:paraId="1B140CA7">
      <w:pPr>
        <w:jc w:val="center"/>
        <w:rPr>
          <w:rFonts w:ascii="宋体" w:hAnsi="宋体" w:cs="宋体"/>
          <w:b/>
          <w:color w:val="auto"/>
          <w:spacing w:val="20"/>
          <w:sz w:val="32"/>
          <w:szCs w:val="32"/>
          <w:highlight w:val="none"/>
        </w:rPr>
      </w:pPr>
    </w:p>
    <w:p w14:paraId="28212D56">
      <w:pPr>
        <w:jc w:val="center"/>
        <w:rPr>
          <w:rFonts w:ascii="宋体" w:hAnsi="宋体" w:cs="宋体"/>
          <w:b/>
          <w:color w:val="auto"/>
          <w:spacing w:val="20"/>
          <w:sz w:val="32"/>
          <w:szCs w:val="32"/>
          <w:highlight w:val="none"/>
        </w:rPr>
      </w:pPr>
    </w:p>
    <w:p w14:paraId="07057170">
      <w:pPr>
        <w:jc w:val="center"/>
        <w:rPr>
          <w:rFonts w:ascii="宋体" w:hAnsi="宋体" w:cs="宋体"/>
          <w:b/>
          <w:color w:val="auto"/>
          <w:spacing w:val="20"/>
          <w:sz w:val="32"/>
          <w:szCs w:val="32"/>
          <w:highlight w:val="none"/>
        </w:rPr>
      </w:pPr>
    </w:p>
    <w:p w14:paraId="0586E555">
      <w:pPr>
        <w:spacing w:line="360" w:lineRule="auto"/>
        <w:ind w:firstLine="1445" w:firstLineChars="400"/>
        <w:jc w:val="left"/>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投标人名称：</w:t>
      </w:r>
    </w:p>
    <w:p w14:paraId="47F5D3CA">
      <w:pPr>
        <w:jc w:val="center"/>
        <w:rPr>
          <w:rFonts w:ascii="宋体" w:hAnsi="宋体" w:cs="宋体"/>
          <w:b/>
          <w:color w:val="auto"/>
          <w:sz w:val="32"/>
          <w:szCs w:val="32"/>
          <w:highlight w:val="none"/>
        </w:rPr>
      </w:pPr>
    </w:p>
    <w:p w14:paraId="41880B90">
      <w:pPr>
        <w:widowControl/>
        <w:jc w:val="left"/>
        <w:rPr>
          <w:rFonts w:ascii="宋体" w:hAnsi="宋体" w:cs="宋体"/>
          <w:b/>
          <w:color w:val="auto"/>
          <w:sz w:val="24"/>
          <w:highlight w:val="none"/>
        </w:rPr>
      </w:pPr>
      <w:r>
        <w:rPr>
          <w:rFonts w:hint="eastAsia" w:ascii="宋体" w:hAnsi="宋体" w:cs="宋体"/>
          <w:b/>
          <w:color w:val="auto"/>
          <w:sz w:val="24"/>
          <w:highlight w:val="none"/>
        </w:rPr>
        <w:br w:type="page"/>
      </w:r>
    </w:p>
    <w:p w14:paraId="1A20B2E3">
      <w:pPr>
        <w:spacing w:line="360" w:lineRule="auto"/>
        <w:outlineLvl w:val="2"/>
        <w:rPr>
          <w:rFonts w:ascii="宋体" w:hAnsi="宋体" w:cs="宋体"/>
          <w:color w:val="auto"/>
          <w:sz w:val="24"/>
          <w:szCs w:val="20"/>
          <w:highlight w:val="none"/>
        </w:rPr>
      </w:pPr>
      <w:bookmarkStart w:id="851" w:name="_Hlt520343392"/>
      <w:bookmarkEnd w:id="851"/>
      <w:bookmarkStart w:id="852" w:name="_Hlt520350918"/>
      <w:bookmarkEnd w:id="852"/>
      <w:bookmarkStart w:id="853" w:name="_Hlt520273711"/>
      <w:bookmarkEnd w:id="853"/>
      <w:bookmarkStart w:id="854" w:name="_Hlt520355504"/>
      <w:bookmarkEnd w:id="854"/>
      <w:bookmarkStart w:id="855" w:name="_Hlt520274407"/>
      <w:bookmarkEnd w:id="855"/>
      <w:bookmarkStart w:id="856" w:name="_Hlt520274393"/>
      <w:bookmarkEnd w:id="856"/>
      <w:bookmarkStart w:id="857" w:name="_Hlt520274121"/>
      <w:bookmarkEnd w:id="857"/>
      <w:bookmarkStart w:id="858" w:name="_Hlt520271212"/>
      <w:bookmarkEnd w:id="858"/>
      <w:bookmarkStart w:id="859" w:name="_Hlt520274065"/>
      <w:bookmarkEnd w:id="859"/>
      <w:bookmarkStart w:id="860" w:name="_Hlt520343000"/>
      <w:bookmarkEnd w:id="860"/>
      <w:bookmarkStart w:id="861" w:name="_Ref467988698"/>
      <w:bookmarkStart w:id="862" w:name="_Toc480942349"/>
      <w:bookmarkStart w:id="863" w:name="_Toc150480794"/>
      <w:bookmarkStart w:id="864" w:name="_Toc150774761"/>
      <w:bookmarkStart w:id="865" w:name="_Toc142311058"/>
      <w:bookmarkStart w:id="866" w:name="_Toc520356217"/>
      <w:bookmarkStart w:id="867" w:name="_Toc226965829"/>
      <w:bookmarkStart w:id="868" w:name="_Toc226965746"/>
      <w:bookmarkStart w:id="869" w:name="_Toc226337252"/>
      <w:bookmarkStart w:id="870" w:name="_Toc226309800"/>
      <w:bookmarkStart w:id="871" w:name="_Toc127151556"/>
      <w:bookmarkStart w:id="872" w:name="_Toc195842921"/>
      <w:r>
        <w:rPr>
          <w:rFonts w:hint="eastAsia" w:ascii="宋体" w:hAnsi="宋体" w:cs="宋体"/>
          <w:color w:val="auto"/>
          <w:sz w:val="24"/>
          <w:highlight w:val="none"/>
        </w:rPr>
        <w:t>1</w:t>
      </w:r>
      <w:r>
        <w:rPr>
          <w:rFonts w:hint="eastAsia" w:ascii="宋体" w:hAnsi="宋体" w:cs="宋体"/>
          <w:color w:val="auto"/>
          <w:sz w:val="24"/>
          <w:szCs w:val="20"/>
          <w:highlight w:val="none"/>
        </w:rPr>
        <w:t xml:space="preserve">  </w:t>
      </w:r>
      <w:r>
        <w:rPr>
          <w:rFonts w:hint="eastAsia" w:ascii="宋体" w:hAnsi="宋体" w:cs="宋体"/>
          <w:color w:val="auto"/>
          <w:sz w:val="24"/>
          <w:highlight w:val="none"/>
        </w:rPr>
        <w:t>投标</w:t>
      </w:r>
      <w:bookmarkEnd w:id="861"/>
      <w:bookmarkEnd w:id="862"/>
      <w:r>
        <w:rPr>
          <w:rFonts w:hint="eastAsia" w:ascii="宋体" w:hAnsi="宋体" w:cs="宋体"/>
          <w:color w:val="auto"/>
          <w:sz w:val="24"/>
          <w:highlight w:val="none"/>
        </w:rPr>
        <w:t>书</w:t>
      </w:r>
      <w:bookmarkEnd w:id="863"/>
      <w:bookmarkEnd w:id="864"/>
      <w:bookmarkEnd w:id="865"/>
      <w:bookmarkEnd w:id="866"/>
      <w:bookmarkEnd w:id="867"/>
      <w:bookmarkEnd w:id="868"/>
      <w:bookmarkEnd w:id="869"/>
      <w:bookmarkEnd w:id="870"/>
      <w:bookmarkEnd w:id="871"/>
      <w:bookmarkEnd w:id="872"/>
      <w:r>
        <w:rPr>
          <w:rFonts w:hint="eastAsia" w:ascii="宋体" w:hAnsi="宋体" w:cs="宋体"/>
          <w:color w:val="auto"/>
          <w:sz w:val="24"/>
          <w:szCs w:val="20"/>
          <w:highlight w:val="none"/>
        </w:rPr>
        <w:t>（实质性格式）</w:t>
      </w:r>
    </w:p>
    <w:p w14:paraId="706F9230">
      <w:pPr>
        <w:tabs>
          <w:tab w:val="left" w:pos="5580"/>
        </w:tabs>
        <w:spacing w:line="360" w:lineRule="auto"/>
        <w:rPr>
          <w:rFonts w:ascii="宋体" w:hAnsi="宋体" w:cs="宋体"/>
          <w:color w:val="auto"/>
          <w:sz w:val="24"/>
          <w:highlight w:val="none"/>
        </w:rPr>
      </w:pPr>
    </w:p>
    <w:p w14:paraId="38AF7DCF">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投标书</w:t>
      </w:r>
    </w:p>
    <w:p w14:paraId="22F50E09">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（采购人或采购代理机构）</w:t>
      </w:r>
    </w:p>
    <w:p w14:paraId="77CB2D4C">
      <w:pPr>
        <w:tabs>
          <w:tab w:val="left" w:pos="5580"/>
        </w:tabs>
        <w:spacing w:line="360" w:lineRule="auto"/>
        <w:rPr>
          <w:rFonts w:ascii="宋体" w:hAnsi="宋体" w:cs="宋体"/>
          <w:color w:val="auto"/>
          <w:sz w:val="24"/>
          <w:szCs w:val="20"/>
          <w:highlight w:val="none"/>
        </w:rPr>
      </w:pPr>
    </w:p>
    <w:p w14:paraId="391C9AC3">
      <w:pPr>
        <w:tabs>
          <w:tab w:val="left" w:pos="5580"/>
        </w:tabs>
        <w:spacing w:line="360" w:lineRule="auto"/>
        <w:ind w:firstLine="408"/>
        <w:rPr>
          <w:rFonts w:ascii="宋体" w:hAnsi="宋体" w:cs="宋体"/>
          <w:color w:val="auto"/>
          <w:sz w:val="24"/>
          <w:szCs w:val="20"/>
          <w:highlight w:val="none"/>
        </w:rPr>
      </w:pPr>
      <w:r>
        <w:rPr>
          <w:rFonts w:hint="eastAsia" w:ascii="宋体" w:hAnsi="宋体" w:cs="宋体"/>
          <w:color w:val="auto"/>
          <w:sz w:val="24"/>
          <w:szCs w:val="20"/>
          <w:highlight w:val="none"/>
        </w:rPr>
        <w:t>我方参加你方就___________（项目名称，项目编号/包号）组织的招标活动，并对此项目进行投标。</w:t>
      </w:r>
    </w:p>
    <w:p w14:paraId="5AC04D70">
      <w:pPr>
        <w:tabs>
          <w:tab w:val="left" w:pos="5580"/>
        </w:tabs>
        <w:spacing w:line="360" w:lineRule="auto"/>
        <w:ind w:firstLine="408"/>
        <w:rPr>
          <w:rFonts w:ascii="宋体" w:hAnsi="宋体" w:cs="宋体"/>
          <w:color w:val="auto"/>
          <w:sz w:val="24"/>
          <w:szCs w:val="20"/>
          <w:highlight w:val="none"/>
        </w:rPr>
      </w:pPr>
      <w:r>
        <w:rPr>
          <w:rFonts w:hint="eastAsia" w:ascii="宋体" w:hAnsi="宋体" w:cs="宋体"/>
          <w:color w:val="auto"/>
          <w:sz w:val="24"/>
          <w:szCs w:val="20"/>
          <w:highlight w:val="none"/>
        </w:rPr>
        <w:t>1. 我方</w:t>
      </w:r>
      <w:r>
        <w:rPr>
          <w:rFonts w:hint="eastAsia" w:ascii="宋体" w:hAnsi="宋体" w:cs="宋体"/>
          <w:color w:val="auto"/>
          <w:sz w:val="24"/>
          <w:highlight w:val="none"/>
        </w:rPr>
        <w:t>已详细审查全部招标文件</w:t>
      </w:r>
      <w:r>
        <w:rPr>
          <w:rFonts w:hint="eastAsia" w:ascii="宋体" w:hAnsi="宋体" w:cs="宋体"/>
          <w:color w:val="auto"/>
          <w:sz w:val="24"/>
          <w:szCs w:val="20"/>
          <w:highlight w:val="none"/>
        </w:rPr>
        <w:t>，自愿参与投标并承诺如下：</w:t>
      </w:r>
    </w:p>
    <w:p w14:paraId="2D3C47F9">
      <w:pPr>
        <w:tabs>
          <w:tab w:val="left" w:pos="720"/>
          <w:tab w:val="left" w:pos="900"/>
        </w:tabs>
        <w:spacing w:line="360" w:lineRule="auto"/>
        <w:ind w:left="360" w:firstLine="72" w:firstLineChars="30"/>
        <w:rPr>
          <w:rFonts w:ascii="宋体" w:hAnsi="宋体" w:cs="宋体"/>
          <w:color w:val="auto"/>
          <w:sz w:val="24"/>
          <w:szCs w:val="20"/>
          <w:highlight w:val="none"/>
        </w:rPr>
      </w:pPr>
      <w:r>
        <w:rPr>
          <w:rFonts w:hint="eastAsia" w:ascii="宋体" w:hAnsi="宋体" w:cs="宋体"/>
          <w:color w:val="auto"/>
          <w:sz w:val="24"/>
          <w:szCs w:val="20"/>
          <w:highlight w:val="none"/>
        </w:rPr>
        <w:t>（1）本投标有效期为自提交投标文件的截止之日起</w:t>
      </w:r>
      <w:r>
        <w:rPr>
          <w:rFonts w:hint="eastAsia" w:ascii="宋体" w:hAnsi="宋体" w:cs="宋体"/>
          <w:color w:val="auto"/>
          <w:sz w:val="24"/>
          <w:highlight w:val="none"/>
        </w:rPr>
        <w:t>_____</w:t>
      </w:r>
      <w:r>
        <w:rPr>
          <w:rFonts w:hint="eastAsia" w:ascii="宋体" w:hAnsi="宋体" w:cs="宋体"/>
          <w:color w:val="auto"/>
          <w:sz w:val="24"/>
          <w:szCs w:val="20"/>
          <w:highlight w:val="none"/>
        </w:rPr>
        <w:t>个日历日。</w:t>
      </w:r>
    </w:p>
    <w:p w14:paraId="32AA098E">
      <w:pPr>
        <w:tabs>
          <w:tab w:val="left" w:pos="720"/>
          <w:tab w:val="left" w:pos="900"/>
        </w:tabs>
        <w:spacing w:line="360" w:lineRule="auto"/>
        <w:ind w:left="360" w:firstLine="72" w:firstLineChars="30"/>
        <w:rPr>
          <w:rFonts w:ascii="宋体" w:hAnsi="宋体" w:cs="宋体"/>
          <w:color w:val="auto"/>
          <w:sz w:val="24"/>
          <w:szCs w:val="20"/>
          <w:highlight w:val="none"/>
        </w:rPr>
      </w:pPr>
      <w:r>
        <w:rPr>
          <w:rFonts w:hint="eastAsia" w:ascii="宋体" w:hAnsi="宋体" w:cs="宋体"/>
          <w:color w:val="auto"/>
          <w:sz w:val="24"/>
          <w:szCs w:val="20"/>
          <w:highlight w:val="none"/>
        </w:rPr>
        <w:t>（2）除合同条款及采购需求偏离表列出的偏离外，我方响应招标文件的全部要求。</w:t>
      </w:r>
    </w:p>
    <w:p w14:paraId="4629E3D5">
      <w:pPr>
        <w:tabs>
          <w:tab w:val="left" w:pos="5580"/>
        </w:tabs>
        <w:spacing w:line="360" w:lineRule="auto"/>
        <w:ind w:firstLine="420" w:firstLineChars="175"/>
        <w:rPr>
          <w:rFonts w:ascii="宋体" w:hAnsi="宋体" w:cs="宋体"/>
          <w:color w:val="auto"/>
          <w:sz w:val="24"/>
          <w:szCs w:val="20"/>
          <w:highlight w:val="none"/>
        </w:rPr>
      </w:pPr>
      <w:r>
        <w:rPr>
          <w:rFonts w:hint="eastAsia" w:ascii="宋体" w:hAnsi="宋体" w:cs="宋体"/>
          <w:color w:val="auto"/>
          <w:sz w:val="24"/>
          <w:szCs w:val="20"/>
          <w:highlight w:val="none"/>
        </w:rPr>
        <w:t>（3）我方已提供的全部文件资料是真实、准确的，并对此承担一切法律后果。</w:t>
      </w:r>
    </w:p>
    <w:p w14:paraId="1DA98151">
      <w:pPr>
        <w:tabs>
          <w:tab w:val="left" w:pos="5580"/>
        </w:tabs>
        <w:spacing w:line="360" w:lineRule="auto"/>
        <w:ind w:firstLine="420" w:firstLineChars="175"/>
        <w:rPr>
          <w:rFonts w:ascii="宋体" w:hAnsi="宋体" w:cs="宋体"/>
          <w:color w:val="auto"/>
          <w:sz w:val="24"/>
          <w:highlight w:val="none"/>
        </w:rPr>
      </w:pPr>
      <w:r>
        <w:rPr>
          <w:rFonts w:hint="eastAsia" w:ascii="宋体" w:hAnsi="宋体" w:cs="宋体"/>
          <w:color w:val="auto"/>
          <w:sz w:val="24"/>
          <w:szCs w:val="20"/>
          <w:highlight w:val="none"/>
        </w:rPr>
        <w:t>（4）如我方中标，我方将在法律规定的期限内与你方签订合同，按照招标文件要求提交履约保证金，并在合同约定的期限内完成合同规定的全部义务。</w:t>
      </w:r>
    </w:p>
    <w:p w14:paraId="4220E87F">
      <w:pPr>
        <w:spacing w:line="360" w:lineRule="auto"/>
        <w:ind w:left="420"/>
        <w:rPr>
          <w:rFonts w:ascii="宋体" w:hAnsi="宋体" w:cs="宋体"/>
          <w:color w:val="auto"/>
          <w:sz w:val="24"/>
          <w:highlight w:val="none"/>
        </w:rPr>
      </w:pPr>
      <w:r>
        <w:rPr>
          <w:rFonts w:hint="eastAsia" w:ascii="宋体" w:hAnsi="宋体" w:cs="宋体"/>
          <w:color w:val="auto"/>
          <w:sz w:val="24"/>
          <w:highlight w:val="none"/>
        </w:rPr>
        <w:t>2. 其他补充条款（如有）：</w:t>
      </w:r>
      <w:r>
        <w:rPr>
          <w:rFonts w:hint="eastAsia" w:ascii="宋体" w:hAnsi="宋体" w:cs="宋体"/>
          <w:color w:val="auto"/>
          <w:sz w:val="24"/>
          <w:szCs w:val="20"/>
          <w:highlight w:val="none"/>
        </w:rPr>
        <w:t>___________</w:t>
      </w:r>
      <w:r>
        <w:rPr>
          <w:rFonts w:hint="eastAsia" w:ascii="宋体" w:hAnsi="宋体" w:cs="宋体"/>
          <w:color w:val="auto"/>
          <w:sz w:val="24"/>
          <w:highlight w:val="none"/>
        </w:rPr>
        <w:t>。</w:t>
      </w:r>
    </w:p>
    <w:p w14:paraId="1799B9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与本投标有关的一切正式往来信函请寄：</w:t>
      </w:r>
    </w:p>
    <w:p w14:paraId="553FF795">
      <w:pPr>
        <w:tabs>
          <w:tab w:val="left" w:pos="5580"/>
        </w:tabs>
        <w:spacing w:line="360" w:lineRule="auto"/>
        <w:ind w:left="420"/>
        <w:rPr>
          <w:rFonts w:ascii="宋体" w:hAnsi="宋体" w:cs="宋体"/>
          <w:color w:val="auto"/>
          <w:sz w:val="24"/>
          <w:szCs w:val="20"/>
          <w:highlight w:val="none"/>
        </w:rPr>
      </w:pPr>
    </w:p>
    <w:p w14:paraId="6CCBCD6C">
      <w:pPr>
        <w:tabs>
          <w:tab w:val="left" w:pos="5580"/>
        </w:tabs>
        <w:spacing w:line="360" w:lineRule="auto"/>
        <w:ind w:left="420"/>
        <w:rPr>
          <w:rFonts w:ascii="宋体" w:hAnsi="宋体" w:cs="宋体"/>
          <w:color w:val="auto"/>
          <w:sz w:val="24"/>
          <w:szCs w:val="20"/>
          <w:highlight w:val="none"/>
        </w:rPr>
      </w:pPr>
      <w:r>
        <w:rPr>
          <w:rFonts w:hint="eastAsia" w:ascii="宋体" w:hAnsi="宋体" w:cs="宋体"/>
          <w:color w:val="auto"/>
          <w:sz w:val="24"/>
          <w:szCs w:val="20"/>
          <w:highlight w:val="none"/>
        </w:rPr>
        <w:t>地址_________________________     传真____________________________</w:t>
      </w:r>
    </w:p>
    <w:p w14:paraId="52ABE6B9">
      <w:pPr>
        <w:tabs>
          <w:tab w:val="left" w:pos="5580"/>
        </w:tabs>
        <w:spacing w:line="360" w:lineRule="auto"/>
        <w:ind w:left="420"/>
        <w:rPr>
          <w:rFonts w:ascii="宋体" w:hAnsi="宋体" w:cs="宋体"/>
          <w:color w:val="auto"/>
          <w:sz w:val="24"/>
          <w:szCs w:val="20"/>
          <w:highlight w:val="none"/>
        </w:rPr>
      </w:pPr>
      <w:r>
        <w:rPr>
          <w:rFonts w:hint="eastAsia" w:ascii="宋体" w:hAnsi="宋体" w:cs="宋体"/>
          <w:color w:val="auto"/>
          <w:sz w:val="24"/>
          <w:szCs w:val="20"/>
          <w:highlight w:val="none"/>
        </w:rPr>
        <w:t>电话_________________________     电子函件________________________</w:t>
      </w:r>
    </w:p>
    <w:p w14:paraId="0461EAB5">
      <w:pPr>
        <w:tabs>
          <w:tab w:val="left" w:pos="5580"/>
        </w:tabs>
        <w:spacing w:line="360" w:lineRule="auto"/>
        <w:ind w:left="420"/>
        <w:rPr>
          <w:rFonts w:ascii="宋体" w:hAnsi="宋体" w:cs="宋体"/>
          <w:color w:val="auto"/>
          <w:sz w:val="24"/>
          <w:szCs w:val="20"/>
          <w:highlight w:val="none"/>
        </w:rPr>
      </w:pPr>
    </w:p>
    <w:p w14:paraId="2237D133">
      <w:pPr>
        <w:tabs>
          <w:tab w:val="left" w:pos="5580"/>
        </w:tabs>
        <w:spacing w:line="360" w:lineRule="auto"/>
        <w:ind w:left="420"/>
        <w:rPr>
          <w:rFonts w:ascii="宋体" w:hAnsi="宋体" w:cs="宋体"/>
          <w:color w:val="auto"/>
          <w:sz w:val="24"/>
          <w:szCs w:val="20"/>
          <w:highlight w:val="none"/>
        </w:rPr>
      </w:pPr>
      <w:r>
        <w:rPr>
          <w:rFonts w:hint="eastAsia" w:ascii="宋体" w:hAnsi="宋体" w:cs="宋体"/>
          <w:color w:val="auto"/>
          <w:sz w:val="24"/>
          <w:szCs w:val="20"/>
          <w:highlight w:val="none"/>
        </w:rPr>
        <w:t>投标人名称（加盖公章） ___________</w:t>
      </w:r>
    </w:p>
    <w:p w14:paraId="0DAA0FE4">
      <w:pPr>
        <w:tabs>
          <w:tab w:val="left" w:pos="5580"/>
        </w:tabs>
        <w:spacing w:line="360" w:lineRule="auto"/>
        <w:ind w:left="420"/>
        <w:rPr>
          <w:rFonts w:ascii="宋体" w:hAnsi="宋体" w:cs="宋体"/>
          <w:color w:val="auto"/>
          <w:sz w:val="24"/>
          <w:szCs w:val="20"/>
          <w:highlight w:val="none"/>
        </w:rPr>
      </w:pPr>
      <w:r>
        <w:rPr>
          <w:rFonts w:hint="eastAsia" w:ascii="宋体" w:hAnsi="宋体" w:cs="宋体"/>
          <w:color w:val="auto"/>
          <w:sz w:val="24"/>
          <w:szCs w:val="20"/>
          <w:highlight w:val="none"/>
        </w:rPr>
        <w:t xml:space="preserve">日期：_____年______月______日    </w:t>
      </w:r>
    </w:p>
    <w:p w14:paraId="72198853">
      <w:pPr>
        <w:tabs>
          <w:tab w:val="left" w:pos="5580"/>
        </w:tabs>
        <w:spacing w:line="360" w:lineRule="auto"/>
        <w:ind w:left="420"/>
        <w:rPr>
          <w:rFonts w:ascii="宋体" w:hAnsi="宋体" w:cs="宋体"/>
          <w:color w:val="auto"/>
          <w:sz w:val="24"/>
          <w:szCs w:val="20"/>
          <w:highlight w:val="none"/>
          <w:u w:val="single"/>
        </w:rPr>
      </w:pPr>
    </w:p>
    <w:p w14:paraId="77A53739">
      <w:pPr>
        <w:widowControl/>
        <w:jc w:val="left"/>
        <w:rPr>
          <w:rFonts w:ascii="宋体" w:hAnsi="宋体" w:cs="宋体"/>
          <w:color w:val="auto"/>
          <w:sz w:val="24"/>
          <w:highlight w:val="none"/>
        </w:rPr>
      </w:pPr>
      <w:bookmarkStart w:id="873" w:name="_Hlt520355938"/>
      <w:bookmarkEnd w:id="873"/>
      <w:bookmarkStart w:id="874" w:name="_Hlt520356243"/>
      <w:bookmarkEnd w:id="874"/>
      <w:bookmarkStart w:id="875" w:name="_Toc127151557"/>
      <w:bookmarkStart w:id="876" w:name="_Toc195842922"/>
      <w:bookmarkStart w:id="877" w:name="_Toc226965747"/>
      <w:bookmarkStart w:id="878" w:name="_Toc226337253"/>
      <w:bookmarkStart w:id="879" w:name="_Toc150480795"/>
      <w:bookmarkStart w:id="880" w:name="_Toc305158825"/>
      <w:bookmarkStart w:id="881" w:name="_Toc265228395"/>
      <w:bookmarkStart w:id="882" w:name="_Ref467988705"/>
      <w:bookmarkStart w:id="883" w:name="_Toc305158899"/>
      <w:bookmarkStart w:id="884" w:name="_Toc226309801"/>
      <w:bookmarkStart w:id="885" w:name="_Toc226965830"/>
      <w:bookmarkStart w:id="886" w:name="_Toc150774762"/>
      <w:bookmarkStart w:id="887" w:name="_Toc264969247"/>
      <w:bookmarkStart w:id="888" w:name="_Toc520356218"/>
      <w:bookmarkStart w:id="889" w:name="_Toc142311059"/>
      <w:bookmarkStart w:id="890" w:name="_Toc480942350"/>
      <w:r>
        <w:rPr>
          <w:rFonts w:hint="eastAsia" w:ascii="宋体" w:hAnsi="宋体" w:cs="宋体"/>
          <w:color w:val="auto"/>
          <w:sz w:val="24"/>
          <w:highlight w:val="none"/>
        </w:rPr>
        <w:br w:type="page"/>
      </w:r>
    </w:p>
    <w:p w14:paraId="71D4F759">
      <w:pPr>
        <w:spacing w:line="360" w:lineRule="auto"/>
        <w:outlineLvl w:val="2"/>
        <w:rPr>
          <w:rFonts w:ascii="宋体" w:hAnsi="宋体" w:cs="宋体"/>
          <w:color w:val="auto"/>
          <w:sz w:val="24"/>
          <w:highlight w:val="none"/>
        </w:rPr>
      </w:pPr>
      <w:r>
        <w:rPr>
          <w:rFonts w:hint="eastAsia" w:ascii="宋体" w:hAnsi="宋体" w:cs="宋体"/>
          <w:color w:val="auto"/>
          <w:sz w:val="24"/>
          <w:highlight w:val="none"/>
        </w:rPr>
        <w:t>2  授权委托书（实质性格式）</w:t>
      </w:r>
    </w:p>
    <w:p w14:paraId="4831BA50">
      <w:pPr>
        <w:jc w:val="center"/>
        <w:rPr>
          <w:rFonts w:ascii="宋体" w:hAnsi="宋体" w:cs="宋体"/>
          <w:b/>
          <w:color w:val="auto"/>
          <w:sz w:val="36"/>
          <w:szCs w:val="36"/>
          <w:highlight w:val="none"/>
        </w:rPr>
      </w:pPr>
      <w:r>
        <w:rPr>
          <w:rFonts w:hint="eastAsia" w:ascii="宋体" w:hAnsi="宋体" w:cs="宋体"/>
          <w:b/>
          <w:color w:val="auto"/>
          <w:sz w:val="36"/>
          <w:szCs w:val="36"/>
          <w:highlight w:val="none"/>
        </w:rPr>
        <w:t>授权委托书</w:t>
      </w:r>
    </w:p>
    <w:p w14:paraId="6D89A4A6">
      <w:pPr>
        <w:spacing w:line="360" w:lineRule="auto"/>
        <w:ind w:firstLine="420"/>
        <w:rPr>
          <w:rFonts w:ascii="宋体" w:hAnsi="宋体" w:cs="宋体"/>
          <w:color w:val="auto"/>
          <w:sz w:val="24"/>
          <w:szCs w:val="20"/>
          <w:highlight w:val="none"/>
        </w:rPr>
      </w:pPr>
    </w:p>
    <w:p w14:paraId="2AA9C457">
      <w:pPr>
        <w:spacing w:line="360" w:lineRule="auto"/>
        <w:ind w:firstLine="420"/>
        <w:rPr>
          <w:rFonts w:ascii="宋体" w:hAnsi="宋体" w:cs="宋体"/>
          <w:color w:val="auto"/>
          <w:sz w:val="24"/>
          <w:szCs w:val="20"/>
          <w:highlight w:val="none"/>
        </w:rPr>
      </w:pPr>
      <w:r>
        <w:rPr>
          <w:rFonts w:hint="eastAsia" w:ascii="宋体" w:hAnsi="宋体" w:cs="宋体"/>
          <w:color w:val="auto"/>
          <w:sz w:val="24"/>
          <w:szCs w:val="20"/>
          <w:highlight w:val="none"/>
        </w:rPr>
        <w:t>本人</w:t>
      </w:r>
      <w:r>
        <w:rPr>
          <w:rFonts w:hint="eastAsia" w:ascii="宋体" w:hAnsi="宋体" w:cs="宋体"/>
          <w:color w:val="auto"/>
          <w:sz w:val="24"/>
          <w:highlight w:val="none"/>
          <w:lang w:val="zh-CN"/>
        </w:rPr>
        <w:t>_______</w:t>
      </w:r>
      <w:r>
        <w:rPr>
          <w:rFonts w:hint="eastAsia" w:ascii="宋体" w:hAnsi="宋体" w:cs="宋体"/>
          <w:color w:val="auto"/>
          <w:sz w:val="24"/>
          <w:szCs w:val="20"/>
          <w:highlight w:val="none"/>
        </w:rPr>
        <w:t>（姓名）系</w:t>
      </w:r>
      <w:r>
        <w:rPr>
          <w:rFonts w:hint="eastAsia" w:ascii="宋体" w:hAnsi="宋体" w:cs="宋体"/>
          <w:color w:val="auto"/>
          <w:sz w:val="24"/>
          <w:highlight w:val="none"/>
          <w:lang w:val="zh-CN"/>
        </w:rPr>
        <w:t>________________</w:t>
      </w:r>
      <w:r>
        <w:rPr>
          <w:rFonts w:hint="eastAsia" w:ascii="宋体" w:hAnsi="宋体" w:cs="宋体"/>
          <w:color w:val="auto"/>
          <w:sz w:val="24"/>
          <w:szCs w:val="20"/>
          <w:highlight w:val="none"/>
        </w:rPr>
        <w:t>（投标人名称）的法定代表人（单位负责人），现委托</w:t>
      </w:r>
      <w:r>
        <w:rPr>
          <w:rFonts w:hint="eastAsia" w:ascii="宋体" w:hAnsi="宋体" w:cs="宋体"/>
          <w:color w:val="auto"/>
          <w:sz w:val="24"/>
          <w:highlight w:val="none"/>
          <w:lang w:val="zh-CN"/>
        </w:rPr>
        <w:t>_______</w:t>
      </w:r>
      <w:r>
        <w:rPr>
          <w:rFonts w:hint="eastAsia" w:ascii="宋体" w:hAnsi="宋体" w:cs="宋体"/>
          <w:color w:val="auto"/>
          <w:sz w:val="24"/>
          <w:szCs w:val="20"/>
          <w:highlight w:val="none"/>
        </w:rPr>
        <w:t>（姓名）为我方代理人。代理人根据授权，以我方名义签署、澄清确认、递交、撤回、修改</w:t>
      </w:r>
      <w:r>
        <w:rPr>
          <w:rFonts w:hint="eastAsia" w:ascii="宋体" w:hAnsi="宋体" w:cs="宋体"/>
          <w:color w:val="auto"/>
          <w:sz w:val="24"/>
          <w:highlight w:val="none"/>
          <w:lang w:val="zh-CN"/>
        </w:rPr>
        <w:t>________________</w:t>
      </w:r>
      <w:r>
        <w:rPr>
          <w:rFonts w:hint="eastAsia" w:ascii="宋体" w:hAnsi="宋体" w:cs="宋体"/>
          <w:color w:val="auto"/>
          <w:sz w:val="24"/>
          <w:szCs w:val="20"/>
          <w:highlight w:val="none"/>
        </w:rPr>
        <w:t>（项目名称）</w:t>
      </w:r>
      <w:r>
        <w:rPr>
          <w:rFonts w:hint="eastAsia" w:ascii="宋体" w:hAnsi="宋体" w:cs="宋体"/>
          <w:color w:val="auto"/>
          <w:sz w:val="24"/>
          <w:highlight w:val="none"/>
        </w:rPr>
        <w:t>投标</w:t>
      </w:r>
      <w:r>
        <w:rPr>
          <w:rFonts w:hint="eastAsia" w:ascii="宋体" w:hAnsi="宋体" w:cs="宋体"/>
          <w:color w:val="auto"/>
          <w:sz w:val="24"/>
          <w:szCs w:val="20"/>
          <w:highlight w:val="none"/>
        </w:rPr>
        <w:t>文件和处理有关事宜，其法律后果由我方承担。</w:t>
      </w:r>
    </w:p>
    <w:p w14:paraId="7824E745">
      <w:pPr>
        <w:spacing w:line="360" w:lineRule="auto"/>
        <w:ind w:firstLine="420"/>
        <w:rPr>
          <w:rFonts w:ascii="宋体" w:hAnsi="宋体" w:cs="宋体"/>
          <w:color w:val="auto"/>
          <w:sz w:val="24"/>
          <w:szCs w:val="20"/>
          <w:highlight w:val="none"/>
        </w:rPr>
      </w:pPr>
      <w:r>
        <w:rPr>
          <w:rFonts w:hint="eastAsia" w:ascii="宋体" w:hAnsi="宋体" w:cs="宋体"/>
          <w:color w:val="auto"/>
          <w:sz w:val="24"/>
          <w:szCs w:val="20"/>
          <w:highlight w:val="none"/>
        </w:rPr>
        <w:t>委托期限：自本授权委托书签署之日起至响应有效期届满之日止。</w:t>
      </w:r>
    </w:p>
    <w:p w14:paraId="3F66BBFD">
      <w:pPr>
        <w:spacing w:line="360" w:lineRule="auto"/>
        <w:ind w:firstLine="420"/>
        <w:rPr>
          <w:rFonts w:ascii="宋体" w:hAnsi="宋体" w:cs="宋体"/>
          <w:color w:val="auto"/>
          <w:sz w:val="24"/>
          <w:szCs w:val="20"/>
          <w:highlight w:val="none"/>
        </w:rPr>
      </w:pPr>
      <w:r>
        <w:rPr>
          <w:rFonts w:hint="eastAsia" w:ascii="宋体" w:hAnsi="宋体" w:cs="宋体"/>
          <w:color w:val="auto"/>
          <w:sz w:val="24"/>
          <w:szCs w:val="20"/>
          <w:highlight w:val="none"/>
        </w:rPr>
        <w:t>代理人无转委托权。</w:t>
      </w:r>
      <w:r>
        <w:rPr>
          <w:rFonts w:hint="eastAsia" w:ascii="宋体" w:hAnsi="宋体" w:cs="宋体"/>
          <w:color w:val="auto"/>
          <w:sz w:val="24"/>
          <w:szCs w:val="20"/>
          <w:highlight w:val="none"/>
        </w:rPr>
        <w:cr/>
      </w:r>
    </w:p>
    <w:p w14:paraId="2515024C">
      <w:pPr>
        <w:spacing w:line="360" w:lineRule="auto"/>
        <w:rPr>
          <w:rFonts w:ascii="宋体" w:hAnsi="宋体" w:cs="宋体"/>
          <w:color w:val="auto"/>
          <w:sz w:val="24"/>
          <w:highlight w:val="none"/>
          <w:lang w:val="zh-CN"/>
        </w:rPr>
      </w:pPr>
      <w:r>
        <w:rPr>
          <w:rFonts w:hint="eastAsia" w:ascii="宋体" w:hAnsi="宋体" w:cs="宋体"/>
          <w:color w:val="auto"/>
          <w:sz w:val="24"/>
          <w:highlight w:val="none"/>
        </w:rPr>
        <w:t>投标人名称（加盖公章）</w:t>
      </w:r>
      <w:r>
        <w:rPr>
          <w:rFonts w:hint="eastAsia" w:ascii="宋体" w:hAnsi="宋体" w:cs="宋体"/>
          <w:color w:val="auto"/>
          <w:sz w:val="24"/>
          <w:highlight w:val="none"/>
          <w:lang w:val="zh-CN"/>
        </w:rPr>
        <w:t>：________________</w:t>
      </w:r>
    </w:p>
    <w:p w14:paraId="75F6E347">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法定代表人（单位负责人）（签字或签章）：</w:t>
      </w:r>
      <w:r>
        <w:rPr>
          <w:rFonts w:hint="eastAsia" w:ascii="宋体" w:hAnsi="宋体" w:cs="宋体"/>
          <w:color w:val="auto"/>
          <w:sz w:val="24"/>
          <w:highlight w:val="none"/>
          <w:lang w:val="zh-CN"/>
        </w:rPr>
        <w:t>________________</w:t>
      </w:r>
    </w:p>
    <w:p w14:paraId="213904A3">
      <w:pPr>
        <w:autoSpaceDE w:val="0"/>
        <w:autoSpaceDN w:val="0"/>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rPr>
        <w:t>委托代理人（签字或签章）：</w:t>
      </w:r>
      <w:r>
        <w:rPr>
          <w:rFonts w:hint="eastAsia" w:ascii="宋体" w:hAnsi="宋体" w:cs="宋体"/>
          <w:color w:val="auto"/>
          <w:sz w:val="24"/>
          <w:highlight w:val="none"/>
          <w:lang w:val="zh-CN"/>
        </w:rPr>
        <w:t>________________</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 xml:space="preserve">                      </w:t>
      </w:r>
    </w:p>
    <w:p w14:paraId="1ECCD5EA">
      <w:pPr>
        <w:autoSpaceDE w:val="0"/>
        <w:autoSpaceDN w:val="0"/>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rPr>
        <w:t>日期：_____年______月______日</w:t>
      </w:r>
    </w:p>
    <w:p w14:paraId="543A11CB">
      <w:pPr>
        <w:tabs>
          <w:tab w:val="left" w:pos="5580"/>
        </w:tabs>
        <w:spacing w:line="360" w:lineRule="auto"/>
        <w:ind w:firstLine="480" w:firstLineChars="200"/>
        <w:rPr>
          <w:rFonts w:ascii="宋体" w:hAnsi="宋体" w:cs="宋体"/>
          <w:color w:val="auto"/>
          <w:sz w:val="24"/>
          <w:szCs w:val="20"/>
          <w:highlight w:val="none"/>
        </w:rPr>
      </w:pPr>
    </w:p>
    <w:p w14:paraId="20A7F58B">
      <w:pPr>
        <w:tabs>
          <w:tab w:val="left" w:pos="5580"/>
        </w:tabs>
        <w:spacing w:line="360" w:lineRule="auto"/>
        <w:jc w:val="left"/>
        <w:rPr>
          <w:rFonts w:ascii="宋体" w:hAnsi="宋体" w:cs="宋体"/>
          <w:color w:val="auto"/>
          <w:sz w:val="24"/>
          <w:szCs w:val="20"/>
          <w:highlight w:val="none"/>
        </w:rPr>
      </w:pPr>
      <w:r>
        <w:rPr>
          <w:rFonts w:hint="eastAsia" w:ascii="宋体" w:hAnsi="宋体" w:cs="宋体"/>
          <w:color w:val="auto"/>
          <w:sz w:val="24"/>
          <w:szCs w:val="20"/>
          <w:highlight w:val="none"/>
        </w:rPr>
        <w:t>附：法定代表人及委托代理人身份证明文件电子件：</w:t>
      </w:r>
    </w:p>
    <w:tbl>
      <w:tblPr>
        <w:tblStyle w:val="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2"/>
      </w:tblGrid>
      <w:tr w14:paraId="65CFF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9062" w:type="dxa"/>
          </w:tcPr>
          <w:p w14:paraId="3ED3297C">
            <w:pPr>
              <w:tabs>
                <w:tab w:val="left" w:pos="5580"/>
              </w:tabs>
              <w:spacing w:line="360" w:lineRule="auto"/>
              <w:jc w:val="left"/>
              <w:rPr>
                <w:rFonts w:ascii="宋体" w:hAnsi="宋体" w:cs="宋体"/>
                <w:color w:val="auto"/>
                <w:sz w:val="24"/>
                <w:szCs w:val="20"/>
                <w:highlight w:val="none"/>
              </w:rPr>
            </w:pPr>
          </w:p>
        </w:tc>
      </w:tr>
    </w:tbl>
    <w:p w14:paraId="41B7FE3F">
      <w:pPr>
        <w:tabs>
          <w:tab w:val="left" w:pos="5580"/>
        </w:tabs>
        <w:spacing w:line="360" w:lineRule="auto"/>
        <w:jc w:val="left"/>
        <w:rPr>
          <w:rFonts w:ascii="宋体" w:hAnsi="宋体" w:cs="宋体"/>
          <w:color w:val="auto"/>
          <w:sz w:val="24"/>
          <w:szCs w:val="20"/>
          <w:highlight w:val="none"/>
        </w:rPr>
      </w:pPr>
      <w:r>
        <w:rPr>
          <w:rFonts w:hint="eastAsia" w:ascii="宋体" w:hAnsi="宋体" w:cs="宋体"/>
          <w:color w:val="auto"/>
          <w:sz w:val="24"/>
          <w:szCs w:val="20"/>
          <w:highlight w:val="none"/>
        </w:rPr>
        <w:t>说明：</w:t>
      </w:r>
    </w:p>
    <w:p w14:paraId="1148D838">
      <w:pPr>
        <w:tabs>
          <w:tab w:val="left" w:pos="5580"/>
        </w:tabs>
        <w:spacing w:line="360" w:lineRule="auto"/>
        <w:jc w:val="left"/>
        <w:rPr>
          <w:rFonts w:ascii="宋体" w:hAnsi="宋体" w:cs="宋体"/>
          <w:color w:val="auto"/>
          <w:sz w:val="24"/>
          <w:szCs w:val="20"/>
          <w:highlight w:val="none"/>
        </w:rPr>
      </w:pPr>
      <w:r>
        <w:rPr>
          <w:rFonts w:hint="eastAsia" w:ascii="宋体" w:hAnsi="宋体" w:cs="宋体"/>
          <w:color w:val="auto"/>
          <w:sz w:val="24"/>
          <w:szCs w:val="20"/>
          <w:highlight w:val="none"/>
        </w:rPr>
        <w:t>1.若供应商为事业单位或其他组织或分支机构，则法定代表人（单位负责人）处的签署人可为单位负责人。</w:t>
      </w:r>
    </w:p>
    <w:p w14:paraId="03648922">
      <w:pPr>
        <w:tabs>
          <w:tab w:val="left" w:pos="5580"/>
        </w:tabs>
        <w:spacing w:line="360" w:lineRule="auto"/>
        <w:jc w:val="left"/>
        <w:rPr>
          <w:rFonts w:ascii="宋体" w:hAnsi="宋体" w:cs="宋体"/>
          <w:color w:val="auto"/>
          <w:sz w:val="24"/>
          <w:szCs w:val="20"/>
          <w:highlight w:val="none"/>
        </w:rPr>
      </w:pPr>
      <w:r>
        <w:rPr>
          <w:rFonts w:hint="eastAsia" w:ascii="宋体" w:hAnsi="宋体" w:cs="宋体"/>
          <w:color w:val="auto"/>
          <w:sz w:val="24"/>
          <w:szCs w:val="20"/>
          <w:highlight w:val="none"/>
        </w:rPr>
        <w:t>2.若投标文件中中签字之处均为法定代表人（单位负责人）本人签署 ，则可不提供本《授权委托书》，但须提供《法定代表人（单位负责人）身份证明》；否则，不需要提供《法定代表人（单位负责人）身份证明》。</w:t>
      </w:r>
    </w:p>
    <w:p w14:paraId="19B875BE">
      <w:pPr>
        <w:tabs>
          <w:tab w:val="left" w:pos="5580"/>
        </w:tabs>
        <w:spacing w:line="360" w:lineRule="auto"/>
        <w:jc w:val="left"/>
        <w:rPr>
          <w:rFonts w:ascii="宋体" w:hAnsi="宋体" w:cs="宋体"/>
          <w:color w:val="auto"/>
          <w:sz w:val="24"/>
          <w:szCs w:val="20"/>
          <w:highlight w:val="none"/>
        </w:rPr>
      </w:pPr>
      <w:r>
        <w:rPr>
          <w:rFonts w:hint="eastAsia" w:ascii="宋体" w:hAnsi="宋体" w:cs="宋体"/>
          <w:color w:val="auto"/>
          <w:sz w:val="24"/>
          <w:szCs w:val="20"/>
          <w:highlight w:val="none"/>
        </w:rPr>
        <w:t>3.供应商为自然人的情形，可不提供本《授权委托书》。</w:t>
      </w:r>
    </w:p>
    <w:p w14:paraId="602CF814">
      <w:pPr>
        <w:tabs>
          <w:tab w:val="left" w:pos="5580"/>
        </w:tabs>
        <w:spacing w:line="360" w:lineRule="auto"/>
        <w:jc w:val="left"/>
        <w:rPr>
          <w:rFonts w:ascii="宋体" w:hAnsi="宋体" w:cs="宋体"/>
          <w:color w:val="auto"/>
          <w:sz w:val="24"/>
          <w:szCs w:val="20"/>
          <w:highlight w:val="none"/>
        </w:rPr>
      </w:pPr>
      <w:r>
        <w:rPr>
          <w:rFonts w:hint="eastAsia" w:ascii="宋体" w:hAnsi="宋体" w:cs="宋体"/>
          <w:color w:val="auto"/>
          <w:sz w:val="24"/>
          <w:szCs w:val="20"/>
          <w:highlight w:val="none"/>
        </w:rPr>
        <w:t>4.供应商应随本《授权委托书》同时提供法定代表人（单位负责人）及委托代理人的有效的身份证、护照等身份证明文件电子件。提供身份证的，应同时提供身份证</w:t>
      </w:r>
      <w:r>
        <w:rPr>
          <w:rFonts w:hint="eastAsia" w:ascii="宋体" w:hAnsi="宋体" w:cs="宋体"/>
          <w:b/>
          <w:color w:val="auto"/>
          <w:sz w:val="24"/>
          <w:szCs w:val="20"/>
          <w:highlight w:val="none"/>
        </w:rPr>
        <w:t>双面</w:t>
      </w:r>
      <w:r>
        <w:rPr>
          <w:rFonts w:hint="eastAsia" w:ascii="宋体" w:hAnsi="宋体" w:cs="宋体"/>
          <w:color w:val="auto"/>
          <w:sz w:val="24"/>
          <w:szCs w:val="20"/>
          <w:highlight w:val="none"/>
        </w:rPr>
        <w:t>电子件。</w:t>
      </w:r>
      <w:r>
        <w:rPr>
          <w:rFonts w:hint="eastAsia" w:ascii="宋体" w:hAnsi="宋体" w:cs="宋体"/>
          <w:color w:val="auto"/>
          <w:sz w:val="30"/>
          <w:szCs w:val="30"/>
          <w:highlight w:val="none"/>
        </w:rPr>
        <w:br w:type="page"/>
      </w:r>
    </w:p>
    <w:p w14:paraId="5AD9BB43">
      <w:pPr>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 法定代表人（单位负责人）身份证明</w:t>
      </w:r>
    </w:p>
    <w:p w14:paraId="2B1A0219">
      <w:pPr>
        <w:kinsoku w:val="0"/>
        <w:overflowPunct w:val="0"/>
        <w:spacing w:line="200" w:lineRule="exact"/>
        <w:rPr>
          <w:rFonts w:ascii="宋体" w:hAnsi="宋体" w:cs="宋体"/>
          <w:color w:val="auto"/>
          <w:sz w:val="20"/>
          <w:szCs w:val="20"/>
          <w:highlight w:val="none"/>
        </w:rPr>
      </w:pPr>
    </w:p>
    <w:p w14:paraId="379A3A77">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（采购人或采购代理机构）</w:t>
      </w:r>
    </w:p>
    <w:p w14:paraId="2681DE77">
      <w:pPr>
        <w:pStyle w:val="19"/>
        <w:tabs>
          <w:tab w:val="left" w:pos="2412"/>
          <w:tab w:val="left" w:pos="3883"/>
          <w:tab w:val="left" w:pos="5352"/>
          <w:tab w:val="left" w:pos="6821"/>
        </w:tabs>
        <w:kinsoku w:val="0"/>
        <w:overflowPunct w:val="0"/>
        <w:spacing w:line="335" w:lineRule="exact"/>
        <w:ind w:firstLine="480" w:firstLineChars="200"/>
        <w:rPr>
          <w:rFonts w:cs="宋体"/>
          <w:color w:val="auto"/>
          <w:highlight w:val="none"/>
        </w:rPr>
      </w:pPr>
      <w:r>
        <w:rPr>
          <w:rFonts w:hint="eastAsia" w:cs="宋体"/>
          <w:color w:val="auto"/>
          <w:highlight w:val="none"/>
        </w:rPr>
        <w:t>兹证明，</w:t>
      </w:r>
    </w:p>
    <w:p w14:paraId="24FDAB51">
      <w:pPr>
        <w:pStyle w:val="19"/>
        <w:tabs>
          <w:tab w:val="left" w:pos="1690"/>
          <w:tab w:val="left" w:pos="3400"/>
          <w:tab w:val="left" w:pos="5110"/>
          <w:tab w:val="left" w:pos="6821"/>
        </w:tabs>
        <w:kinsoku w:val="0"/>
        <w:overflowPunct w:val="0"/>
        <w:spacing w:line="335" w:lineRule="exact"/>
        <w:rPr>
          <w:rFonts w:cs="宋体"/>
          <w:color w:val="auto"/>
          <w:highlight w:val="none"/>
        </w:rPr>
      </w:pPr>
      <w:r>
        <w:rPr>
          <w:rFonts w:hint="eastAsia" w:cs="宋体"/>
          <w:color w:val="auto"/>
          <w:highlight w:val="none"/>
        </w:rPr>
        <w:t>姓名：____性别：____年龄：____职务：____</w:t>
      </w:r>
    </w:p>
    <w:p w14:paraId="1F44BE3C">
      <w:pPr>
        <w:pStyle w:val="19"/>
        <w:tabs>
          <w:tab w:val="left" w:pos="2412"/>
          <w:tab w:val="left" w:pos="3883"/>
          <w:tab w:val="left" w:pos="5352"/>
          <w:tab w:val="left" w:pos="6821"/>
        </w:tabs>
        <w:kinsoku w:val="0"/>
        <w:overflowPunct w:val="0"/>
        <w:spacing w:line="335" w:lineRule="exact"/>
        <w:rPr>
          <w:rFonts w:cs="宋体"/>
          <w:color w:val="auto"/>
          <w:highlight w:val="none"/>
        </w:rPr>
      </w:pPr>
    </w:p>
    <w:p w14:paraId="05EA08C7">
      <w:pPr>
        <w:pStyle w:val="19"/>
        <w:tabs>
          <w:tab w:val="left" w:pos="2250"/>
          <w:tab w:val="left" w:pos="2412"/>
          <w:tab w:val="left" w:pos="3883"/>
          <w:tab w:val="left" w:pos="5352"/>
          <w:tab w:val="left" w:pos="6821"/>
          <w:tab w:val="clear" w:pos="567"/>
        </w:tabs>
        <w:kinsoku w:val="0"/>
        <w:overflowPunct w:val="0"/>
        <w:spacing w:line="335" w:lineRule="exact"/>
        <w:rPr>
          <w:rFonts w:cs="宋体"/>
          <w:color w:val="auto"/>
          <w:highlight w:val="none"/>
        </w:rPr>
      </w:pPr>
      <w:r>
        <w:rPr>
          <w:rFonts w:hint="eastAsia" w:cs="宋体"/>
          <w:color w:val="auto"/>
          <w:highlight w:val="none"/>
        </w:rPr>
        <w:t>系</w:t>
      </w:r>
      <w:r>
        <w:rPr>
          <w:rFonts w:hint="eastAsia" w:cs="宋体"/>
          <w:color w:val="auto"/>
          <w:highlight w:val="none"/>
          <w:u w:val="single"/>
        </w:rPr>
        <w:tab/>
      </w:r>
      <w:r>
        <w:rPr>
          <w:rFonts w:hint="eastAsia" w:cs="宋体"/>
          <w:color w:val="auto"/>
          <w:highlight w:val="none"/>
        </w:rPr>
        <w:t>（投标人名称）的法定代表人（单位负责人）。</w:t>
      </w:r>
    </w:p>
    <w:p w14:paraId="7FA5AB75">
      <w:pPr>
        <w:rPr>
          <w:rFonts w:ascii="宋体" w:hAnsi="宋体" w:cs="宋体"/>
          <w:color w:val="auto"/>
          <w:highlight w:val="none"/>
        </w:rPr>
      </w:pPr>
    </w:p>
    <w:p w14:paraId="33FCA268">
      <w:pPr>
        <w:pStyle w:val="19"/>
        <w:tabs>
          <w:tab w:val="left" w:pos="2412"/>
          <w:tab w:val="left" w:pos="3883"/>
          <w:tab w:val="left" w:pos="5352"/>
          <w:tab w:val="left" w:pos="6821"/>
        </w:tabs>
        <w:kinsoku w:val="0"/>
        <w:overflowPunct w:val="0"/>
        <w:spacing w:line="335" w:lineRule="exact"/>
        <w:rPr>
          <w:rFonts w:cs="宋体"/>
          <w:color w:val="auto"/>
          <w:spacing w:val="-3"/>
          <w:highlight w:val="none"/>
        </w:rPr>
      </w:pPr>
      <w:r>
        <w:rPr>
          <w:rFonts w:hint="eastAsia" w:cs="宋体"/>
          <w:color w:val="auto"/>
          <w:highlight w:val="none"/>
        </w:rPr>
        <w:t>附：</w:t>
      </w:r>
      <w:r>
        <w:rPr>
          <w:rFonts w:hint="eastAsia" w:cs="宋体"/>
          <w:color w:val="auto"/>
          <w:spacing w:val="-3"/>
          <w:highlight w:val="none"/>
        </w:rPr>
        <w:t>法</w:t>
      </w:r>
      <w:r>
        <w:rPr>
          <w:rFonts w:hint="eastAsia" w:cs="宋体"/>
          <w:color w:val="auto"/>
          <w:highlight w:val="none"/>
        </w:rPr>
        <w:t>定</w:t>
      </w:r>
      <w:r>
        <w:rPr>
          <w:rFonts w:hint="eastAsia" w:cs="宋体"/>
          <w:color w:val="auto"/>
          <w:spacing w:val="-3"/>
          <w:highlight w:val="none"/>
        </w:rPr>
        <w:t>代</w:t>
      </w:r>
      <w:r>
        <w:rPr>
          <w:rFonts w:hint="eastAsia" w:cs="宋体"/>
          <w:color w:val="auto"/>
          <w:highlight w:val="none"/>
        </w:rPr>
        <w:t>表</w:t>
      </w:r>
      <w:r>
        <w:rPr>
          <w:rFonts w:hint="eastAsia" w:cs="宋体"/>
          <w:color w:val="auto"/>
          <w:spacing w:val="-3"/>
          <w:highlight w:val="none"/>
        </w:rPr>
        <w:t>人</w:t>
      </w:r>
      <w:r>
        <w:rPr>
          <w:rFonts w:hint="eastAsia" w:cs="宋体"/>
          <w:color w:val="auto"/>
          <w:highlight w:val="none"/>
        </w:rPr>
        <w:t>（</w:t>
      </w:r>
      <w:r>
        <w:rPr>
          <w:rFonts w:hint="eastAsia" w:cs="宋体"/>
          <w:color w:val="auto"/>
          <w:spacing w:val="-3"/>
          <w:highlight w:val="none"/>
        </w:rPr>
        <w:t>单</w:t>
      </w:r>
      <w:r>
        <w:rPr>
          <w:rFonts w:hint="eastAsia" w:cs="宋体"/>
          <w:color w:val="auto"/>
          <w:highlight w:val="none"/>
        </w:rPr>
        <w:t>位</w:t>
      </w:r>
      <w:r>
        <w:rPr>
          <w:rFonts w:hint="eastAsia" w:cs="宋体"/>
          <w:color w:val="auto"/>
          <w:spacing w:val="-3"/>
          <w:highlight w:val="none"/>
        </w:rPr>
        <w:t>负</w:t>
      </w:r>
      <w:r>
        <w:rPr>
          <w:rFonts w:hint="eastAsia" w:cs="宋体"/>
          <w:color w:val="auto"/>
          <w:highlight w:val="none"/>
        </w:rPr>
        <w:t>责人</w:t>
      </w:r>
      <w:r>
        <w:rPr>
          <w:rFonts w:hint="eastAsia" w:cs="宋体"/>
          <w:color w:val="auto"/>
          <w:spacing w:val="-3"/>
          <w:highlight w:val="none"/>
        </w:rPr>
        <w:t>）身份证、护照等身份证明文件电子件。</w:t>
      </w:r>
    </w:p>
    <w:p w14:paraId="5F83CF0E">
      <w:pPr>
        <w:rPr>
          <w:rFonts w:ascii="宋体" w:hAnsi="宋体" w:cs="宋体"/>
          <w:color w:val="auto"/>
          <w:highlight w:val="none"/>
        </w:rPr>
      </w:pPr>
    </w:p>
    <w:p w14:paraId="4E687B4C">
      <w:pPr>
        <w:rPr>
          <w:rFonts w:ascii="宋体" w:hAnsi="宋体" w:cs="宋体"/>
          <w:color w:val="auto"/>
          <w:highlight w:val="none"/>
        </w:rPr>
      </w:pPr>
    </w:p>
    <w:tbl>
      <w:tblPr>
        <w:tblStyle w:val="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2"/>
      </w:tblGrid>
      <w:tr w14:paraId="2A0DA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9" w:hRule="atLeast"/>
        </w:trPr>
        <w:tc>
          <w:tcPr>
            <w:tcW w:w="9062" w:type="dxa"/>
          </w:tcPr>
          <w:p w14:paraId="33403902">
            <w:pPr>
              <w:tabs>
                <w:tab w:val="left" w:pos="5580"/>
              </w:tabs>
              <w:spacing w:line="360" w:lineRule="auto"/>
              <w:rPr>
                <w:rFonts w:ascii="宋体" w:hAnsi="宋体" w:cs="宋体"/>
                <w:color w:val="auto"/>
                <w:sz w:val="24"/>
                <w:szCs w:val="20"/>
                <w:highlight w:val="none"/>
              </w:rPr>
            </w:pPr>
          </w:p>
        </w:tc>
      </w:tr>
    </w:tbl>
    <w:p w14:paraId="7C279977">
      <w:pPr>
        <w:tabs>
          <w:tab w:val="left" w:pos="5580"/>
        </w:tabs>
        <w:spacing w:line="360" w:lineRule="auto"/>
        <w:rPr>
          <w:rFonts w:ascii="宋体" w:hAnsi="宋体" w:cs="宋体"/>
          <w:color w:val="auto"/>
          <w:sz w:val="24"/>
          <w:szCs w:val="20"/>
          <w:highlight w:val="none"/>
        </w:rPr>
      </w:pPr>
    </w:p>
    <w:p w14:paraId="30B9E964">
      <w:pPr>
        <w:pStyle w:val="19"/>
        <w:tabs>
          <w:tab w:val="left" w:pos="2412"/>
          <w:tab w:val="left" w:pos="3883"/>
          <w:tab w:val="left" w:pos="5352"/>
          <w:tab w:val="left" w:pos="6821"/>
        </w:tabs>
        <w:kinsoku w:val="0"/>
        <w:overflowPunct w:val="0"/>
        <w:spacing w:line="335" w:lineRule="exact"/>
        <w:rPr>
          <w:rFonts w:cs="宋体"/>
          <w:color w:val="auto"/>
          <w:highlight w:val="none"/>
        </w:rPr>
      </w:pPr>
    </w:p>
    <w:p w14:paraId="0DF89C78">
      <w:pPr>
        <w:pStyle w:val="19"/>
        <w:kinsoku w:val="0"/>
        <w:overflowPunct w:val="0"/>
        <w:spacing w:line="583" w:lineRule="auto"/>
        <w:ind w:right="4305"/>
        <w:rPr>
          <w:rFonts w:cs="宋体"/>
          <w:color w:val="auto"/>
          <w:spacing w:val="-3"/>
          <w:highlight w:val="none"/>
        </w:rPr>
      </w:pPr>
    </w:p>
    <w:p w14:paraId="23C7DBC9">
      <w:pPr>
        <w:autoSpaceDE w:val="0"/>
        <w:autoSpaceDN w:val="0"/>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rPr>
        <w:t>投标人名称（加盖公章）</w:t>
      </w:r>
      <w:r>
        <w:rPr>
          <w:rFonts w:hint="eastAsia" w:ascii="宋体" w:hAnsi="宋体" w:cs="宋体"/>
          <w:color w:val="auto"/>
          <w:sz w:val="24"/>
          <w:highlight w:val="none"/>
          <w:lang w:val="zh-CN"/>
        </w:rPr>
        <w:t xml:space="preserve">： </w:t>
      </w:r>
    </w:p>
    <w:p w14:paraId="46FE8C38">
      <w:pPr>
        <w:pStyle w:val="19"/>
        <w:kinsoku w:val="0"/>
        <w:overflowPunct w:val="0"/>
        <w:spacing w:line="583" w:lineRule="auto"/>
        <w:ind w:right="95"/>
        <w:rPr>
          <w:rFonts w:cs="宋体"/>
          <w:color w:val="auto"/>
          <w:spacing w:val="-3"/>
          <w:highlight w:val="none"/>
        </w:rPr>
      </w:pPr>
      <w:r>
        <w:rPr>
          <w:rFonts w:hint="eastAsia" w:cs="宋体"/>
          <w:color w:val="auto"/>
          <w:spacing w:val="-3"/>
          <w:highlight w:val="none"/>
        </w:rPr>
        <w:t>法定代表人（</w:t>
      </w:r>
      <w:r>
        <w:rPr>
          <w:rFonts w:hint="eastAsia" w:cs="宋体"/>
          <w:color w:val="auto"/>
          <w:highlight w:val="none"/>
        </w:rPr>
        <w:t>单位负责人</w:t>
      </w:r>
      <w:r>
        <w:rPr>
          <w:rFonts w:hint="eastAsia" w:cs="宋体"/>
          <w:color w:val="auto"/>
          <w:spacing w:val="-3"/>
          <w:highlight w:val="none"/>
        </w:rPr>
        <w:t>）（签字</w:t>
      </w:r>
      <w:r>
        <w:rPr>
          <w:rFonts w:hint="eastAsia" w:cs="宋体"/>
          <w:color w:val="auto"/>
          <w:szCs w:val="20"/>
          <w:highlight w:val="none"/>
        </w:rPr>
        <w:t>或</w:t>
      </w:r>
      <w:r>
        <w:rPr>
          <w:rFonts w:hint="eastAsia" w:cs="宋体"/>
          <w:color w:val="auto"/>
          <w:spacing w:val="-3"/>
          <w:highlight w:val="none"/>
        </w:rPr>
        <w:t xml:space="preserve">签章）： </w:t>
      </w:r>
    </w:p>
    <w:p w14:paraId="03F40D72">
      <w:pPr>
        <w:autoSpaceDE w:val="0"/>
        <w:autoSpaceDN w:val="0"/>
        <w:adjustRightInd w:val="0"/>
        <w:snapToGrid w:val="0"/>
        <w:spacing w:line="360" w:lineRule="auto"/>
        <w:rPr>
          <w:rFonts w:ascii="宋体" w:hAnsi="宋体" w:cs="宋体"/>
          <w:color w:val="auto"/>
          <w:sz w:val="24"/>
          <w:highlight w:val="none"/>
        </w:rPr>
      </w:pPr>
    </w:p>
    <w:p w14:paraId="5A0BA100">
      <w:pPr>
        <w:autoSpaceDE w:val="0"/>
        <w:autoSpaceDN w:val="0"/>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rPr>
        <w:t>日期：   年    月     日</w:t>
      </w:r>
    </w:p>
    <w:p w14:paraId="2626E19D">
      <w:pPr>
        <w:widowControl/>
        <w:jc w:val="left"/>
        <w:rPr>
          <w:rFonts w:ascii="宋体" w:hAnsi="宋体" w:cs="宋体"/>
          <w:i/>
          <w:color w:val="auto"/>
          <w:sz w:val="24"/>
          <w:szCs w:val="20"/>
          <w:highlight w:val="none"/>
          <w:u w:val="single"/>
        </w:rPr>
      </w:pPr>
    </w:p>
    <w:p w14:paraId="6211FC35">
      <w:pPr>
        <w:widowControl/>
        <w:jc w:val="left"/>
        <w:rPr>
          <w:rFonts w:ascii="宋体" w:hAnsi="宋体" w:cs="宋体"/>
          <w:color w:val="auto"/>
          <w:sz w:val="24"/>
          <w:szCs w:val="20"/>
          <w:highlight w:val="none"/>
        </w:rPr>
      </w:pPr>
      <w:r>
        <w:rPr>
          <w:rFonts w:hint="eastAsia" w:ascii="宋体" w:hAnsi="宋体" w:cs="宋体"/>
          <w:color w:val="auto"/>
          <w:sz w:val="24"/>
          <w:szCs w:val="20"/>
          <w:highlight w:val="none"/>
        </w:rPr>
        <w:br w:type="page"/>
      </w:r>
    </w:p>
    <w:p w14:paraId="72A544B1">
      <w:pPr>
        <w:spacing w:line="360" w:lineRule="auto"/>
        <w:outlineLvl w:val="2"/>
        <w:rPr>
          <w:rFonts w:ascii="宋体" w:hAnsi="宋体" w:cs="宋体"/>
          <w:color w:val="auto"/>
          <w:sz w:val="24"/>
          <w:szCs w:val="20"/>
          <w:highlight w:val="none"/>
        </w:rPr>
      </w:pPr>
      <w:r>
        <w:rPr>
          <w:rFonts w:hint="eastAsia" w:ascii="宋体" w:hAnsi="宋体" w:cs="宋体"/>
          <w:color w:val="auto"/>
          <w:sz w:val="24"/>
          <w:szCs w:val="20"/>
          <w:highlight w:val="none"/>
        </w:rPr>
        <w:t>3  开标一览表</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Pr>
          <w:rFonts w:hint="eastAsia" w:ascii="宋体" w:hAnsi="宋体" w:cs="宋体"/>
          <w:color w:val="auto"/>
          <w:sz w:val="24"/>
          <w:szCs w:val="20"/>
          <w:highlight w:val="none"/>
        </w:rPr>
        <w:t>（实质性格式）</w:t>
      </w:r>
    </w:p>
    <w:p w14:paraId="5BCC7509">
      <w:pPr>
        <w:jc w:val="center"/>
        <w:rPr>
          <w:rFonts w:ascii="宋体" w:hAnsi="宋体" w:cs="宋体"/>
          <w:b/>
          <w:color w:val="auto"/>
          <w:sz w:val="36"/>
          <w:szCs w:val="36"/>
          <w:highlight w:val="none"/>
        </w:rPr>
      </w:pPr>
      <w:bookmarkStart w:id="891" w:name="_Toc305158900"/>
      <w:bookmarkStart w:id="892" w:name="_Toc226965748"/>
      <w:bookmarkStart w:id="893" w:name="_Toc195842923"/>
      <w:bookmarkStart w:id="894" w:name="_Toc164608672"/>
      <w:bookmarkStart w:id="895" w:name="_Toc226337254"/>
      <w:bookmarkStart w:id="896" w:name="_Toc305158826"/>
      <w:bookmarkStart w:id="897" w:name="_Toc265228396"/>
      <w:bookmarkStart w:id="898" w:name="_Toc226309802"/>
      <w:bookmarkStart w:id="899" w:name="_Toc164608827"/>
      <w:bookmarkStart w:id="900" w:name="_Toc226965831"/>
      <w:bookmarkStart w:id="901" w:name="_Toc264969248"/>
      <w:r>
        <w:rPr>
          <w:rFonts w:hint="eastAsia" w:ascii="宋体" w:hAnsi="宋体" w:cs="宋体"/>
          <w:b/>
          <w:color w:val="auto"/>
          <w:sz w:val="36"/>
          <w:szCs w:val="36"/>
          <w:highlight w:val="none"/>
        </w:rPr>
        <w:t>开标一览表</w:t>
      </w:r>
      <w:bookmarkEnd w:id="891"/>
      <w:bookmarkEnd w:id="892"/>
      <w:bookmarkEnd w:id="893"/>
      <w:bookmarkEnd w:id="894"/>
      <w:bookmarkEnd w:id="895"/>
      <w:bookmarkEnd w:id="896"/>
      <w:bookmarkEnd w:id="897"/>
      <w:bookmarkEnd w:id="898"/>
      <w:bookmarkEnd w:id="899"/>
      <w:bookmarkEnd w:id="900"/>
      <w:bookmarkEnd w:id="901"/>
    </w:p>
    <w:p w14:paraId="0DA5C9F4">
      <w:pPr>
        <w:tabs>
          <w:tab w:val="left" w:pos="1800"/>
          <w:tab w:val="left" w:pos="5580"/>
        </w:tabs>
        <w:spacing w:line="360" w:lineRule="auto"/>
        <w:jc w:val="left"/>
        <w:rPr>
          <w:rFonts w:ascii="宋体" w:hAnsi="宋体" w:cs="宋体"/>
          <w:i/>
          <w:color w:val="auto"/>
          <w:sz w:val="24"/>
          <w:highlight w:val="none"/>
        </w:rPr>
      </w:pPr>
    </w:p>
    <w:p w14:paraId="5854AB64">
      <w:pPr>
        <w:tabs>
          <w:tab w:val="left" w:pos="1800"/>
          <w:tab w:val="left" w:pos="5580"/>
        </w:tabs>
        <w:spacing w:line="360" w:lineRule="auto"/>
        <w:jc w:val="left"/>
        <w:rPr>
          <w:rFonts w:ascii="宋体" w:hAnsi="宋体" w:cs="宋体"/>
          <w:i/>
          <w:color w:val="auto"/>
          <w:sz w:val="24"/>
          <w:highlight w:val="none"/>
        </w:rPr>
      </w:pPr>
    </w:p>
    <w:p w14:paraId="6F67D2A6">
      <w:pPr>
        <w:tabs>
          <w:tab w:val="left" w:pos="1800"/>
          <w:tab w:val="left" w:pos="5580"/>
        </w:tabs>
        <w:spacing w:line="360" w:lineRule="auto"/>
        <w:ind w:firstLine="240" w:firstLineChars="100"/>
        <w:jc w:val="left"/>
        <w:rPr>
          <w:rFonts w:ascii="宋体" w:hAnsi="宋体" w:cs="宋体"/>
          <w:color w:val="auto"/>
          <w:sz w:val="24"/>
          <w:highlight w:val="none"/>
          <w:u w:val="single"/>
        </w:rPr>
      </w:pPr>
      <w:r>
        <w:rPr>
          <w:rFonts w:hint="eastAsia" w:ascii="宋体" w:hAnsi="宋体" w:cs="宋体"/>
          <w:color w:val="auto"/>
          <w:sz w:val="24"/>
          <w:highlight w:val="none"/>
        </w:rPr>
        <w:t>项目编号：_____________________     项目名称：____________</w:t>
      </w:r>
    </w:p>
    <w:tbl>
      <w:tblPr>
        <w:tblStyle w:val="45"/>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1791"/>
        <w:gridCol w:w="1559"/>
        <w:gridCol w:w="1418"/>
        <w:gridCol w:w="1417"/>
        <w:gridCol w:w="2338"/>
      </w:tblGrid>
      <w:tr w14:paraId="63E7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90" w:type="dxa"/>
            <w:vMerge w:val="restart"/>
            <w:vAlign w:val="center"/>
          </w:tcPr>
          <w:p w14:paraId="174915B1">
            <w:pPr>
              <w:tabs>
                <w:tab w:val="left" w:pos="5580"/>
              </w:tabs>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791" w:type="dxa"/>
            <w:vMerge w:val="restart"/>
            <w:vAlign w:val="center"/>
          </w:tcPr>
          <w:p w14:paraId="754830D5">
            <w:pPr>
              <w:tabs>
                <w:tab w:val="left" w:pos="5580"/>
              </w:tabs>
              <w:jc w:val="center"/>
              <w:rPr>
                <w:rFonts w:ascii="宋体" w:hAnsi="宋体" w:cs="宋体"/>
                <w:b/>
                <w:color w:val="auto"/>
                <w:sz w:val="24"/>
                <w:highlight w:val="none"/>
              </w:rPr>
            </w:pPr>
            <w:r>
              <w:rPr>
                <w:rFonts w:hint="eastAsia" w:ascii="宋体" w:hAnsi="宋体" w:cs="宋体"/>
                <w:b/>
                <w:color w:val="auto"/>
                <w:sz w:val="24"/>
                <w:highlight w:val="none"/>
              </w:rPr>
              <w:t>投标人名称</w:t>
            </w:r>
          </w:p>
        </w:tc>
        <w:tc>
          <w:tcPr>
            <w:tcW w:w="2977" w:type="dxa"/>
            <w:gridSpan w:val="2"/>
            <w:vAlign w:val="center"/>
          </w:tcPr>
          <w:p w14:paraId="2F5E5159">
            <w:pPr>
              <w:tabs>
                <w:tab w:val="left" w:pos="5580"/>
              </w:tabs>
              <w:jc w:val="center"/>
              <w:rPr>
                <w:rFonts w:ascii="宋体" w:hAnsi="宋体" w:cs="宋体"/>
                <w:b/>
                <w:color w:val="auto"/>
                <w:sz w:val="24"/>
                <w:highlight w:val="none"/>
              </w:rPr>
            </w:pPr>
            <w:r>
              <w:rPr>
                <w:rFonts w:hint="eastAsia" w:ascii="宋体" w:hAnsi="宋体" w:cs="宋体"/>
                <w:b/>
                <w:color w:val="auto"/>
                <w:sz w:val="24"/>
                <w:highlight w:val="none"/>
              </w:rPr>
              <w:t>投标报价</w:t>
            </w:r>
          </w:p>
        </w:tc>
        <w:tc>
          <w:tcPr>
            <w:tcW w:w="1417" w:type="dxa"/>
            <w:vMerge w:val="restart"/>
            <w:vAlign w:val="center"/>
          </w:tcPr>
          <w:p w14:paraId="6C0F89D3">
            <w:pPr>
              <w:tabs>
                <w:tab w:val="left" w:pos="5580"/>
              </w:tabs>
              <w:jc w:val="center"/>
              <w:rPr>
                <w:rFonts w:ascii="宋体" w:hAnsi="宋体" w:cs="宋体"/>
                <w:b/>
                <w:color w:val="auto"/>
                <w:sz w:val="24"/>
                <w:highlight w:val="none"/>
              </w:rPr>
            </w:pPr>
            <w:r>
              <w:rPr>
                <w:rFonts w:hint="eastAsia" w:ascii="宋体" w:hAnsi="宋体" w:cs="宋体"/>
                <w:b/>
                <w:color w:val="auto"/>
                <w:sz w:val="24"/>
                <w:highlight w:val="none"/>
              </w:rPr>
              <w:t>投标保证金（有/无）</w:t>
            </w:r>
          </w:p>
        </w:tc>
        <w:tc>
          <w:tcPr>
            <w:tcW w:w="2338" w:type="dxa"/>
            <w:vMerge w:val="restart"/>
            <w:vAlign w:val="center"/>
          </w:tcPr>
          <w:p w14:paraId="1DB1DFFA">
            <w:pPr>
              <w:tabs>
                <w:tab w:val="left" w:pos="5580"/>
              </w:tabs>
              <w:jc w:val="center"/>
              <w:rPr>
                <w:rFonts w:ascii="宋体" w:hAnsi="宋体" w:cs="宋体"/>
                <w:b/>
                <w:color w:val="auto"/>
                <w:sz w:val="24"/>
                <w:highlight w:val="none"/>
              </w:rPr>
            </w:pPr>
            <w:r>
              <w:rPr>
                <w:rFonts w:hint="eastAsia" w:ascii="宋体" w:hAnsi="宋体" w:cs="宋体"/>
                <w:b/>
                <w:bCs/>
                <w:color w:val="auto"/>
                <w:sz w:val="24"/>
                <w:highlight w:val="none"/>
              </w:rPr>
              <w:t>实施周期</w:t>
            </w:r>
          </w:p>
        </w:tc>
      </w:tr>
      <w:tr w14:paraId="2E33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90" w:type="dxa"/>
            <w:vMerge w:val="continue"/>
            <w:vAlign w:val="center"/>
          </w:tcPr>
          <w:p w14:paraId="4D6D24DF">
            <w:pPr>
              <w:tabs>
                <w:tab w:val="left" w:pos="5580"/>
              </w:tabs>
              <w:jc w:val="center"/>
              <w:rPr>
                <w:rFonts w:ascii="宋体" w:hAnsi="宋体" w:cs="宋体"/>
                <w:color w:val="auto"/>
                <w:sz w:val="24"/>
                <w:highlight w:val="none"/>
              </w:rPr>
            </w:pPr>
          </w:p>
        </w:tc>
        <w:tc>
          <w:tcPr>
            <w:tcW w:w="1791" w:type="dxa"/>
            <w:vMerge w:val="continue"/>
            <w:vAlign w:val="center"/>
          </w:tcPr>
          <w:p w14:paraId="0CF1BEBF">
            <w:pPr>
              <w:tabs>
                <w:tab w:val="left" w:pos="5580"/>
              </w:tabs>
              <w:jc w:val="center"/>
              <w:rPr>
                <w:rFonts w:ascii="宋体" w:hAnsi="宋体" w:cs="宋体"/>
                <w:color w:val="auto"/>
                <w:sz w:val="24"/>
                <w:highlight w:val="none"/>
              </w:rPr>
            </w:pPr>
          </w:p>
        </w:tc>
        <w:tc>
          <w:tcPr>
            <w:tcW w:w="1559" w:type="dxa"/>
            <w:vAlign w:val="center"/>
          </w:tcPr>
          <w:p w14:paraId="5228F707">
            <w:pPr>
              <w:tabs>
                <w:tab w:val="left" w:pos="5580"/>
              </w:tabs>
              <w:jc w:val="center"/>
              <w:rPr>
                <w:rFonts w:ascii="宋体" w:hAnsi="宋体" w:cs="宋体"/>
                <w:b/>
                <w:color w:val="auto"/>
                <w:sz w:val="24"/>
                <w:highlight w:val="none"/>
              </w:rPr>
            </w:pPr>
            <w:r>
              <w:rPr>
                <w:rFonts w:hint="eastAsia" w:ascii="宋体" w:hAnsi="宋体" w:cs="宋体"/>
                <w:b/>
                <w:color w:val="auto"/>
                <w:sz w:val="24"/>
                <w:highlight w:val="none"/>
              </w:rPr>
              <w:t>大写</w:t>
            </w:r>
          </w:p>
        </w:tc>
        <w:tc>
          <w:tcPr>
            <w:tcW w:w="1418" w:type="dxa"/>
            <w:vAlign w:val="center"/>
          </w:tcPr>
          <w:p w14:paraId="5F3159FB">
            <w:pPr>
              <w:tabs>
                <w:tab w:val="left" w:pos="5580"/>
              </w:tabs>
              <w:jc w:val="center"/>
              <w:rPr>
                <w:rFonts w:ascii="宋体" w:hAnsi="宋体" w:cs="宋体"/>
                <w:b/>
                <w:color w:val="auto"/>
                <w:sz w:val="24"/>
                <w:highlight w:val="none"/>
              </w:rPr>
            </w:pPr>
            <w:r>
              <w:rPr>
                <w:rFonts w:hint="eastAsia" w:ascii="宋体" w:hAnsi="宋体" w:cs="宋体"/>
                <w:b/>
                <w:color w:val="auto"/>
                <w:sz w:val="24"/>
                <w:highlight w:val="none"/>
              </w:rPr>
              <w:t>小写</w:t>
            </w:r>
          </w:p>
        </w:tc>
        <w:tc>
          <w:tcPr>
            <w:tcW w:w="1417" w:type="dxa"/>
            <w:vMerge w:val="continue"/>
            <w:vAlign w:val="center"/>
          </w:tcPr>
          <w:p w14:paraId="3818681E">
            <w:pPr>
              <w:tabs>
                <w:tab w:val="left" w:pos="5580"/>
              </w:tabs>
              <w:jc w:val="center"/>
              <w:rPr>
                <w:rFonts w:ascii="宋体" w:hAnsi="宋体" w:cs="宋体"/>
                <w:b/>
                <w:color w:val="auto"/>
                <w:sz w:val="24"/>
                <w:highlight w:val="none"/>
              </w:rPr>
            </w:pPr>
          </w:p>
        </w:tc>
        <w:tc>
          <w:tcPr>
            <w:tcW w:w="2338" w:type="dxa"/>
            <w:vMerge w:val="continue"/>
            <w:vAlign w:val="center"/>
          </w:tcPr>
          <w:p w14:paraId="5FC34651">
            <w:pPr>
              <w:tabs>
                <w:tab w:val="left" w:pos="5580"/>
              </w:tabs>
              <w:jc w:val="center"/>
              <w:rPr>
                <w:rFonts w:ascii="宋体" w:hAnsi="宋体" w:cs="宋体"/>
                <w:b/>
                <w:color w:val="auto"/>
                <w:sz w:val="24"/>
                <w:highlight w:val="none"/>
              </w:rPr>
            </w:pPr>
          </w:p>
        </w:tc>
      </w:tr>
      <w:tr w14:paraId="43CA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90" w:type="dxa"/>
            <w:vAlign w:val="center"/>
          </w:tcPr>
          <w:p w14:paraId="657CBD1D">
            <w:pPr>
              <w:tabs>
                <w:tab w:val="left" w:pos="5580"/>
              </w:tabs>
              <w:jc w:val="center"/>
              <w:rPr>
                <w:rFonts w:ascii="宋体" w:hAnsi="宋体" w:cs="宋体"/>
                <w:color w:val="auto"/>
                <w:sz w:val="24"/>
                <w:highlight w:val="none"/>
              </w:rPr>
            </w:pPr>
          </w:p>
        </w:tc>
        <w:tc>
          <w:tcPr>
            <w:tcW w:w="1791" w:type="dxa"/>
            <w:vAlign w:val="center"/>
          </w:tcPr>
          <w:p w14:paraId="410F5FCA">
            <w:pPr>
              <w:tabs>
                <w:tab w:val="left" w:pos="5580"/>
              </w:tabs>
              <w:jc w:val="center"/>
              <w:rPr>
                <w:rFonts w:ascii="宋体" w:hAnsi="宋体" w:cs="宋体"/>
                <w:color w:val="auto"/>
                <w:sz w:val="24"/>
                <w:highlight w:val="none"/>
              </w:rPr>
            </w:pPr>
          </w:p>
        </w:tc>
        <w:tc>
          <w:tcPr>
            <w:tcW w:w="1559" w:type="dxa"/>
            <w:vAlign w:val="center"/>
          </w:tcPr>
          <w:p w14:paraId="18BB18E3">
            <w:pPr>
              <w:tabs>
                <w:tab w:val="left" w:pos="5580"/>
              </w:tabs>
              <w:jc w:val="center"/>
              <w:rPr>
                <w:rFonts w:ascii="宋体" w:hAnsi="宋体" w:cs="宋体"/>
                <w:color w:val="auto"/>
                <w:sz w:val="24"/>
                <w:highlight w:val="none"/>
              </w:rPr>
            </w:pPr>
          </w:p>
        </w:tc>
        <w:tc>
          <w:tcPr>
            <w:tcW w:w="1418" w:type="dxa"/>
            <w:vAlign w:val="center"/>
          </w:tcPr>
          <w:p w14:paraId="62FD7BCC">
            <w:pPr>
              <w:tabs>
                <w:tab w:val="left" w:pos="5580"/>
              </w:tabs>
              <w:jc w:val="center"/>
              <w:rPr>
                <w:rFonts w:ascii="宋体" w:hAnsi="宋体" w:cs="宋体"/>
                <w:color w:val="auto"/>
                <w:sz w:val="24"/>
                <w:highlight w:val="none"/>
              </w:rPr>
            </w:pPr>
          </w:p>
        </w:tc>
        <w:tc>
          <w:tcPr>
            <w:tcW w:w="1417" w:type="dxa"/>
            <w:vAlign w:val="center"/>
          </w:tcPr>
          <w:p w14:paraId="5EA3E073">
            <w:pPr>
              <w:tabs>
                <w:tab w:val="left" w:pos="5580"/>
              </w:tabs>
              <w:jc w:val="center"/>
              <w:rPr>
                <w:rFonts w:ascii="宋体" w:hAnsi="宋体" w:cs="宋体"/>
                <w:color w:val="auto"/>
                <w:sz w:val="24"/>
                <w:highlight w:val="none"/>
              </w:rPr>
            </w:pPr>
          </w:p>
        </w:tc>
        <w:tc>
          <w:tcPr>
            <w:tcW w:w="2338" w:type="dxa"/>
            <w:vAlign w:val="center"/>
          </w:tcPr>
          <w:p w14:paraId="6ED2FA8E">
            <w:pPr>
              <w:tabs>
                <w:tab w:val="left" w:pos="5580"/>
              </w:tabs>
              <w:jc w:val="center"/>
              <w:rPr>
                <w:rFonts w:ascii="宋体" w:hAnsi="宋体" w:cs="宋体"/>
                <w:color w:val="auto"/>
                <w:sz w:val="24"/>
                <w:highlight w:val="none"/>
              </w:rPr>
            </w:pPr>
          </w:p>
        </w:tc>
      </w:tr>
    </w:tbl>
    <w:p w14:paraId="4E8214C3">
      <w:pPr>
        <w:autoSpaceDE w:val="0"/>
        <w:autoSpaceDN w:val="0"/>
        <w:adjustRightInd w:val="0"/>
        <w:jc w:val="left"/>
        <w:rPr>
          <w:rFonts w:ascii="宋体" w:hAnsi="宋体" w:cs="宋体"/>
          <w:color w:val="auto"/>
          <w:kern w:val="0"/>
          <w:sz w:val="24"/>
          <w:highlight w:val="none"/>
        </w:rPr>
      </w:pPr>
    </w:p>
    <w:p w14:paraId="01FD9E76">
      <w:pPr>
        <w:autoSpaceDE w:val="0"/>
        <w:autoSpaceDN w:val="0"/>
        <w:adjustRightInd w:val="0"/>
        <w:jc w:val="left"/>
        <w:rPr>
          <w:rFonts w:ascii="宋体" w:hAnsi="宋体" w:cs="宋体"/>
          <w:color w:val="auto"/>
          <w:sz w:val="24"/>
          <w:highlight w:val="none"/>
        </w:rPr>
      </w:pPr>
      <w:r>
        <w:rPr>
          <w:rFonts w:hint="eastAsia" w:ascii="宋体" w:hAnsi="宋体" w:cs="宋体"/>
          <w:color w:val="auto"/>
          <w:kern w:val="0"/>
          <w:sz w:val="24"/>
          <w:highlight w:val="none"/>
        </w:rPr>
        <w:t>注：1</w:t>
      </w:r>
      <w:r>
        <w:rPr>
          <w:rFonts w:hint="eastAsia" w:ascii="宋体" w:hAnsi="宋体" w:cs="宋体"/>
          <w:color w:val="auto"/>
          <w:sz w:val="24"/>
          <w:highlight w:val="none"/>
        </w:rPr>
        <w:t>.此表中，每包的投标报价应和《投标分项报价表》中的总价相一致。</w:t>
      </w:r>
    </w:p>
    <w:p w14:paraId="2F9B8C2D">
      <w:pPr>
        <w:tabs>
          <w:tab w:val="left" w:pos="5580"/>
        </w:tabs>
        <w:ind w:firstLine="480" w:firstLineChars="200"/>
        <w:rPr>
          <w:rFonts w:ascii="宋体" w:hAnsi="宋体" w:cs="宋体"/>
          <w:color w:val="auto"/>
          <w:sz w:val="24"/>
          <w:highlight w:val="none"/>
        </w:rPr>
      </w:pPr>
      <w:r>
        <w:rPr>
          <w:rFonts w:hint="eastAsia" w:ascii="宋体" w:hAnsi="宋体" w:cs="宋体"/>
          <w:color w:val="auto"/>
          <w:sz w:val="24"/>
          <w:highlight w:val="none"/>
        </w:rPr>
        <w:t>2.本表必须按包分别填写。</w:t>
      </w:r>
    </w:p>
    <w:p w14:paraId="7AB65715">
      <w:pPr>
        <w:autoSpaceDE w:val="0"/>
        <w:autoSpaceDN w:val="0"/>
        <w:adjustRightInd w:val="0"/>
        <w:snapToGrid w:val="0"/>
        <w:spacing w:before="25" w:after="25"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p>
    <w:p w14:paraId="123605ED">
      <w:pPr>
        <w:autoSpaceDE w:val="0"/>
        <w:autoSpaceDN w:val="0"/>
        <w:adjustRightInd w:val="0"/>
        <w:snapToGrid w:val="0"/>
        <w:spacing w:before="25" w:after="25"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                         </w:t>
      </w:r>
    </w:p>
    <w:p w14:paraId="476EEDC7">
      <w:pPr>
        <w:autoSpaceDE w:val="0"/>
        <w:autoSpaceDN w:val="0"/>
        <w:adjustRightInd w:val="0"/>
        <w:snapToGrid w:val="0"/>
        <w:spacing w:before="25" w:after="25" w:line="360" w:lineRule="auto"/>
        <w:rPr>
          <w:rFonts w:ascii="宋体" w:hAnsi="宋体" w:cs="宋体"/>
          <w:color w:val="auto"/>
          <w:sz w:val="24"/>
          <w:highlight w:val="none"/>
          <w:lang w:val="zh-CN"/>
        </w:rPr>
      </w:pPr>
      <w:r>
        <w:rPr>
          <w:rFonts w:hint="eastAsia" w:ascii="宋体" w:hAnsi="宋体" w:cs="宋体"/>
          <w:color w:val="auto"/>
          <w:sz w:val="24"/>
          <w:highlight w:val="none"/>
        </w:rPr>
        <w:t>投标人名称（加盖公章）</w:t>
      </w:r>
      <w:r>
        <w:rPr>
          <w:rFonts w:hint="eastAsia" w:ascii="宋体" w:hAnsi="宋体" w:cs="宋体"/>
          <w:color w:val="auto"/>
          <w:sz w:val="24"/>
          <w:highlight w:val="none"/>
          <w:lang w:val="zh-CN"/>
        </w:rPr>
        <w:t>：____________</w:t>
      </w:r>
    </w:p>
    <w:p w14:paraId="28BFBF66">
      <w:pPr>
        <w:autoSpaceDE w:val="0"/>
        <w:autoSpaceDN w:val="0"/>
        <w:adjustRightInd w:val="0"/>
        <w:snapToGrid w:val="0"/>
        <w:spacing w:before="25" w:after="25" w:line="360" w:lineRule="auto"/>
        <w:rPr>
          <w:rFonts w:ascii="宋体" w:hAnsi="宋体" w:cs="宋体"/>
          <w:color w:val="auto"/>
          <w:sz w:val="24"/>
          <w:highlight w:val="none"/>
          <w:lang w:val="zh-CN"/>
        </w:rPr>
      </w:pPr>
      <w:r>
        <w:rPr>
          <w:rFonts w:hint="eastAsia" w:ascii="宋体" w:hAnsi="宋体" w:cs="宋体"/>
          <w:color w:val="auto"/>
          <w:sz w:val="24"/>
          <w:szCs w:val="20"/>
          <w:highlight w:val="none"/>
        </w:rPr>
        <w:t xml:space="preserve">日期：_____年______月______日   </w:t>
      </w:r>
    </w:p>
    <w:p w14:paraId="63F3C452">
      <w:pPr>
        <w:widowControl/>
        <w:jc w:val="left"/>
        <w:rPr>
          <w:rFonts w:ascii="宋体" w:hAnsi="宋体" w:cs="宋体"/>
          <w:color w:val="auto"/>
          <w:sz w:val="24"/>
          <w:szCs w:val="20"/>
          <w:highlight w:val="none"/>
        </w:rPr>
      </w:pPr>
      <w:bookmarkStart w:id="902" w:name="_Toc226965832"/>
      <w:bookmarkStart w:id="903" w:name="_Toc150774763"/>
      <w:bookmarkStart w:id="904" w:name="_Toc305158827"/>
      <w:bookmarkStart w:id="905" w:name="_Toc142311060"/>
      <w:bookmarkStart w:id="906" w:name="_Toc305158901"/>
      <w:bookmarkStart w:id="907" w:name="_Toc226965749"/>
      <w:bookmarkStart w:id="908" w:name="_Toc195842924"/>
      <w:bookmarkStart w:id="909" w:name="_Toc265228397"/>
      <w:bookmarkStart w:id="910" w:name="_Toc264969249"/>
      <w:bookmarkStart w:id="911" w:name="_Toc226309803"/>
      <w:bookmarkStart w:id="912" w:name="_Toc150480796"/>
      <w:bookmarkStart w:id="913" w:name="_Toc226337255"/>
      <w:bookmarkStart w:id="914" w:name="_Toc127151558"/>
      <w:r>
        <w:rPr>
          <w:rFonts w:hint="eastAsia" w:ascii="宋体" w:hAnsi="宋体" w:cs="宋体"/>
          <w:color w:val="auto"/>
          <w:sz w:val="24"/>
          <w:szCs w:val="20"/>
          <w:highlight w:val="none"/>
        </w:rPr>
        <w:br w:type="page"/>
      </w:r>
    </w:p>
    <w:p w14:paraId="24D217E2">
      <w:pPr>
        <w:spacing w:line="360" w:lineRule="auto"/>
        <w:outlineLvl w:val="2"/>
        <w:rPr>
          <w:rFonts w:ascii="宋体" w:hAnsi="宋体" w:cs="宋体"/>
          <w:color w:val="auto"/>
          <w:sz w:val="24"/>
          <w:szCs w:val="20"/>
          <w:highlight w:val="none"/>
        </w:rPr>
      </w:pPr>
      <w:r>
        <w:rPr>
          <w:rFonts w:hint="eastAsia" w:ascii="宋体" w:hAnsi="宋体" w:cs="宋体"/>
          <w:color w:val="auto"/>
          <w:sz w:val="24"/>
          <w:szCs w:val="20"/>
          <w:highlight w:val="none"/>
        </w:rPr>
        <w:t>4  投标分项报价表</w:t>
      </w:r>
      <w:bookmarkEnd w:id="902"/>
      <w:bookmarkEnd w:id="903"/>
      <w:bookmarkEnd w:id="904"/>
      <w:bookmarkEnd w:id="905"/>
      <w:bookmarkEnd w:id="906"/>
      <w:bookmarkEnd w:id="907"/>
      <w:bookmarkEnd w:id="908"/>
      <w:bookmarkEnd w:id="909"/>
      <w:bookmarkEnd w:id="910"/>
      <w:bookmarkEnd w:id="911"/>
      <w:bookmarkEnd w:id="912"/>
      <w:bookmarkEnd w:id="913"/>
      <w:bookmarkEnd w:id="914"/>
      <w:r>
        <w:rPr>
          <w:rFonts w:hint="eastAsia" w:ascii="宋体" w:hAnsi="宋体" w:cs="宋体"/>
          <w:color w:val="auto"/>
          <w:sz w:val="24"/>
          <w:szCs w:val="20"/>
          <w:highlight w:val="none"/>
        </w:rPr>
        <w:t>（实质性格式）</w:t>
      </w:r>
    </w:p>
    <w:p w14:paraId="7E73D80E">
      <w:pPr>
        <w:spacing w:line="360" w:lineRule="exact"/>
        <w:jc w:val="center"/>
        <w:rPr>
          <w:rFonts w:ascii="宋体" w:hAnsi="宋体" w:cs="宋体"/>
          <w:color w:val="auto"/>
          <w:sz w:val="36"/>
          <w:szCs w:val="36"/>
          <w:highlight w:val="none"/>
        </w:rPr>
      </w:pPr>
    </w:p>
    <w:p w14:paraId="6773D2EA">
      <w:pPr>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投标分项报价表</w:t>
      </w:r>
    </w:p>
    <w:p w14:paraId="1DB7242E">
      <w:pPr>
        <w:spacing w:line="260" w:lineRule="exact"/>
        <w:jc w:val="center"/>
        <w:rPr>
          <w:rFonts w:ascii="宋体" w:hAnsi="宋体" w:cs="宋体"/>
          <w:color w:val="auto"/>
          <w:sz w:val="36"/>
          <w:szCs w:val="36"/>
          <w:highlight w:val="none"/>
        </w:rPr>
      </w:pPr>
    </w:p>
    <w:p w14:paraId="04AAA2AB">
      <w:pPr>
        <w:adjustRightInd w:val="0"/>
        <w:snapToGrid w:val="0"/>
        <w:spacing w:before="240" w:beforeLines="100" w:after="240" w:afterLines="100"/>
        <w:jc w:val="left"/>
        <w:rPr>
          <w:rFonts w:ascii="宋体" w:hAnsi="宋体" w:cs="宋体"/>
          <w:b/>
          <w:i/>
          <w:color w:val="auto"/>
          <w:sz w:val="24"/>
          <w:highlight w:val="none"/>
        </w:rPr>
      </w:pPr>
    </w:p>
    <w:p w14:paraId="5F004755">
      <w:pPr>
        <w:tabs>
          <w:tab w:val="left" w:pos="1800"/>
          <w:tab w:val="left" w:pos="5580"/>
        </w:tabs>
        <w:rPr>
          <w:rFonts w:ascii="宋体" w:hAnsi="宋体" w:cs="宋体"/>
          <w:color w:val="auto"/>
          <w:sz w:val="24"/>
          <w:highlight w:val="none"/>
        </w:rPr>
      </w:pPr>
      <w:r>
        <w:rPr>
          <w:rFonts w:hint="eastAsia" w:ascii="宋体" w:hAnsi="宋体" w:cs="宋体"/>
          <w:color w:val="auto"/>
          <w:sz w:val="24"/>
          <w:highlight w:val="none"/>
        </w:rPr>
        <w:t>项目编号/包号：___________ 项目名称：__________报价单位：人民币元</w:t>
      </w:r>
    </w:p>
    <w:tbl>
      <w:tblPr>
        <w:tblStyle w:val="45"/>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269"/>
        <w:gridCol w:w="1559"/>
        <w:gridCol w:w="1135"/>
        <w:gridCol w:w="1560"/>
        <w:gridCol w:w="1982"/>
      </w:tblGrid>
      <w:tr w14:paraId="620B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3" w:type="dxa"/>
            <w:vAlign w:val="center"/>
          </w:tcPr>
          <w:p w14:paraId="3C827D69">
            <w:pPr>
              <w:adjustRightInd w:val="0"/>
              <w:snapToGrid w:val="0"/>
              <w:jc w:val="left"/>
              <w:rPr>
                <w:rFonts w:ascii="宋体" w:hAnsi="宋体" w:cs="宋体"/>
                <w:b/>
                <w:color w:val="auto"/>
                <w:sz w:val="24"/>
                <w:highlight w:val="none"/>
              </w:rPr>
            </w:pPr>
            <w:r>
              <w:rPr>
                <w:rFonts w:hint="eastAsia" w:ascii="宋体" w:hAnsi="宋体" w:cs="宋体"/>
                <w:b/>
                <w:color w:val="auto"/>
                <w:sz w:val="24"/>
                <w:highlight w:val="none"/>
              </w:rPr>
              <w:t>序号</w:t>
            </w:r>
          </w:p>
        </w:tc>
        <w:tc>
          <w:tcPr>
            <w:tcW w:w="2269" w:type="dxa"/>
            <w:vAlign w:val="center"/>
          </w:tcPr>
          <w:p w14:paraId="3CD4E37F">
            <w:pPr>
              <w:adjustRightInd w:val="0"/>
              <w:snapToGrid w:val="0"/>
              <w:jc w:val="left"/>
              <w:rPr>
                <w:rFonts w:ascii="宋体" w:hAnsi="宋体" w:cs="宋体"/>
                <w:b/>
                <w:color w:val="auto"/>
                <w:sz w:val="24"/>
                <w:highlight w:val="none"/>
              </w:rPr>
            </w:pPr>
            <w:r>
              <w:rPr>
                <w:rFonts w:hint="eastAsia" w:ascii="宋体" w:hAnsi="宋体" w:cs="宋体"/>
                <w:b/>
                <w:color w:val="auto"/>
                <w:sz w:val="24"/>
                <w:highlight w:val="none"/>
              </w:rPr>
              <w:t>分项名称</w:t>
            </w:r>
          </w:p>
        </w:tc>
        <w:tc>
          <w:tcPr>
            <w:tcW w:w="1559" w:type="dxa"/>
            <w:vAlign w:val="center"/>
          </w:tcPr>
          <w:p w14:paraId="3084D1D4">
            <w:pPr>
              <w:adjustRightInd w:val="0"/>
              <w:snapToGrid w:val="0"/>
              <w:jc w:val="center"/>
              <w:rPr>
                <w:rFonts w:ascii="宋体" w:hAnsi="宋体" w:cs="宋体"/>
                <w:b/>
                <w:color w:val="auto"/>
                <w:sz w:val="24"/>
                <w:highlight w:val="none"/>
              </w:rPr>
            </w:pPr>
            <w:r>
              <w:rPr>
                <w:rFonts w:hint="eastAsia" w:ascii="宋体" w:hAnsi="宋体" w:cs="宋体"/>
                <w:b/>
                <w:color w:val="auto"/>
                <w:sz w:val="24"/>
                <w:highlight w:val="none"/>
              </w:rPr>
              <w:t>单价（元）</w:t>
            </w:r>
          </w:p>
        </w:tc>
        <w:tc>
          <w:tcPr>
            <w:tcW w:w="1135" w:type="dxa"/>
            <w:vAlign w:val="center"/>
          </w:tcPr>
          <w:p w14:paraId="15E9B632">
            <w:pPr>
              <w:adjustRightInd w:val="0"/>
              <w:snapToGrid w:val="0"/>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60" w:type="dxa"/>
            <w:vAlign w:val="center"/>
          </w:tcPr>
          <w:p w14:paraId="4AD9EDBC">
            <w:pPr>
              <w:adjustRightInd w:val="0"/>
              <w:snapToGrid w:val="0"/>
              <w:jc w:val="left"/>
              <w:rPr>
                <w:rFonts w:ascii="宋体" w:hAnsi="宋体" w:cs="宋体"/>
                <w:b/>
                <w:color w:val="auto"/>
                <w:sz w:val="24"/>
                <w:highlight w:val="none"/>
              </w:rPr>
            </w:pPr>
            <w:r>
              <w:rPr>
                <w:rFonts w:hint="eastAsia" w:ascii="宋体" w:hAnsi="宋体" w:cs="宋体"/>
                <w:b/>
                <w:color w:val="auto"/>
                <w:sz w:val="24"/>
                <w:highlight w:val="none"/>
              </w:rPr>
              <w:t>合价（元）</w:t>
            </w:r>
          </w:p>
        </w:tc>
        <w:tc>
          <w:tcPr>
            <w:tcW w:w="1982" w:type="dxa"/>
            <w:vAlign w:val="center"/>
          </w:tcPr>
          <w:p w14:paraId="2A34CBDB">
            <w:pPr>
              <w:adjustRightInd w:val="0"/>
              <w:snapToGrid w:val="0"/>
              <w:jc w:val="left"/>
              <w:rPr>
                <w:rFonts w:ascii="宋体" w:hAnsi="宋体" w:cs="宋体"/>
                <w:b/>
                <w:color w:val="auto"/>
                <w:sz w:val="24"/>
                <w:highlight w:val="none"/>
              </w:rPr>
            </w:pPr>
            <w:r>
              <w:rPr>
                <w:rFonts w:hint="eastAsia" w:ascii="宋体" w:hAnsi="宋体" w:cs="宋体"/>
                <w:b/>
                <w:color w:val="auto"/>
                <w:sz w:val="24"/>
                <w:highlight w:val="none"/>
              </w:rPr>
              <w:t>备注/说明</w:t>
            </w:r>
          </w:p>
        </w:tc>
      </w:tr>
      <w:tr w14:paraId="067F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3" w:type="dxa"/>
            <w:vAlign w:val="center"/>
          </w:tcPr>
          <w:p w14:paraId="6152C7AD">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2269" w:type="dxa"/>
            <w:vAlign w:val="center"/>
          </w:tcPr>
          <w:p w14:paraId="5D5947C0">
            <w:pPr>
              <w:adjustRightInd w:val="0"/>
              <w:snapToGrid w:val="0"/>
              <w:jc w:val="left"/>
              <w:rPr>
                <w:rFonts w:ascii="宋体" w:hAnsi="宋体" w:cs="宋体"/>
                <w:color w:val="auto"/>
                <w:sz w:val="24"/>
                <w:highlight w:val="none"/>
              </w:rPr>
            </w:pPr>
          </w:p>
        </w:tc>
        <w:tc>
          <w:tcPr>
            <w:tcW w:w="1559" w:type="dxa"/>
            <w:vAlign w:val="center"/>
          </w:tcPr>
          <w:p w14:paraId="69B71182">
            <w:pPr>
              <w:adjustRightInd w:val="0"/>
              <w:snapToGrid w:val="0"/>
              <w:jc w:val="left"/>
              <w:rPr>
                <w:rFonts w:ascii="宋体" w:hAnsi="宋体" w:cs="宋体"/>
                <w:color w:val="auto"/>
                <w:sz w:val="24"/>
                <w:highlight w:val="none"/>
              </w:rPr>
            </w:pPr>
          </w:p>
        </w:tc>
        <w:tc>
          <w:tcPr>
            <w:tcW w:w="1135" w:type="dxa"/>
            <w:vAlign w:val="center"/>
          </w:tcPr>
          <w:p w14:paraId="32EA5B69">
            <w:pPr>
              <w:adjustRightInd w:val="0"/>
              <w:snapToGrid w:val="0"/>
              <w:jc w:val="left"/>
              <w:rPr>
                <w:rFonts w:ascii="宋体" w:hAnsi="宋体" w:cs="宋体"/>
                <w:color w:val="auto"/>
                <w:sz w:val="24"/>
                <w:highlight w:val="none"/>
              </w:rPr>
            </w:pPr>
          </w:p>
        </w:tc>
        <w:tc>
          <w:tcPr>
            <w:tcW w:w="1560" w:type="dxa"/>
            <w:vAlign w:val="center"/>
          </w:tcPr>
          <w:p w14:paraId="76540BD6">
            <w:pPr>
              <w:adjustRightInd w:val="0"/>
              <w:snapToGrid w:val="0"/>
              <w:jc w:val="left"/>
              <w:rPr>
                <w:rFonts w:ascii="宋体" w:hAnsi="宋体" w:cs="宋体"/>
                <w:color w:val="auto"/>
                <w:sz w:val="24"/>
                <w:highlight w:val="none"/>
              </w:rPr>
            </w:pPr>
          </w:p>
        </w:tc>
        <w:tc>
          <w:tcPr>
            <w:tcW w:w="1982" w:type="dxa"/>
            <w:vAlign w:val="center"/>
          </w:tcPr>
          <w:p w14:paraId="6D9AD3DC">
            <w:pPr>
              <w:adjustRightInd w:val="0"/>
              <w:snapToGrid w:val="0"/>
              <w:jc w:val="left"/>
              <w:rPr>
                <w:rFonts w:ascii="宋体" w:hAnsi="宋体" w:cs="宋体"/>
                <w:color w:val="auto"/>
                <w:sz w:val="24"/>
                <w:highlight w:val="none"/>
              </w:rPr>
            </w:pPr>
          </w:p>
        </w:tc>
      </w:tr>
      <w:tr w14:paraId="655A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3" w:type="dxa"/>
            <w:vAlign w:val="center"/>
          </w:tcPr>
          <w:p w14:paraId="088712F2">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2269" w:type="dxa"/>
            <w:vAlign w:val="center"/>
          </w:tcPr>
          <w:p w14:paraId="5E190D8A">
            <w:pPr>
              <w:adjustRightInd w:val="0"/>
              <w:snapToGrid w:val="0"/>
              <w:jc w:val="left"/>
              <w:rPr>
                <w:rFonts w:ascii="宋体" w:hAnsi="宋体" w:cs="宋体"/>
                <w:color w:val="auto"/>
                <w:sz w:val="24"/>
                <w:highlight w:val="none"/>
              </w:rPr>
            </w:pPr>
          </w:p>
        </w:tc>
        <w:tc>
          <w:tcPr>
            <w:tcW w:w="1559" w:type="dxa"/>
            <w:vAlign w:val="center"/>
          </w:tcPr>
          <w:p w14:paraId="5F55B494">
            <w:pPr>
              <w:adjustRightInd w:val="0"/>
              <w:snapToGrid w:val="0"/>
              <w:jc w:val="left"/>
              <w:rPr>
                <w:rFonts w:ascii="宋体" w:hAnsi="宋体" w:cs="宋体"/>
                <w:color w:val="auto"/>
                <w:sz w:val="24"/>
                <w:highlight w:val="none"/>
              </w:rPr>
            </w:pPr>
          </w:p>
        </w:tc>
        <w:tc>
          <w:tcPr>
            <w:tcW w:w="1135" w:type="dxa"/>
            <w:vAlign w:val="center"/>
          </w:tcPr>
          <w:p w14:paraId="7E23A16B">
            <w:pPr>
              <w:adjustRightInd w:val="0"/>
              <w:snapToGrid w:val="0"/>
              <w:jc w:val="left"/>
              <w:rPr>
                <w:rFonts w:ascii="宋体" w:hAnsi="宋体" w:cs="宋体"/>
                <w:color w:val="auto"/>
                <w:sz w:val="24"/>
                <w:highlight w:val="none"/>
              </w:rPr>
            </w:pPr>
          </w:p>
        </w:tc>
        <w:tc>
          <w:tcPr>
            <w:tcW w:w="1560" w:type="dxa"/>
            <w:vAlign w:val="center"/>
          </w:tcPr>
          <w:p w14:paraId="4DC77F71">
            <w:pPr>
              <w:adjustRightInd w:val="0"/>
              <w:snapToGrid w:val="0"/>
              <w:jc w:val="left"/>
              <w:rPr>
                <w:rFonts w:ascii="宋体" w:hAnsi="宋体" w:cs="宋体"/>
                <w:color w:val="auto"/>
                <w:sz w:val="24"/>
                <w:highlight w:val="none"/>
              </w:rPr>
            </w:pPr>
          </w:p>
        </w:tc>
        <w:tc>
          <w:tcPr>
            <w:tcW w:w="1982" w:type="dxa"/>
            <w:vAlign w:val="center"/>
          </w:tcPr>
          <w:p w14:paraId="7C4EBECB">
            <w:pPr>
              <w:adjustRightInd w:val="0"/>
              <w:snapToGrid w:val="0"/>
              <w:jc w:val="left"/>
              <w:rPr>
                <w:rFonts w:ascii="宋体" w:hAnsi="宋体" w:cs="宋体"/>
                <w:color w:val="auto"/>
                <w:sz w:val="24"/>
                <w:highlight w:val="none"/>
              </w:rPr>
            </w:pPr>
          </w:p>
        </w:tc>
      </w:tr>
      <w:tr w14:paraId="154F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vAlign w:val="center"/>
          </w:tcPr>
          <w:p w14:paraId="51A61AAA">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2269" w:type="dxa"/>
            <w:vAlign w:val="center"/>
          </w:tcPr>
          <w:p w14:paraId="729035E0">
            <w:pPr>
              <w:adjustRightInd w:val="0"/>
              <w:snapToGrid w:val="0"/>
              <w:jc w:val="left"/>
              <w:rPr>
                <w:rFonts w:ascii="宋体" w:hAnsi="宋体" w:cs="宋体"/>
                <w:color w:val="auto"/>
                <w:sz w:val="24"/>
                <w:highlight w:val="none"/>
              </w:rPr>
            </w:pPr>
            <w:r>
              <w:rPr>
                <w:rFonts w:hint="eastAsia" w:ascii="宋体" w:hAnsi="宋体" w:cs="宋体"/>
                <w:color w:val="auto"/>
                <w:sz w:val="24"/>
                <w:highlight w:val="none"/>
              </w:rPr>
              <w:t>…</w:t>
            </w:r>
          </w:p>
        </w:tc>
        <w:tc>
          <w:tcPr>
            <w:tcW w:w="1559" w:type="dxa"/>
            <w:vAlign w:val="center"/>
          </w:tcPr>
          <w:p w14:paraId="5E11A8A1">
            <w:pPr>
              <w:adjustRightInd w:val="0"/>
              <w:snapToGrid w:val="0"/>
              <w:jc w:val="left"/>
              <w:rPr>
                <w:rFonts w:ascii="宋体" w:hAnsi="宋体" w:cs="宋体"/>
                <w:color w:val="auto"/>
                <w:sz w:val="24"/>
                <w:highlight w:val="none"/>
              </w:rPr>
            </w:pPr>
          </w:p>
        </w:tc>
        <w:tc>
          <w:tcPr>
            <w:tcW w:w="1135" w:type="dxa"/>
            <w:vAlign w:val="center"/>
          </w:tcPr>
          <w:p w14:paraId="769ED8A9">
            <w:pPr>
              <w:adjustRightInd w:val="0"/>
              <w:snapToGrid w:val="0"/>
              <w:jc w:val="left"/>
              <w:rPr>
                <w:rFonts w:ascii="宋体" w:hAnsi="宋体" w:cs="宋体"/>
                <w:color w:val="auto"/>
                <w:sz w:val="24"/>
                <w:highlight w:val="none"/>
              </w:rPr>
            </w:pPr>
          </w:p>
        </w:tc>
        <w:tc>
          <w:tcPr>
            <w:tcW w:w="1560" w:type="dxa"/>
            <w:vAlign w:val="center"/>
          </w:tcPr>
          <w:p w14:paraId="48937CC4">
            <w:pPr>
              <w:adjustRightInd w:val="0"/>
              <w:snapToGrid w:val="0"/>
              <w:jc w:val="left"/>
              <w:rPr>
                <w:rFonts w:ascii="宋体" w:hAnsi="宋体" w:cs="宋体"/>
                <w:color w:val="auto"/>
                <w:sz w:val="24"/>
                <w:highlight w:val="none"/>
              </w:rPr>
            </w:pPr>
          </w:p>
        </w:tc>
        <w:tc>
          <w:tcPr>
            <w:tcW w:w="1982" w:type="dxa"/>
            <w:vAlign w:val="center"/>
          </w:tcPr>
          <w:p w14:paraId="4A206C85">
            <w:pPr>
              <w:adjustRightInd w:val="0"/>
              <w:snapToGrid w:val="0"/>
              <w:jc w:val="left"/>
              <w:rPr>
                <w:rFonts w:ascii="宋体" w:hAnsi="宋体" w:cs="宋体"/>
                <w:color w:val="auto"/>
                <w:sz w:val="24"/>
                <w:highlight w:val="none"/>
              </w:rPr>
            </w:pPr>
          </w:p>
        </w:tc>
      </w:tr>
      <w:tr w14:paraId="10AC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666" w:type="dxa"/>
            <w:gridSpan w:val="4"/>
            <w:vAlign w:val="center"/>
          </w:tcPr>
          <w:p w14:paraId="29C0D761">
            <w:pPr>
              <w:adjustRightInd w:val="0"/>
              <w:snapToGrid w:val="0"/>
              <w:jc w:val="right"/>
              <w:rPr>
                <w:rFonts w:ascii="宋体" w:hAnsi="宋体" w:cs="宋体"/>
                <w:b/>
                <w:color w:val="auto"/>
                <w:sz w:val="24"/>
                <w:highlight w:val="none"/>
              </w:rPr>
            </w:pPr>
            <w:r>
              <w:rPr>
                <w:rFonts w:hint="eastAsia" w:ascii="宋体" w:hAnsi="宋体" w:cs="宋体"/>
                <w:b/>
                <w:color w:val="auto"/>
                <w:sz w:val="24"/>
                <w:highlight w:val="none"/>
              </w:rPr>
              <w:t>总价（元）</w:t>
            </w:r>
          </w:p>
        </w:tc>
        <w:tc>
          <w:tcPr>
            <w:tcW w:w="1560" w:type="dxa"/>
            <w:vAlign w:val="center"/>
          </w:tcPr>
          <w:p w14:paraId="244D37AC">
            <w:pPr>
              <w:adjustRightInd w:val="0"/>
              <w:snapToGrid w:val="0"/>
              <w:jc w:val="left"/>
              <w:rPr>
                <w:rFonts w:ascii="宋体" w:hAnsi="宋体" w:cs="宋体"/>
                <w:color w:val="auto"/>
                <w:sz w:val="24"/>
                <w:highlight w:val="none"/>
              </w:rPr>
            </w:pPr>
          </w:p>
        </w:tc>
        <w:tc>
          <w:tcPr>
            <w:tcW w:w="1982" w:type="dxa"/>
            <w:vAlign w:val="center"/>
          </w:tcPr>
          <w:p w14:paraId="755F3B3A">
            <w:pPr>
              <w:adjustRightInd w:val="0"/>
              <w:snapToGrid w:val="0"/>
              <w:jc w:val="left"/>
              <w:rPr>
                <w:rFonts w:ascii="宋体" w:hAnsi="宋体" w:cs="宋体"/>
                <w:color w:val="auto"/>
                <w:sz w:val="24"/>
                <w:highlight w:val="none"/>
              </w:rPr>
            </w:pPr>
          </w:p>
        </w:tc>
      </w:tr>
    </w:tbl>
    <w:p w14:paraId="634E350A">
      <w:pPr>
        <w:tabs>
          <w:tab w:val="left" w:pos="1800"/>
          <w:tab w:val="left" w:pos="5580"/>
        </w:tabs>
        <w:jc w:val="left"/>
        <w:rPr>
          <w:rFonts w:ascii="宋体" w:hAnsi="宋体" w:cs="宋体"/>
          <w:color w:val="auto"/>
          <w:sz w:val="24"/>
          <w:highlight w:val="none"/>
        </w:rPr>
      </w:pPr>
    </w:p>
    <w:p w14:paraId="486118BD">
      <w:pPr>
        <w:tabs>
          <w:tab w:val="left" w:pos="1800"/>
          <w:tab w:val="left" w:pos="5580"/>
        </w:tabs>
        <w:jc w:val="left"/>
        <w:rPr>
          <w:rFonts w:ascii="宋体" w:hAnsi="宋体" w:cs="宋体"/>
          <w:color w:val="auto"/>
          <w:sz w:val="24"/>
          <w:highlight w:val="none"/>
        </w:rPr>
      </w:pPr>
    </w:p>
    <w:p w14:paraId="28358DEB">
      <w:pPr>
        <w:tabs>
          <w:tab w:val="left" w:pos="1800"/>
          <w:tab w:val="left" w:pos="5580"/>
        </w:tabs>
        <w:jc w:val="left"/>
        <w:rPr>
          <w:rFonts w:ascii="宋体" w:hAnsi="宋体" w:cs="宋体"/>
          <w:color w:val="auto"/>
          <w:sz w:val="24"/>
          <w:highlight w:val="none"/>
        </w:rPr>
      </w:pPr>
    </w:p>
    <w:p w14:paraId="5A9193DB">
      <w:pPr>
        <w:tabs>
          <w:tab w:val="left" w:pos="1800"/>
          <w:tab w:val="left" w:pos="5580"/>
        </w:tabs>
        <w:jc w:val="left"/>
        <w:rPr>
          <w:rFonts w:ascii="宋体" w:hAnsi="宋体" w:cs="宋体"/>
          <w:color w:val="auto"/>
          <w:sz w:val="24"/>
          <w:highlight w:val="none"/>
        </w:rPr>
      </w:pPr>
    </w:p>
    <w:p w14:paraId="1FE6F95E">
      <w:pPr>
        <w:tabs>
          <w:tab w:val="left" w:pos="1800"/>
          <w:tab w:val="left" w:pos="5580"/>
        </w:tabs>
        <w:jc w:val="left"/>
        <w:rPr>
          <w:rFonts w:ascii="宋体" w:hAnsi="宋体" w:cs="宋体"/>
          <w:color w:val="auto"/>
          <w:sz w:val="24"/>
          <w:highlight w:val="none"/>
        </w:rPr>
      </w:pPr>
      <w:r>
        <w:rPr>
          <w:rFonts w:hint="eastAsia" w:ascii="宋体" w:hAnsi="宋体" w:cs="宋体"/>
          <w:color w:val="auto"/>
          <w:sz w:val="24"/>
          <w:highlight w:val="none"/>
        </w:rPr>
        <w:t>注：1.本表应按包分别填写。</w:t>
      </w:r>
    </w:p>
    <w:p w14:paraId="11BE9FD4">
      <w:pPr>
        <w:tabs>
          <w:tab w:val="left" w:pos="1800"/>
          <w:tab w:val="left" w:pos="5580"/>
        </w:tabs>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2.如果不提供分项报价将视为没有实质性响应招标文件。</w:t>
      </w:r>
    </w:p>
    <w:p w14:paraId="00FB1902">
      <w:pPr>
        <w:tabs>
          <w:tab w:val="left" w:pos="1800"/>
          <w:tab w:val="left" w:pos="5580"/>
        </w:tabs>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3.上述各项的详细规格（如有），可另页描述。</w:t>
      </w:r>
    </w:p>
    <w:p w14:paraId="1DF3ACCC">
      <w:pPr>
        <w:autoSpaceDE w:val="0"/>
        <w:autoSpaceDN w:val="0"/>
        <w:adjustRightInd w:val="0"/>
        <w:snapToGrid w:val="0"/>
        <w:spacing w:before="25" w:after="25"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                  </w:t>
      </w:r>
    </w:p>
    <w:p w14:paraId="227B53BE">
      <w:pPr>
        <w:autoSpaceDE w:val="0"/>
        <w:autoSpaceDN w:val="0"/>
        <w:adjustRightInd w:val="0"/>
        <w:snapToGrid w:val="0"/>
        <w:spacing w:before="25" w:after="25" w:line="360" w:lineRule="auto"/>
        <w:rPr>
          <w:rFonts w:ascii="宋体" w:hAnsi="宋体" w:cs="宋体"/>
          <w:color w:val="auto"/>
          <w:sz w:val="24"/>
          <w:highlight w:val="none"/>
          <w:lang w:val="zh-CN"/>
        </w:rPr>
      </w:pPr>
      <w:r>
        <w:rPr>
          <w:rFonts w:hint="eastAsia" w:ascii="宋体" w:hAnsi="宋体" w:cs="宋体"/>
          <w:color w:val="auto"/>
          <w:sz w:val="24"/>
          <w:highlight w:val="none"/>
        </w:rPr>
        <w:t>投标人名称（加盖公章）</w:t>
      </w:r>
      <w:r>
        <w:rPr>
          <w:rFonts w:hint="eastAsia" w:ascii="宋体" w:hAnsi="宋体" w:cs="宋体"/>
          <w:color w:val="auto"/>
          <w:sz w:val="24"/>
          <w:highlight w:val="none"/>
          <w:lang w:val="zh-CN"/>
        </w:rPr>
        <w:t>：____________</w:t>
      </w:r>
    </w:p>
    <w:p w14:paraId="68F363FA">
      <w:pPr>
        <w:autoSpaceDE w:val="0"/>
        <w:autoSpaceDN w:val="0"/>
        <w:adjustRightInd w:val="0"/>
        <w:snapToGrid w:val="0"/>
        <w:spacing w:before="25" w:after="25" w:line="360" w:lineRule="auto"/>
        <w:rPr>
          <w:rFonts w:ascii="宋体" w:hAnsi="宋体" w:cs="宋体"/>
          <w:color w:val="auto"/>
          <w:sz w:val="24"/>
          <w:highlight w:val="none"/>
          <w:lang w:val="zh-CN"/>
        </w:rPr>
      </w:pPr>
      <w:r>
        <w:rPr>
          <w:rFonts w:hint="eastAsia" w:ascii="宋体" w:hAnsi="宋体" w:cs="宋体"/>
          <w:color w:val="auto"/>
          <w:sz w:val="24"/>
          <w:szCs w:val="20"/>
          <w:highlight w:val="none"/>
        </w:rPr>
        <w:t xml:space="preserve">日期：_____年______月______日   </w:t>
      </w:r>
    </w:p>
    <w:p w14:paraId="7D40F76D">
      <w:pPr>
        <w:spacing w:line="360" w:lineRule="auto"/>
        <w:outlineLvl w:val="2"/>
        <w:rPr>
          <w:rFonts w:ascii="宋体" w:hAnsi="宋体" w:cs="宋体"/>
          <w:color w:val="auto"/>
          <w:sz w:val="24"/>
          <w:szCs w:val="20"/>
          <w:highlight w:val="none"/>
        </w:rPr>
      </w:pPr>
      <w:bookmarkStart w:id="915" w:name="_Toc226965835"/>
      <w:bookmarkStart w:id="916" w:name="_Toc127151562"/>
      <w:bookmarkStart w:id="917" w:name="_Toc264969252"/>
      <w:bookmarkStart w:id="918" w:name="_Toc195842927"/>
      <w:bookmarkStart w:id="919" w:name="_Toc150774765"/>
      <w:bookmarkStart w:id="920" w:name="_Toc150480798"/>
      <w:bookmarkStart w:id="921" w:name="_Toc142311062"/>
      <w:bookmarkStart w:id="922" w:name="_Toc265228400"/>
      <w:bookmarkStart w:id="923" w:name="_Toc226337258"/>
      <w:bookmarkStart w:id="924" w:name="_Toc226309806"/>
      <w:bookmarkStart w:id="925" w:name="_Toc305158904"/>
      <w:bookmarkStart w:id="926" w:name="_Toc226965752"/>
      <w:bookmarkStart w:id="927" w:name="_Toc305158830"/>
      <w:bookmarkStart w:id="928" w:name="_Toc150480797"/>
      <w:bookmarkStart w:id="929" w:name="_Toc226337257"/>
      <w:bookmarkStart w:id="930" w:name="_Toc305158829"/>
      <w:bookmarkStart w:id="931" w:name="_Toc264969251"/>
      <w:bookmarkStart w:id="932" w:name="_Toc265228399"/>
      <w:bookmarkStart w:id="933" w:name="_Toc142311061"/>
      <w:bookmarkStart w:id="934" w:name="_Toc127151561"/>
      <w:bookmarkStart w:id="935" w:name="_Toc226309805"/>
      <w:bookmarkStart w:id="936" w:name="_Toc150774764"/>
      <w:bookmarkStart w:id="937" w:name="_Toc195842926"/>
      <w:bookmarkStart w:id="938" w:name="_Toc305158903"/>
      <w:bookmarkStart w:id="939" w:name="_Toc226965751"/>
      <w:bookmarkStart w:id="940" w:name="_Toc226965834"/>
      <w:r>
        <w:rPr>
          <w:rFonts w:hint="eastAsia" w:ascii="宋体" w:hAnsi="宋体" w:cs="宋体"/>
          <w:color w:val="auto"/>
          <w:sz w:val="24"/>
          <w:szCs w:val="20"/>
          <w:highlight w:val="none"/>
        </w:rPr>
        <w:br w:type="page"/>
      </w:r>
      <w:r>
        <w:rPr>
          <w:rFonts w:hint="eastAsia" w:ascii="宋体" w:hAnsi="宋体" w:cs="宋体"/>
          <w:color w:val="auto"/>
          <w:sz w:val="24"/>
          <w:szCs w:val="20"/>
          <w:highlight w:val="none"/>
        </w:rPr>
        <w:t>5  合同条款偏离表</w:t>
      </w:r>
      <w:bookmarkEnd w:id="915"/>
      <w:bookmarkEnd w:id="916"/>
      <w:bookmarkEnd w:id="917"/>
      <w:bookmarkEnd w:id="918"/>
      <w:bookmarkEnd w:id="919"/>
      <w:bookmarkEnd w:id="920"/>
      <w:bookmarkEnd w:id="921"/>
      <w:bookmarkEnd w:id="922"/>
      <w:bookmarkEnd w:id="923"/>
      <w:bookmarkEnd w:id="924"/>
      <w:bookmarkEnd w:id="925"/>
      <w:bookmarkEnd w:id="926"/>
      <w:bookmarkEnd w:id="927"/>
      <w:r>
        <w:rPr>
          <w:rFonts w:hint="eastAsia" w:ascii="宋体" w:hAnsi="宋体" w:cs="宋体"/>
          <w:color w:val="auto"/>
          <w:sz w:val="24"/>
          <w:szCs w:val="20"/>
          <w:highlight w:val="none"/>
        </w:rPr>
        <w:t>（实质性格式）</w:t>
      </w:r>
    </w:p>
    <w:p w14:paraId="0B80CD10">
      <w:pPr>
        <w:spacing w:line="360" w:lineRule="auto"/>
        <w:rPr>
          <w:rFonts w:ascii="宋体" w:hAnsi="宋体" w:cs="宋体"/>
          <w:color w:val="auto"/>
          <w:sz w:val="24"/>
          <w:szCs w:val="20"/>
          <w:highlight w:val="none"/>
        </w:rPr>
      </w:pPr>
    </w:p>
    <w:p w14:paraId="4ED3B271">
      <w:pPr>
        <w:tabs>
          <w:tab w:val="left" w:pos="2775"/>
          <w:tab w:val="center" w:pos="4153"/>
        </w:tabs>
        <w:autoSpaceDE w:val="0"/>
        <w:autoSpaceDN w:val="0"/>
        <w:adjustRightIn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合同条款偏离表</w:t>
      </w:r>
    </w:p>
    <w:p w14:paraId="2057D692">
      <w:pPr>
        <w:spacing w:line="360" w:lineRule="auto"/>
        <w:rPr>
          <w:rFonts w:ascii="宋体" w:hAnsi="宋体" w:cs="宋体"/>
          <w:color w:val="auto"/>
          <w:sz w:val="24"/>
          <w:szCs w:val="20"/>
          <w:highlight w:val="none"/>
        </w:rPr>
      </w:pPr>
    </w:p>
    <w:p w14:paraId="0FE22880">
      <w:pPr>
        <w:tabs>
          <w:tab w:val="left" w:pos="1800"/>
          <w:tab w:val="left" w:pos="5580"/>
        </w:tabs>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项目编号/包号：_____________________     项目名称：_____________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270"/>
        <w:gridCol w:w="1926"/>
        <w:gridCol w:w="1927"/>
        <w:gridCol w:w="2354"/>
        <w:gridCol w:w="771"/>
      </w:tblGrid>
      <w:tr w14:paraId="2DEB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4" w:type="dxa"/>
            <w:vAlign w:val="center"/>
          </w:tcPr>
          <w:p w14:paraId="401AEA41">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70" w:type="dxa"/>
            <w:vAlign w:val="center"/>
          </w:tcPr>
          <w:p w14:paraId="049F66FA">
            <w:pPr>
              <w:adjustRightInd w:val="0"/>
              <w:snapToGrid w:val="0"/>
              <w:jc w:val="center"/>
              <w:rPr>
                <w:rFonts w:ascii="宋体" w:hAnsi="宋体" w:cs="宋体"/>
                <w:color w:val="auto"/>
                <w:sz w:val="24"/>
                <w:highlight w:val="none"/>
              </w:rPr>
            </w:pPr>
            <w:r>
              <w:rPr>
                <w:rFonts w:hint="eastAsia" w:ascii="宋体" w:hAnsi="宋体" w:cs="宋体"/>
                <w:color w:val="auto"/>
                <w:sz w:val="24"/>
                <w:szCs w:val="21"/>
                <w:highlight w:val="none"/>
              </w:rPr>
              <w:t>招标文件</w:t>
            </w:r>
            <w:r>
              <w:rPr>
                <w:rFonts w:hint="eastAsia" w:ascii="宋体" w:hAnsi="宋体" w:cs="宋体"/>
                <w:color w:val="auto"/>
                <w:sz w:val="24"/>
                <w:highlight w:val="none"/>
              </w:rPr>
              <w:t>条目号（页码）</w:t>
            </w:r>
          </w:p>
        </w:tc>
        <w:tc>
          <w:tcPr>
            <w:tcW w:w="1926" w:type="dxa"/>
            <w:vAlign w:val="center"/>
          </w:tcPr>
          <w:p w14:paraId="0C77BE35">
            <w:pPr>
              <w:adjustRightInd w:val="0"/>
              <w:snapToGrid w:val="0"/>
              <w:jc w:val="center"/>
              <w:rPr>
                <w:rFonts w:ascii="宋体" w:hAnsi="宋体" w:cs="宋体"/>
                <w:color w:val="auto"/>
                <w:sz w:val="24"/>
                <w:highlight w:val="none"/>
              </w:rPr>
            </w:pPr>
            <w:r>
              <w:rPr>
                <w:rFonts w:hint="eastAsia" w:ascii="宋体" w:hAnsi="宋体" w:cs="宋体"/>
                <w:color w:val="auto"/>
                <w:sz w:val="24"/>
                <w:szCs w:val="21"/>
                <w:highlight w:val="none"/>
              </w:rPr>
              <w:t>招标文件</w:t>
            </w:r>
            <w:r>
              <w:rPr>
                <w:rFonts w:hint="eastAsia" w:ascii="宋体" w:hAnsi="宋体" w:cs="宋体"/>
                <w:color w:val="auto"/>
                <w:sz w:val="24"/>
                <w:highlight w:val="none"/>
              </w:rPr>
              <w:t>要求</w:t>
            </w:r>
          </w:p>
        </w:tc>
        <w:tc>
          <w:tcPr>
            <w:tcW w:w="1927" w:type="dxa"/>
            <w:vAlign w:val="center"/>
          </w:tcPr>
          <w:p w14:paraId="5094229D">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投标文件内容</w:t>
            </w:r>
          </w:p>
        </w:tc>
        <w:tc>
          <w:tcPr>
            <w:tcW w:w="2354" w:type="dxa"/>
            <w:vAlign w:val="center"/>
          </w:tcPr>
          <w:p w14:paraId="6EC16900">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偏离情况</w:t>
            </w:r>
          </w:p>
        </w:tc>
        <w:tc>
          <w:tcPr>
            <w:tcW w:w="771" w:type="dxa"/>
            <w:vAlign w:val="center"/>
          </w:tcPr>
          <w:p w14:paraId="4D307ECF">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说明</w:t>
            </w:r>
          </w:p>
        </w:tc>
      </w:tr>
      <w:tr w14:paraId="6191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62" w:type="dxa"/>
            <w:gridSpan w:val="6"/>
            <w:vAlign w:val="center"/>
          </w:tcPr>
          <w:p w14:paraId="6D554E43">
            <w:pPr>
              <w:adjustRightInd w:val="0"/>
              <w:snapToGrid w:val="0"/>
              <w:jc w:val="left"/>
              <w:rPr>
                <w:rFonts w:ascii="宋体" w:hAnsi="宋体" w:cs="宋体"/>
                <w:color w:val="auto"/>
                <w:sz w:val="24"/>
                <w:highlight w:val="none"/>
              </w:rPr>
            </w:pPr>
            <w:r>
              <w:rPr>
                <w:rFonts w:hint="eastAsia" w:ascii="宋体" w:hAnsi="宋体" w:cs="宋体"/>
                <w:b/>
                <w:color w:val="auto"/>
                <w:sz w:val="24"/>
                <w:highlight w:val="none"/>
              </w:rPr>
              <w:t>对本项目合同条款的偏离情况</w:t>
            </w:r>
            <w:r>
              <w:rPr>
                <w:rFonts w:hint="eastAsia" w:ascii="宋体" w:hAnsi="宋体" w:cs="宋体"/>
                <w:color w:val="auto"/>
                <w:sz w:val="24"/>
                <w:highlight w:val="none"/>
              </w:rPr>
              <w:t>（应进行选择，未选择</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5125079A">
            <w:pPr>
              <w:adjustRightInd w:val="0"/>
              <w:snapToGrid w:val="0"/>
              <w:jc w:val="left"/>
              <w:rPr>
                <w:rFonts w:ascii="宋体" w:hAnsi="宋体" w:cs="宋体"/>
                <w:color w:val="auto"/>
                <w:sz w:val="24"/>
                <w:highlight w:val="none"/>
              </w:rPr>
            </w:pPr>
            <w:r>
              <w:rPr>
                <w:rFonts w:hint="eastAsia" w:ascii="宋体" w:hAnsi="宋体" w:cs="宋体"/>
                <w:bCs/>
                <w:color w:val="auto"/>
                <w:sz w:val="24"/>
                <w:highlight w:val="none"/>
              </w:rPr>
              <w:t>口</w:t>
            </w:r>
            <w:r>
              <w:rPr>
                <w:rFonts w:hint="eastAsia" w:ascii="宋体" w:hAnsi="宋体" w:cs="宋体"/>
                <w:b/>
                <w:color w:val="auto"/>
                <w:sz w:val="24"/>
                <w:highlight w:val="none"/>
              </w:rPr>
              <w:t>无偏离</w:t>
            </w:r>
            <w:r>
              <w:rPr>
                <w:rFonts w:hint="eastAsia" w:ascii="宋体" w:hAnsi="宋体" w:cs="宋体"/>
                <w:color w:val="auto"/>
                <w:sz w:val="24"/>
                <w:highlight w:val="none"/>
              </w:rPr>
              <w:t>（如无偏离，仅选择无偏离即可；无偏离即为对合同条款中的所有要求，均视作供应商已对之理解和响应。）</w:t>
            </w:r>
          </w:p>
          <w:p w14:paraId="0170C3A5">
            <w:pPr>
              <w:adjustRightInd w:val="0"/>
              <w:snapToGrid w:val="0"/>
              <w:jc w:val="left"/>
              <w:rPr>
                <w:rFonts w:ascii="宋体" w:hAnsi="宋体" w:cs="宋体"/>
                <w:color w:val="auto"/>
                <w:sz w:val="24"/>
                <w:highlight w:val="none"/>
              </w:rPr>
            </w:pPr>
            <w:r>
              <w:rPr>
                <w:rFonts w:hint="eastAsia" w:ascii="宋体" w:hAnsi="宋体" w:cs="宋体"/>
                <w:bCs/>
                <w:color w:val="auto"/>
                <w:sz w:val="24"/>
                <w:highlight w:val="none"/>
              </w:rPr>
              <w:t>口</w:t>
            </w:r>
            <w:r>
              <w:rPr>
                <w:rFonts w:hint="eastAsia" w:ascii="宋体" w:hAnsi="宋体" w:cs="宋体"/>
                <w:b/>
                <w:color w:val="auto"/>
                <w:sz w:val="24"/>
                <w:highlight w:val="none"/>
              </w:rPr>
              <w:t>有偏离</w:t>
            </w:r>
            <w:r>
              <w:rPr>
                <w:rFonts w:hint="eastAsia" w:ascii="宋体" w:hAnsi="宋体" w:cs="宋体"/>
                <w:color w:val="auto"/>
                <w:sz w:val="24"/>
                <w:highlight w:val="none"/>
              </w:rPr>
              <w:t>（如有偏离，则应在本表中对偏离项逐一列明，否则</w:t>
            </w:r>
            <w:r>
              <w:rPr>
                <w:rFonts w:hint="eastAsia" w:ascii="宋体" w:hAnsi="宋体" w:cs="宋体"/>
                <w:b/>
                <w:color w:val="auto"/>
                <w:sz w:val="24"/>
                <w:highlight w:val="none"/>
              </w:rPr>
              <w:t>投标无效</w:t>
            </w:r>
            <w:r>
              <w:rPr>
                <w:rFonts w:hint="eastAsia" w:ascii="宋体" w:hAnsi="宋体" w:cs="宋体"/>
                <w:color w:val="auto"/>
                <w:sz w:val="24"/>
                <w:highlight w:val="none"/>
              </w:rPr>
              <w:t>；对合同条款中的所有要求，除本表列明的偏离外，均视作供应商已对之理解和响应。）</w:t>
            </w:r>
          </w:p>
        </w:tc>
      </w:tr>
      <w:tr w14:paraId="2A91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4" w:type="dxa"/>
            <w:vAlign w:val="center"/>
          </w:tcPr>
          <w:p w14:paraId="5351AE73">
            <w:pPr>
              <w:adjustRightInd w:val="0"/>
              <w:snapToGrid w:val="0"/>
              <w:jc w:val="center"/>
              <w:rPr>
                <w:rFonts w:ascii="宋体" w:hAnsi="宋体" w:cs="宋体"/>
                <w:color w:val="auto"/>
                <w:sz w:val="24"/>
                <w:highlight w:val="none"/>
              </w:rPr>
            </w:pPr>
          </w:p>
        </w:tc>
        <w:tc>
          <w:tcPr>
            <w:tcW w:w="1270" w:type="dxa"/>
            <w:vAlign w:val="center"/>
          </w:tcPr>
          <w:p w14:paraId="02E4E232">
            <w:pPr>
              <w:adjustRightInd w:val="0"/>
              <w:snapToGrid w:val="0"/>
              <w:jc w:val="center"/>
              <w:rPr>
                <w:rFonts w:ascii="宋体" w:hAnsi="宋体" w:cs="宋体"/>
                <w:color w:val="auto"/>
                <w:sz w:val="24"/>
                <w:highlight w:val="none"/>
              </w:rPr>
            </w:pPr>
          </w:p>
        </w:tc>
        <w:tc>
          <w:tcPr>
            <w:tcW w:w="1926" w:type="dxa"/>
            <w:vAlign w:val="center"/>
          </w:tcPr>
          <w:p w14:paraId="1EDD7BBC">
            <w:pPr>
              <w:adjustRightInd w:val="0"/>
              <w:snapToGrid w:val="0"/>
              <w:jc w:val="center"/>
              <w:rPr>
                <w:rFonts w:ascii="宋体" w:hAnsi="宋体" w:cs="宋体"/>
                <w:color w:val="auto"/>
                <w:sz w:val="24"/>
                <w:highlight w:val="none"/>
              </w:rPr>
            </w:pPr>
          </w:p>
        </w:tc>
        <w:tc>
          <w:tcPr>
            <w:tcW w:w="1927" w:type="dxa"/>
            <w:vAlign w:val="center"/>
          </w:tcPr>
          <w:p w14:paraId="55B7D126">
            <w:pPr>
              <w:adjustRightInd w:val="0"/>
              <w:snapToGrid w:val="0"/>
              <w:jc w:val="center"/>
              <w:rPr>
                <w:rFonts w:ascii="宋体" w:hAnsi="宋体" w:cs="宋体"/>
                <w:color w:val="auto"/>
                <w:sz w:val="24"/>
                <w:highlight w:val="none"/>
              </w:rPr>
            </w:pPr>
          </w:p>
        </w:tc>
        <w:tc>
          <w:tcPr>
            <w:tcW w:w="2354" w:type="dxa"/>
            <w:vAlign w:val="center"/>
          </w:tcPr>
          <w:p w14:paraId="0A302102">
            <w:pPr>
              <w:adjustRightInd w:val="0"/>
              <w:snapToGrid w:val="0"/>
              <w:jc w:val="center"/>
              <w:rPr>
                <w:rFonts w:ascii="宋体" w:hAnsi="宋体" w:cs="宋体"/>
                <w:color w:val="auto"/>
                <w:sz w:val="24"/>
                <w:highlight w:val="none"/>
              </w:rPr>
            </w:pPr>
          </w:p>
        </w:tc>
        <w:tc>
          <w:tcPr>
            <w:tcW w:w="771" w:type="dxa"/>
            <w:vAlign w:val="center"/>
          </w:tcPr>
          <w:p w14:paraId="625E4AE5">
            <w:pPr>
              <w:adjustRightInd w:val="0"/>
              <w:snapToGrid w:val="0"/>
              <w:jc w:val="center"/>
              <w:rPr>
                <w:rFonts w:ascii="宋体" w:hAnsi="宋体" w:cs="宋体"/>
                <w:color w:val="auto"/>
                <w:sz w:val="24"/>
                <w:highlight w:val="none"/>
              </w:rPr>
            </w:pPr>
          </w:p>
        </w:tc>
      </w:tr>
      <w:tr w14:paraId="2382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4" w:type="dxa"/>
            <w:vAlign w:val="center"/>
          </w:tcPr>
          <w:p w14:paraId="60AE25B8">
            <w:pPr>
              <w:adjustRightInd w:val="0"/>
              <w:snapToGrid w:val="0"/>
              <w:jc w:val="center"/>
              <w:rPr>
                <w:rFonts w:ascii="宋体" w:hAnsi="宋体" w:cs="宋体"/>
                <w:color w:val="auto"/>
                <w:sz w:val="24"/>
                <w:highlight w:val="none"/>
              </w:rPr>
            </w:pPr>
          </w:p>
        </w:tc>
        <w:tc>
          <w:tcPr>
            <w:tcW w:w="1270" w:type="dxa"/>
            <w:vAlign w:val="center"/>
          </w:tcPr>
          <w:p w14:paraId="2185FC4E">
            <w:pPr>
              <w:adjustRightInd w:val="0"/>
              <w:snapToGrid w:val="0"/>
              <w:jc w:val="center"/>
              <w:rPr>
                <w:rFonts w:ascii="宋体" w:hAnsi="宋体" w:cs="宋体"/>
                <w:color w:val="auto"/>
                <w:sz w:val="24"/>
                <w:highlight w:val="none"/>
              </w:rPr>
            </w:pPr>
          </w:p>
        </w:tc>
        <w:tc>
          <w:tcPr>
            <w:tcW w:w="1926" w:type="dxa"/>
            <w:vAlign w:val="center"/>
          </w:tcPr>
          <w:p w14:paraId="67C710C9">
            <w:pPr>
              <w:adjustRightInd w:val="0"/>
              <w:snapToGrid w:val="0"/>
              <w:jc w:val="center"/>
              <w:rPr>
                <w:rFonts w:ascii="宋体" w:hAnsi="宋体" w:cs="宋体"/>
                <w:color w:val="auto"/>
                <w:sz w:val="24"/>
                <w:highlight w:val="none"/>
              </w:rPr>
            </w:pPr>
          </w:p>
        </w:tc>
        <w:tc>
          <w:tcPr>
            <w:tcW w:w="1927" w:type="dxa"/>
            <w:vAlign w:val="center"/>
          </w:tcPr>
          <w:p w14:paraId="0B297412">
            <w:pPr>
              <w:adjustRightInd w:val="0"/>
              <w:snapToGrid w:val="0"/>
              <w:jc w:val="center"/>
              <w:rPr>
                <w:rFonts w:ascii="宋体" w:hAnsi="宋体" w:cs="宋体"/>
                <w:color w:val="auto"/>
                <w:sz w:val="24"/>
                <w:highlight w:val="none"/>
              </w:rPr>
            </w:pPr>
          </w:p>
        </w:tc>
        <w:tc>
          <w:tcPr>
            <w:tcW w:w="2354" w:type="dxa"/>
            <w:vAlign w:val="center"/>
          </w:tcPr>
          <w:p w14:paraId="6F0ACA24">
            <w:pPr>
              <w:adjustRightInd w:val="0"/>
              <w:snapToGrid w:val="0"/>
              <w:jc w:val="center"/>
              <w:rPr>
                <w:rFonts w:ascii="宋体" w:hAnsi="宋体" w:cs="宋体"/>
                <w:color w:val="auto"/>
                <w:sz w:val="24"/>
                <w:highlight w:val="none"/>
              </w:rPr>
            </w:pPr>
          </w:p>
        </w:tc>
        <w:tc>
          <w:tcPr>
            <w:tcW w:w="771" w:type="dxa"/>
            <w:vAlign w:val="center"/>
          </w:tcPr>
          <w:p w14:paraId="08B80EEE">
            <w:pPr>
              <w:adjustRightInd w:val="0"/>
              <w:snapToGrid w:val="0"/>
              <w:jc w:val="center"/>
              <w:rPr>
                <w:rFonts w:ascii="宋体" w:hAnsi="宋体" w:cs="宋体"/>
                <w:color w:val="auto"/>
                <w:sz w:val="24"/>
                <w:highlight w:val="none"/>
              </w:rPr>
            </w:pPr>
          </w:p>
        </w:tc>
      </w:tr>
      <w:tr w14:paraId="5D25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4" w:type="dxa"/>
            <w:vAlign w:val="center"/>
          </w:tcPr>
          <w:p w14:paraId="2EF414E1">
            <w:pPr>
              <w:adjustRightInd w:val="0"/>
              <w:snapToGrid w:val="0"/>
              <w:jc w:val="center"/>
              <w:rPr>
                <w:rFonts w:ascii="宋体" w:hAnsi="宋体" w:cs="宋体"/>
                <w:color w:val="auto"/>
                <w:sz w:val="24"/>
                <w:highlight w:val="none"/>
              </w:rPr>
            </w:pPr>
          </w:p>
        </w:tc>
        <w:tc>
          <w:tcPr>
            <w:tcW w:w="1270" w:type="dxa"/>
            <w:vAlign w:val="center"/>
          </w:tcPr>
          <w:p w14:paraId="7F536808">
            <w:pPr>
              <w:adjustRightInd w:val="0"/>
              <w:snapToGrid w:val="0"/>
              <w:jc w:val="center"/>
              <w:rPr>
                <w:rFonts w:ascii="宋体" w:hAnsi="宋体" w:cs="宋体"/>
                <w:color w:val="auto"/>
                <w:sz w:val="24"/>
                <w:highlight w:val="none"/>
              </w:rPr>
            </w:pPr>
          </w:p>
        </w:tc>
        <w:tc>
          <w:tcPr>
            <w:tcW w:w="1926" w:type="dxa"/>
            <w:vAlign w:val="center"/>
          </w:tcPr>
          <w:p w14:paraId="4EC09BE1">
            <w:pPr>
              <w:adjustRightInd w:val="0"/>
              <w:snapToGrid w:val="0"/>
              <w:jc w:val="center"/>
              <w:rPr>
                <w:rFonts w:ascii="宋体" w:hAnsi="宋体" w:cs="宋体"/>
                <w:color w:val="auto"/>
                <w:sz w:val="24"/>
                <w:highlight w:val="none"/>
              </w:rPr>
            </w:pPr>
          </w:p>
        </w:tc>
        <w:tc>
          <w:tcPr>
            <w:tcW w:w="1927" w:type="dxa"/>
            <w:vAlign w:val="center"/>
          </w:tcPr>
          <w:p w14:paraId="5CA00E55">
            <w:pPr>
              <w:adjustRightInd w:val="0"/>
              <w:snapToGrid w:val="0"/>
              <w:jc w:val="center"/>
              <w:rPr>
                <w:rFonts w:ascii="宋体" w:hAnsi="宋体" w:cs="宋体"/>
                <w:color w:val="auto"/>
                <w:sz w:val="24"/>
                <w:highlight w:val="none"/>
              </w:rPr>
            </w:pPr>
          </w:p>
        </w:tc>
        <w:tc>
          <w:tcPr>
            <w:tcW w:w="2354" w:type="dxa"/>
            <w:vAlign w:val="center"/>
          </w:tcPr>
          <w:p w14:paraId="567E1072">
            <w:pPr>
              <w:adjustRightInd w:val="0"/>
              <w:snapToGrid w:val="0"/>
              <w:jc w:val="center"/>
              <w:rPr>
                <w:rFonts w:ascii="宋体" w:hAnsi="宋体" w:cs="宋体"/>
                <w:color w:val="auto"/>
                <w:sz w:val="24"/>
                <w:highlight w:val="none"/>
              </w:rPr>
            </w:pPr>
          </w:p>
        </w:tc>
        <w:tc>
          <w:tcPr>
            <w:tcW w:w="771" w:type="dxa"/>
            <w:vAlign w:val="center"/>
          </w:tcPr>
          <w:p w14:paraId="5692694D">
            <w:pPr>
              <w:adjustRightInd w:val="0"/>
              <w:snapToGrid w:val="0"/>
              <w:jc w:val="center"/>
              <w:rPr>
                <w:rFonts w:ascii="宋体" w:hAnsi="宋体" w:cs="宋体"/>
                <w:color w:val="auto"/>
                <w:sz w:val="24"/>
                <w:highlight w:val="none"/>
              </w:rPr>
            </w:pPr>
          </w:p>
        </w:tc>
      </w:tr>
      <w:tr w14:paraId="1986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4" w:type="dxa"/>
            <w:vAlign w:val="center"/>
          </w:tcPr>
          <w:p w14:paraId="03E0AE9C">
            <w:pPr>
              <w:adjustRightInd w:val="0"/>
              <w:snapToGrid w:val="0"/>
              <w:jc w:val="center"/>
              <w:rPr>
                <w:rFonts w:ascii="宋体" w:hAnsi="宋体" w:cs="宋体"/>
                <w:color w:val="auto"/>
                <w:sz w:val="24"/>
                <w:highlight w:val="none"/>
              </w:rPr>
            </w:pPr>
          </w:p>
        </w:tc>
        <w:tc>
          <w:tcPr>
            <w:tcW w:w="1270" w:type="dxa"/>
            <w:vAlign w:val="center"/>
          </w:tcPr>
          <w:p w14:paraId="7F949833">
            <w:pPr>
              <w:adjustRightInd w:val="0"/>
              <w:snapToGrid w:val="0"/>
              <w:jc w:val="center"/>
              <w:rPr>
                <w:rFonts w:ascii="宋体" w:hAnsi="宋体" w:cs="宋体"/>
                <w:color w:val="auto"/>
                <w:sz w:val="24"/>
                <w:highlight w:val="none"/>
              </w:rPr>
            </w:pPr>
          </w:p>
        </w:tc>
        <w:tc>
          <w:tcPr>
            <w:tcW w:w="1926" w:type="dxa"/>
            <w:vAlign w:val="center"/>
          </w:tcPr>
          <w:p w14:paraId="69FC01BB">
            <w:pPr>
              <w:adjustRightInd w:val="0"/>
              <w:snapToGrid w:val="0"/>
              <w:jc w:val="center"/>
              <w:rPr>
                <w:rFonts w:ascii="宋体" w:hAnsi="宋体" w:cs="宋体"/>
                <w:color w:val="auto"/>
                <w:sz w:val="24"/>
                <w:highlight w:val="none"/>
              </w:rPr>
            </w:pPr>
          </w:p>
        </w:tc>
        <w:tc>
          <w:tcPr>
            <w:tcW w:w="1927" w:type="dxa"/>
            <w:vAlign w:val="center"/>
          </w:tcPr>
          <w:p w14:paraId="078B60DD">
            <w:pPr>
              <w:adjustRightInd w:val="0"/>
              <w:snapToGrid w:val="0"/>
              <w:jc w:val="center"/>
              <w:rPr>
                <w:rFonts w:ascii="宋体" w:hAnsi="宋体" w:cs="宋体"/>
                <w:color w:val="auto"/>
                <w:sz w:val="24"/>
                <w:highlight w:val="none"/>
              </w:rPr>
            </w:pPr>
          </w:p>
        </w:tc>
        <w:tc>
          <w:tcPr>
            <w:tcW w:w="2354" w:type="dxa"/>
            <w:vAlign w:val="center"/>
          </w:tcPr>
          <w:p w14:paraId="1A8676F0">
            <w:pPr>
              <w:adjustRightInd w:val="0"/>
              <w:snapToGrid w:val="0"/>
              <w:jc w:val="center"/>
              <w:rPr>
                <w:rFonts w:ascii="宋体" w:hAnsi="宋体" w:cs="宋体"/>
                <w:color w:val="auto"/>
                <w:sz w:val="24"/>
                <w:highlight w:val="none"/>
              </w:rPr>
            </w:pPr>
          </w:p>
        </w:tc>
        <w:tc>
          <w:tcPr>
            <w:tcW w:w="771" w:type="dxa"/>
            <w:vAlign w:val="center"/>
          </w:tcPr>
          <w:p w14:paraId="4A143473">
            <w:pPr>
              <w:adjustRightInd w:val="0"/>
              <w:snapToGrid w:val="0"/>
              <w:jc w:val="center"/>
              <w:rPr>
                <w:rFonts w:ascii="宋体" w:hAnsi="宋体" w:cs="宋体"/>
                <w:color w:val="auto"/>
                <w:sz w:val="24"/>
                <w:highlight w:val="none"/>
              </w:rPr>
            </w:pPr>
          </w:p>
        </w:tc>
      </w:tr>
    </w:tbl>
    <w:p w14:paraId="122D00D3">
      <w:pPr>
        <w:tabs>
          <w:tab w:val="left" w:pos="1800"/>
          <w:tab w:val="left" w:pos="5580"/>
        </w:tabs>
        <w:jc w:val="left"/>
        <w:rPr>
          <w:rFonts w:ascii="宋体" w:hAnsi="宋体" w:cs="宋体"/>
          <w:color w:val="auto"/>
          <w:sz w:val="24"/>
          <w:highlight w:val="none"/>
        </w:rPr>
      </w:pPr>
    </w:p>
    <w:p w14:paraId="3FF93D97">
      <w:pPr>
        <w:tabs>
          <w:tab w:val="left" w:pos="1800"/>
          <w:tab w:val="left" w:pos="5580"/>
        </w:tabs>
        <w:jc w:val="left"/>
        <w:rPr>
          <w:rFonts w:ascii="宋体" w:hAnsi="宋体" w:cs="宋体"/>
          <w:color w:val="auto"/>
          <w:sz w:val="24"/>
          <w:highlight w:val="none"/>
        </w:rPr>
      </w:pPr>
      <w:r>
        <w:rPr>
          <w:rFonts w:hint="eastAsia" w:ascii="宋体" w:hAnsi="宋体" w:cs="宋体"/>
          <w:color w:val="auto"/>
          <w:sz w:val="24"/>
          <w:highlight w:val="none"/>
        </w:rPr>
        <w:t>注：“偏离情况”列应据实填写“正偏离”或“负偏离”。</w:t>
      </w:r>
    </w:p>
    <w:p w14:paraId="180A7409">
      <w:pPr>
        <w:spacing w:line="360" w:lineRule="auto"/>
        <w:rPr>
          <w:rFonts w:ascii="宋体" w:hAnsi="宋体" w:cs="宋体"/>
          <w:color w:val="auto"/>
          <w:sz w:val="24"/>
          <w:szCs w:val="20"/>
          <w:highlight w:val="none"/>
        </w:rPr>
      </w:pPr>
    </w:p>
    <w:p w14:paraId="7240912A">
      <w:pPr>
        <w:autoSpaceDE w:val="0"/>
        <w:autoSpaceDN w:val="0"/>
        <w:adjustRightInd w:val="0"/>
        <w:snapToGrid w:val="0"/>
        <w:spacing w:before="25" w:after="25"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                      </w:t>
      </w:r>
    </w:p>
    <w:p w14:paraId="56F41916">
      <w:pPr>
        <w:autoSpaceDE w:val="0"/>
        <w:autoSpaceDN w:val="0"/>
        <w:adjustRightInd w:val="0"/>
        <w:snapToGrid w:val="0"/>
        <w:spacing w:before="25" w:after="25" w:line="360" w:lineRule="auto"/>
        <w:rPr>
          <w:rFonts w:ascii="宋体" w:hAnsi="宋体" w:cs="宋体"/>
          <w:color w:val="auto"/>
          <w:sz w:val="24"/>
          <w:highlight w:val="none"/>
          <w:lang w:val="zh-CN"/>
        </w:rPr>
      </w:pPr>
      <w:r>
        <w:rPr>
          <w:rFonts w:hint="eastAsia" w:ascii="宋体" w:hAnsi="宋体" w:cs="宋体"/>
          <w:color w:val="auto"/>
          <w:sz w:val="24"/>
          <w:highlight w:val="none"/>
        </w:rPr>
        <w:t>投标人名称（加盖公章）</w:t>
      </w:r>
      <w:r>
        <w:rPr>
          <w:rFonts w:hint="eastAsia" w:ascii="宋体" w:hAnsi="宋体" w:cs="宋体"/>
          <w:color w:val="auto"/>
          <w:sz w:val="24"/>
          <w:highlight w:val="none"/>
          <w:lang w:val="zh-CN"/>
        </w:rPr>
        <w:t>：    ____________</w:t>
      </w:r>
    </w:p>
    <w:p w14:paraId="73BDA6BE">
      <w:pPr>
        <w:autoSpaceDE w:val="0"/>
        <w:autoSpaceDN w:val="0"/>
        <w:adjustRightInd w:val="0"/>
        <w:snapToGrid w:val="0"/>
        <w:spacing w:before="25" w:after="25" w:line="360" w:lineRule="auto"/>
        <w:rPr>
          <w:rFonts w:ascii="宋体" w:hAnsi="宋体" w:cs="宋体"/>
          <w:color w:val="auto"/>
          <w:sz w:val="24"/>
          <w:highlight w:val="none"/>
          <w:lang w:val="zh-CN"/>
        </w:rPr>
      </w:pPr>
      <w:r>
        <w:rPr>
          <w:rFonts w:hint="eastAsia" w:ascii="宋体" w:hAnsi="宋体" w:cs="宋体"/>
          <w:color w:val="auto"/>
          <w:sz w:val="24"/>
          <w:szCs w:val="20"/>
          <w:highlight w:val="none"/>
        </w:rPr>
        <w:t xml:space="preserve">日期：_____年______月______日   </w:t>
      </w:r>
    </w:p>
    <w:p w14:paraId="684B1052">
      <w:pPr>
        <w:spacing w:line="360" w:lineRule="auto"/>
        <w:outlineLvl w:val="2"/>
        <w:rPr>
          <w:rFonts w:ascii="宋体" w:hAnsi="宋体" w:cs="宋体"/>
          <w:color w:val="auto"/>
          <w:sz w:val="24"/>
          <w:szCs w:val="20"/>
          <w:highlight w:val="none"/>
        </w:rPr>
      </w:pPr>
      <w:r>
        <w:rPr>
          <w:rFonts w:hint="eastAsia" w:ascii="宋体" w:hAnsi="宋体" w:cs="宋体"/>
          <w:color w:val="auto"/>
          <w:sz w:val="24"/>
          <w:szCs w:val="20"/>
          <w:highlight w:val="none"/>
        </w:rPr>
        <w:br w:type="page"/>
      </w:r>
      <w:r>
        <w:rPr>
          <w:rFonts w:hint="eastAsia" w:ascii="宋体" w:hAnsi="宋体" w:cs="宋体"/>
          <w:color w:val="auto"/>
          <w:sz w:val="24"/>
          <w:szCs w:val="20"/>
          <w:highlight w:val="none"/>
        </w:rPr>
        <w:t xml:space="preserve">6  </w:t>
      </w:r>
      <w:bookmarkEnd w:id="928"/>
      <w:bookmarkEnd w:id="929"/>
      <w:bookmarkEnd w:id="930"/>
      <w:bookmarkEnd w:id="931"/>
      <w:bookmarkEnd w:id="932"/>
      <w:bookmarkEnd w:id="933"/>
      <w:bookmarkEnd w:id="934"/>
      <w:bookmarkEnd w:id="935"/>
      <w:bookmarkEnd w:id="936"/>
      <w:bookmarkEnd w:id="937"/>
      <w:bookmarkEnd w:id="938"/>
      <w:bookmarkEnd w:id="939"/>
      <w:bookmarkEnd w:id="940"/>
      <w:r>
        <w:rPr>
          <w:rFonts w:hint="eastAsia" w:ascii="宋体" w:hAnsi="宋体" w:cs="宋体"/>
          <w:color w:val="auto"/>
          <w:sz w:val="24"/>
          <w:szCs w:val="20"/>
          <w:highlight w:val="none"/>
        </w:rPr>
        <w:t>采购需求偏离表（实质性格式）</w:t>
      </w:r>
    </w:p>
    <w:p w14:paraId="5B4FC01C">
      <w:pPr>
        <w:autoSpaceDE w:val="0"/>
        <w:autoSpaceDN w:val="0"/>
        <w:adjustRightIn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采购需求偏离表</w:t>
      </w:r>
    </w:p>
    <w:p w14:paraId="6FDFE964">
      <w:pPr>
        <w:tabs>
          <w:tab w:val="left" w:pos="1800"/>
          <w:tab w:val="left" w:pos="5580"/>
        </w:tabs>
        <w:spacing w:line="360" w:lineRule="auto"/>
        <w:ind w:firstLine="360" w:firstLineChars="150"/>
        <w:jc w:val="left"/>
        <w:rPr>
          <w:rFonts w:ascii="宋体" w:hAnsi="宋体" w:cs="宋体"/>
          <w:color w:val="auto"/>
          <w:sz w:val="24"/>
          <w:highlight w:val="none"/>
          <w:u w:val="single"/>
        </w:rPr>
      </w:pPr>
      <w:r>
        <w:rPr>
          <w:rFonts w:hint="eastAsia" w:ascii="宋体" w:hAnsi="宋体" w:cs="宋体"/>
          <w:color w:val="auto"/>
          <w:sz w:val="24"/>
          <w:highlight w:val="none"/>
        </w:rPr>
        <w:t>项目编号/包号：_____________________     项目名称：____________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5118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40C8CC2D">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82" w:type="dxa"/>
            <w:vAlign w:val="center"/>
          </w:tcPr>
          <w:p w14:paraId="7DBB2CDC">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招标文件条目号(页码)</w:t>
            </w:r>
          </w:p>
        </w:tc>
        <w:tc>
          <w:tcPr>
            <w:tcW w:w="2384" w:type="dxa"/>
            <w:vAlign w:val="center"/>
          </w:tcPr>
          <w:p w14:paraId="2A22B175">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2126" w:type="dxa"/>
            <w:vAlign w:val="center"/>
          </w:tcPr>
          <w:p w14:paraId="61F89818">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投标响应内容</w:t>
            </w:r>
          </w:p>
        </w:tc>
        <w:tc>
          <w:tcPr>
            <w:tcW w:w="1875" w:type="dxa"/>
            <w:vAlign w:val="center"/>
          </w:tcPr>
          <w:p w14:paraId="5DAB8577">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偏离情况</w:t>
            </w:r>
          </w:p>
        </w:tc>
        <w:tc>
          <w:tcPr>
            <w:tcW w:w="1009" w:type="dxa"/>
            <w:vAlign w:val="center"/>
          </w:tcPr>
          <w:p w14:paraId="483B6EE7">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说明</w:t>
            </w:r>
          </w:p>
        </w:tc>
      </w:tr>
      <w:tr w14:paraId="76F0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13C0EBA">
            <w:pPr>
              <w:adjustRightInd w:val="0"/>
              <w:snapToGrid w:val="0"/>
              <w:jc w:val="center"/>
              <w:rPr>
                <w:rFonts w:ascii="宋体" w:hAnsi="宋体" w:cs="宋体"/>
                <w:color w:val="auto"/>
                <w:sz w:val="24"/>
                <w:highlight w:val="none"/>
              </w:rPr>
            </w:pPr>
          </w:p>
        </w:tc>
        <w:tc>
          <w:tcPr>
            <w:tcW w:w="1482" w:type="dxa"/>
            <w:vAlign w:val="center"/>
          </w:tcPr>
          <w:p w14:paraId="73789E34">
            <w:pPr>
              <w:adjustRightInd w:val="0"/>
              <w:snapToGrid w:val="0"/>
              <w:jc w:val="center"/>
              <w:rPr>
                <w:rFonts w:ascii="宋体" w:hAnsi="宋体" w:cs="宋体"/>
                <w:color w:val="auto"/>
                <w:sz w:val="24"/>
                <w:highlight w:val="none"/>
              </w:rPr>
            </w:pPr>
          </w:p>
        </w:tc>
        <w:tc>
          <w:tcPr>
            <w:tcW w:w="2384" w:type="dxa"/>
            <w:vAlign w:val="center"/>
          </w:tcPr>
          <w:p w14:paraId="64B027A1">
            <w:pPr>
              <w:adjustRightInd w:val="0"/>
              <w:snapToGrid w:val="0"/>
              <w:jc w:val="center"/>
              <w:rPr>
                <w:rFonts w:ascii="宋体" w:hAnsi="宋体" w:cs="宋体"/>
                <w:color w:val="auto"/>
                <w:sz w:val="24"/>
                <w:highlight w:val="none"/>
              </w:rPr>
            </w:pPr>
          </w:p>
        </w:tc>
        <w:tc>
          <w:tcPr>
            <w:tcW w:w="2126" w:type="dxa"/>
            <w:vAlign w:val="center"/>
          </w:tcPr>
          <w:p w14:paraId="270996C8">
            <w:pPr>
              <w:adjustRightInd w:val="0"/>
              <w:snapToGrid w:val="0"/>
              <w:jc w:val="center"/>
              <w:rPr>
                <w:rFonts w:ascii="宋体" w:hAnsi="宋体" w:cs="宋体"/>
                <w:color w:val="auto"/>
                <w:sz w:val="24"/>
                <w:highlight w:val="none"/>
              </w:rPr>
            </w:pPr>
          </w:p>
        </w:tc>
        <w:tc>
          <w:tcPr>
            <w:tcW w:w="1875" w:type="dxa"/>
            <w:vAlign w:val="center"/>
          </w:tcPr>
          <w:p w14:paraId="69DC13D7">
            <w:pPr>
              <w:adjustRightInd w:val="0"/>
              <w:snapToGrid w:val="0"/>
              <w:jc w:val="center"/>
              <w:rPr>
                <w:rFonts w:ascii="宋体" w:hAnsi="宋体" w:cs="宋体"/>
                <w:color w:val="auto"/>
                <w:sz w:val="24"/>
                <w:highlight w:val="none"/>
              </w:rPr>
            </w:pPr>
          </w:p>
        </w:tc>
        <w:tc>
          <w:tcPr>
            <w:tcW w:w="1009" w:type="dxa"/>
            <w:vAlign w:val="center"/>
          </w:tcPr>
          <w:p w14:paraId="7C55C737">
            <w:pPr>
              <w:adjustRightInd w:val="0"/>
              <w:snapToGrid w:val="0"/>
              <w:jc w:val="center"/>
              <w:rPr>
                <w:rFonts w:ascii="宋体" w:hAnsi="宋体" w:cs="宋体"/>
                <w:color w:val="auto"/>
                <w:sz w:val="24"/>
                <w:highlight w:val="none"/>
              </w:rPr>
            </w:pPr>
          </w:p>
        </w:tc>
      </w:tr>
      <w:tr w14:paraId="5756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86A2A12">
            <w:pPr>
              <w:adjustRightInd w:val="0"/>
              <w:snapToGrid w:val="0"/>
              <w:jc w:val="center"/>
              <w:rPr>
                <w:rFonts w:ascii="宋体" w:hAnsi="宋体" w:cs="宋体"/>
                <w:color w:val="auto"/>
                <w:sz w:val="24"/>
                <w:highlight w:val="none"/>
              </w:rPr>
            </w:pPr>
          </w:p>
        </w:tc>
        <w:tc>
          <w:tcPr>
            <w:tcW w:w="1482" w:type="dxa"/>
            <w:vAlign w:val="center"/>
          </w:tcPr>
          <w:p w14:paraId="26CDAA29">
            <w:pPr>
              <w:adjustRightInd w:val="0"/>
              <w:snapToGrid w:val="0"/>
              <w:jc w:val="center"/>
              <w:rPr>
                <w:rFonts w:ascii="宋体" w:hAnsi="宋体" w:cs="宋体"/>
                <w:color w:val="auto"/>
                <w:sz w:val="24"/>
                <w:highlight w:val="none"/>
              </w:rPr>
            </w:pPr>
          </w:p>
        </w:tc>
        <w:tc>
          <w:tcPr>
            <w:tcW w:w="2384" w:type="dxa"/>
            <w:vAlign w:val="center"/>
          </w:tcPr>
          <w:p w14:paraId="4F1146D1">
            <w:pPr>
              <w:adjustRightInd w:val="0"/>
              <w:snapToGrid w:val="0"/>
              <w:jc w:val="center"/>
              <w:rPr>
                <w:rFonts w:ascii="宋体" w:hAnsi="宋体" w:cs="宋体"/>
                <w:color w:val="auto"/>
                <w:sz w:val="24"/>
                <w:highlight w:val="none"/>
              </w:rPr>
            </w:pPr>
          </w:p>
        </w:tc>
        <w:tc>
          <w:tcPr>
            <w:tcW w:w="2126" w:type="dxa"/>
            <w:vAlign w:val="center"/>
          </w:tcPr>
          <w:p w14:paraId="0005511B">
            <w:pPr>
              <w:adjustRightInd w:val="0"/>
              <w:snapToGrid w:val="0"/>
              <w:jc w:val="center"/>
              <w:rPr>
                <w:rFonts w:ascii="宋体" w:hAnsi="宋体" w:cs="宋体"/>
                <w:color w:val="auto"/>
                <w:sz w:val="24"/>
                <w:highlight w:val="none"/>
              </w:rPr>
            </w:pPr>
          </w:p>
        </w:tc>
        <w:tc>
          <w:tcPr>
            <w:tcW w:w="1875" w:type="dxa"/>
            <w:vAlign w:val="center"/>
          </w:tcPr>
          <w:p w14:paraId="71966306">
            <w:pPr>
              <w:adjustRightInd w:val="0"/>
              <w:snapToGrid w:val="0"/>
              <w:jc w:val="center"/>
              <w:rPr>
                <w:rFonts w:ascii="宋体" w:hAnsi="宋体" w:cs="宋体"/>
                <w:color w:val="auto"/>
                <w:sz w:val="24"/>
                <w:highlight w:val="none"/>
              </w:rPr>
            </w:pPr>
          </w:p>
        </w:tc>
        <w:tc>
          <w:tcPr>
            <w:tcW w:w="1009" w:type="dxa"/>
            <w:vAlign w:val="center"/>
          </w:tcPr>
          <w:p w14:paraId="129963CD">
            <w:pPr>
              <w:adjustRightInd w:val="0"/>
              <w:snapToGrid w:val="0"/>
              <w:jc w:val="center"/>
              <w:rPr>
                <w:rFonts w:ascii="宋体" w:hAnsi="宋体" w:cs="宋体"/>
                <w:color w:val="auto"/>
                <w:sz w:val="24"/>
                <w:highlight w:val="none"/>
              </w:rPr>
            </w:pPr>
          </w:p>
        </w:tc>
      </w:tr>
      <w:tr w14:paraId="5B7B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827221E">
            <w:pPr>
              <w:adjustRightInd w:val="0"/>
              <w:snapToGrid w:val="0"/>
              <w:jc w:val="center"/>
              <w:rPr>
                <w:rFonts w:ascii="宋体" w:hAnsi="宋体" w:cs="宋体"/>
                <w:color w:val="auto"/>
                <w:sz w:val="24"/>
                <w:highlight w:val="none"/>
              </w:rPr>
            </w:pPr>
          </w:p>
        </w:tc>
        <w:tc>
          <w:tcPr>
            <w:tcW w:w="1482" w:type="dxa"/>
            <w:vAlign w:val="center"/>
          </w:tcPr>
          <w:p w14:paraId="6FD02AD5">
            <w:pPr>
              <w:adjustRightInd w:val="0"/>
              <w:snapToGrid w:val="0"/>
              <w:jc w:val="center"/>
              <w:rPr>
                <w:rFonts w:ascii="宋体" w:hAnsi="宋体" w:cs="宋体"/>
                <w:color w:val="auto"/>
                <w:sz w:val="24"/>
                <w:highlight w:val="none"/>
              </w:rPr>
            </w:pPr>
          </w:p>
        </w:tc>
        <w:tc>
          <w:tcPr>
            <w:tcW w:w="2384" w:type="dxa"/>
            <w:vAlign w:val="center"/>
          </w:tcPr>
          <w:p w14:paraId="42479B18">
            <w:pPr>
              <w:adjustRightInd w:val="0"/>
              <w:snapToGrid w:val="0"/>
              <w:jc w:val="center"/>
              <w:rPr>
                <w:rFonts w:ascii="宋体" w:hAnsi="宋体" w:cs="宋体"/>
                <w:color w:val="auto"/>
                <w:sz w:val="24"/>
                <w:highlight w:val="none"/>
              </w:rPr>
            </w:pPr>
          </w:p>
        </w:tc>
        <w:tc>
          <w:tcPr>
            <w:tcW w:w="2126" w:type="dxa"/>
            <w:vAlign w:val="center"/>
          </w:tcPr>
          <w:p w14:paraId="1ECBB308">
            <w:pPr>
              <w:adjustRightInd w:val="0"/>
              <w:snapToGrid w:val="0"/>
              <w:jc w:val="center"/>
              <w:rPr>
                <w:rFonts w:ascii="宋体" w:hAnsi="宋体" w:cs="宋体"/>
                <w:color w:val="auto"/>
                <w:sz w:val="24"/>
                <w:highlight w:val="none"/>
              </w:rPr>
            </w:pPr>
          </w:p>
        </w:tc>
        <w:tc>
          <w:tcPr>
            <w:tcW w:w="1875" w:type="dxa"/>
            <w:vAlign w:val="center"/>
          </w:tcPr>
          <w:p w14:paraId="39C8A558">
            <w:pPr>
              <w:adjustRightInd w:val="0"/>
              <w:snapToGrid w:val="0"/>
              <w:jc w:val="center"/>
              <w:rPr>
                <w:rFonts w:ascii="宋体" w:hAnsi="宋体" w:cs="宋体"/>
                <w:color w:val="auto"/>
                <w:sz w:val="24"/>
                <w:highlight w:val="none"/>
              </w:rPr>
            </w:pPr>
          </w:p>
        </w:tc>
        <w:tc>
          <w:tcPr>
            <w:tcW w:w="1009" w:type="dxa"/>
            <w:vAlign w:val="center"/>
          </w:tcPr>
          <w:p w14:paraId="792C3561">
            <w:pPr>
              <w:adjustRightInd w:val="0"/>
              <w:snapToGrid w:val="0"/>
              <w:jc w:val="center"/>
              <w:rPr>
                <w:rFonts w:ascii="宋体" w:hAnsi="宋体" w:cs="宋体"/>
                <w:color w:val="auto"/>
                <w:sz w:val="24"/>
                <w:highlight w:val="none"/>
              </w:rPr>
            </w:pPr>
          </w:p>
        </w:tc>
      </w:tr>
      <w:tr w14:paraId="5F4C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C90AEB2">
            <w:pPr>
              <w:adjustRightInd w:val="0"/>
              <w:snapToGrid w:val="0"/>
              <w:jc w:val="center"/>
              <w:rPr>
                <w:rFonts w:ascii="宋体" w:hAnsi="宋体" w:cs="宋体"/>
                <w:color w:val="auto"/>
                <w:sz w:val="24"/>
                <w:highlight w:val="none"/>
              </w:rPr>
            </w:pPr>
          </w:p>
        </w:tc>
        <w:tc>
          <w:tcPr>
            <w:tcW w:w="1482" w:type="dxa"/>
            <w:vAlign w:val="center"/>
          </w:tcPr>
          <w:p w14:paraId="24122DD3">
            <w:pPr>
              <w:adjustRightInd w:val="0"/>
              <w:snapToGrid w:val="0"/>
              <w:jc w:val="center"/>
              <w:rPr>
                <w:rFonts w:ascii="宋体" w:hAnsi="宋体" w:cs="宋体"/>
                <w:color w:val="auto"/>
                <w:sz w:val="24"/>
                <w:highlight w:val="none"/>
              </w:rPr>
            </w:pPr>
          </w:p>
        </w:tc>
        <w:tc>
          <w:tcPr>
            <w:tcW w:w="2384" w:type="dxa"/>
            <w:vAlign w:val="center"/>
          </w:tcPr>
          <w:p w14:paraId="1744D968">
            <w:pPr>
              <w:adjustRightInd w:val="0"/>
              <w:snapToGrid w:val="0"/>
              <w:jc w:val="center"/>
              <w:rPr>
                <w:rFonts w:ascii="宋体" w:hAnsi="宋体" w:cs="宋体"/>
                <w:color w:val="auto"/>
                <w:sz w:val="24"/>
                <w:highlight w:val="none"/>
              </w:rPr>
            </w:pPr>
          </w:p>
        </w:tc>
        <w:tc>
          <w:tcPr>
            <w:tcW w:w="2126" w:type="dxa"/>
            <w:vAlign w:val="center"/>
          </w:tcPr>
          <w:p w14:paraId="085D2042">
            <w:pPr>
              <w:adjustRightInd w:val="0"/>
              <w:snapToGrid w:val="0"/>
              <w:jc w:val="center"/>
              <w:rPr>
                <w:rFonts w:ascii="宋体" w:hAnsi="宋体" w:cs="宋体"/>
                <w:color w:val="auto"/>
                <w:sz w:val="24"/>
                <w:highlight w:val="none"/>
              </w:rPr>
            </w:pPr>
          </w:p>
        </w:tc>
        <w:tc>
          <w:tcPr>
            <w:tcW w:w="1875" w:type="dxa"/>
            <w:vAlign w:val="center"/>
          </w:tcPr>
          <w:p w14:paraId="0062AF91">
            <w:pPr>
              <w:adjustRightInd w:val="0"/>
              <w:snapToGrid w:val="0"/>
              <w:jc w:val="center"/>
              <w:rPr>
                <w:rFonts w:ascii="宋体" w:hAnsi="宋体" w:cs="宋体"/>
                <w:color w:val="auto"/>
                <w:sz w:val="24"/>
                <w:highlight w:val="none"/>
              </w:rPr>
            </w:pPr>
          </w:p>
        </w:tc>
        <w:tc>
          <w:tcPr>
            <w:tcW w:w="1009" w:type="dxa"/>
            <w:vAlign w:val="center"/>
          </w:tcPr>
          <w:p w14:paraId="64DC48ED">
            <w:pPr>
              <w:adjustRightInd w:val="0"/>
              <w:snapToGrid w:val="0"/>
              <w:jc w:val="center"/>
              <w:rPr>
                <w:rFonts w:ascii="宋体" w:hAnsi="宋体" w:cs="宋体"/>
                <w:color w:val="auto"/>
                <w:sz w:val="24"/>
                <w:highlight w:val="none"/>
              </w:rPr>
            </w:pPr>
          </w:p>
        </w:tc>
      </w:tr>
      <w:tr w14:paraId="1FE1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71F4C22">
            <w:pPr>
              <w:adjustRightInd w:val="0"/>
              <w:snapToGrid w:val="0"/>
              <w:jc w:val="center"/>
              <w:rPr>
                <w:rFonts w:ascii="宋体" w:hAnsi="宋体" w:cs="宋体"/>
                <w:color w:val="auto"/>
                <w:sz w:val="24"/>
                <w:highlight w:val="none"/>
              </w:rPr>
            </w:pPr>
          </w:p>
        </w:tc>
        <w:tc>
          <w:tcPr>
            <w:tcW w:w="1482" w:type="dxa"/>
            <w:vAlign w:val="center"/>
          </w:tcPr>
          <w:p w14:paraId="4BC12912">
            <w:pPr>
              <w:adjustRightInd w:val="0"/>
              <w:snapToGrid w:val="0"/>
              <w:jc w:val="center"/>
              <w:rPr>
                <w:rFonts w:ascii="宋体" w:hAnsi="宋体" w:cs="宋体"/>
                <w:color w:val="auto"/>
                <w:sz w:val="24"/>
                <w:highlight w:val="none"/>
              </w:rPr>
            </w:pPr>
          </w:p>
        </w:tc>
        <w:tc>
          <w:tcPr>
            <w:tcW w:w="2384" w:type="dxa"/>
            <w:vAlign w:val="center"/>
          </w:tcPr>
          <w:p w14:paraId="39503CE8">
            <w:pPr>
              <w:adjustRightInd w:val="0"/>
              <w:snapToGrid w:val="0"/>
              <w:jc w:val="center"/>
              <w:rPr>
                <w:rFonts w:ascii="宋体" w:hAnsi="宋体" w:cs="宋体"/>
                <w:color w:val="auto"/>
                <w:sz w:val="24"/>
                <w:highlight w:val="none"/>
              </w:rPr>
            </w:pPr>
          </w:p>
        </w:tc>
        <w:tc>
          <w:tcPr>
            <w:tcW w:w="2126" w:type="dxa"/>
            <w:vAlign w:val="center"/>
          </w:tcPr>
          <w:p w14:paraId="732B27F0">
            <w:pPr>
              <w:adjustRightInd w:val="0"/>
              <w:snapToGrid w:val="0"/>
              <w:jc w:val="center"/>
              <w:rPr>
                <w:rFonts w:ascii="宋体" w:hAnsi="宋体" w:cs="宋体"/>
                <w:color w:val="auto"/>
                <w:sz w:val="24"/>
                <w:highlight w:val="none"/>
              </w:rPr>
            </w:pPr>
          </w:p>
        </w:tc>
        <w:tc>
          <w:tcPr>
            <w:tcW w:w="1875" w:type="dxa"/>
            <w:vAlign w:val="center"/>
          </w:tcPr>
          <w:p w14:paraId="5765C298">
            <w:pPr>
              <w:adjustRightInd w:val="0"/>
              <w:snapToGrid w:val="0"/>
              <w:jc w:val="center"/>
              <w:rPr>
                <w:rFonts w:ascii="宋体" w:hAnsi="宋体" w:cs="宋体"/>
                <w:color w:val="auto"/>
                <w:sz w:val="24"/>
                <w:highlight w:val="none"/>
              </w:rPr>
            </w:pPr>
          </w:p>
        </w:tc>
        <w:tc>
          <w:tcPr>
            <w:tcW w:w="1009" w:type="dxa"/>
            <w:vAlign w:val="center"/>
          </w:tcPr>
          <w:p w14:paraId="4A99B16B">
            <w:pPr>
              <w:adjustRightInd w:val="0"/>
              <w:snapToGrid w:val="0"/>
              <w:jc w:val="center"/>
              <w:rPr>
                <w:rFonts w:ascii="宋体" w:hAnsi="宋体" w:cs="宋体"/>
                <w:color w:val="auto"/>
                <w:sz w:val="24"/>
                <w:highlight w:val="none"/>
              </w:rPr>
            </w:pPr>
          </w:p>
        </w:tc>
      </w:tr>
      <w:tr w14:paraId="1FFF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32F24D0">
            <w:pPr>
              <w:adjustRightInd w:val="0"/>
              <w:snapToGrid w:val="0"/>
              <w:jc w:val="center"/>
              <w:rPr>
                <w:rFonts w:ascii="宋体" w:hAnsi="宋体" w:cs="宋体"/>
                <w:color w:val="auto"/>
                <w:sz w:val="24"/>
                <w:highlight w:val="none"/>
              </w:rPr>
            </w:pPr>
          </w:p>
        </w:tc>
        <w:tc>
          <w:tcPr>
            <w:tcW w:w="1482" w:type="dxa"/>
            <w:vAlign w:val="center"/>
          </w:tcPr>
          <w:p w14:paraId="307D784B">
            <w:pPr>
              <w:adjustRightInd w:val="0"/>
              <w:snapToGrid w:val="0"/>
              <w:jc w:val="center"/>
              <w:rPr>
                <w:rFonts w:ascii="宋体" w:hAnsi="宋体" w:cs="宋体"/>
                <w:color w:val="auto"/>
                <w:sz w:val="24"/>
                <w:highlight w:val="none"/>
              </w:rPr>
            </w:pPr>
          </w:p>
        </w:tc>
        <w:tc>
          <w:tcPr>
            <w:tcW w:w="2384" w:type="dxa"/>
            <w:vAlign w:val="center"/>
          </w:tcPr>
          <w:p w14:paraId="26D7B293">
            <w:pPr>
              <w:adjustRightInd w:val="0"/>
              <w:snapToGrid w:val="0"/>
              <w:jc w:val="center"/>
              <w:rPr>
                <w:rFonts w:ascii="宋体" w:hAnsi="宋体" w:cs="宋体"/>
                <w:color w:val="auto"/>
                <w:sz w:val="24"/>
                <w:highlight w:val="none"/>
              </w:rPr>
            </w:pPr>
          </w:p>
        </w:tc>
        <w:tc>
          <w:tcPr>
            <w:tcW w:w="2126" w:type="dxa"/>
            <w:vAlign w:val="center"/>
          </w:tcPr>
          <w:p w14:paraId="2AF9B3B3">
            <w:pPr>
              <w:adjustRightInd w:val="0"/>
              <w:snapToGrid w:val="0"/>
              <w:jc w:val="center"/>
              <w:rPr>
                <w:rFonts w:ascii="宋体" w:hAnsi="宋体" w:cs="宋体"/>
                <w:color w:val="auto"/>
                <w:sz w:val="24"/>
                <w:highlight w:val="none"/>
              </w:rPr>
            </w:pPr>
          </w:p>
        </w:tc>
        <w:tc>
          <w:tcPr>
            <w:tcW w:w="1875" w:type="dxa"/>
            <w:vAlign w:val="center"/>
          </w:tcPr>
          <w:p w14:paraId="08F31DEA">
            <w:pPr>
              <w:adjustRightInd w:val="0"/>
              <w:snapToGrid w:val="0"/>
              <w:jc w:val="center"/>
              <w:rPr>
                <w:rFonts w:ascii="宋体" w:hAnsi="宋体" w:cs="宋体"/>
                <w:color w:val="auto"/>
                <w:sz w:val="24"/>
                <w:highlight w:val="none"/>
              </w:rPr>
            </w:pPr>
          </w:p>
        </w:tc>
        <w:tc>
          <w:tcPr>
            <w:tcW w:w="1009" w:type="dxa"/>
            <w:vAlign w:val="center"/>
          </w:tcPr>
          <w:p w14:paraId="7F2859B5">
            <w:pPr>
              <w:adjustRightInd w:val="0"/>
              <w:snapToGrid w:val="0"/>
              <w:jc w:val="center"/>
              <w:rPr>
                <w:rFonts w:ascii="宋体" w:hAnsi="宋体" w:cs="宋体"/>
                <w:color w:val="auto"/>
                <w:sz w:val="24"/>
                <w:highlight w:val="none"/>
              </w:rPr>
            </w:pPr>
          </w:p>
        </w:tc>
      </w:tr>
    </w:tbl>
    <w:p w14:paraId="7992095C">
      <w:pPr>
        <w:tabs>
          <w:tab w:val="left" w:pos="1800"/>
          <w:tab w:val="left" w:pos="5580"/>
        </w:tabs>
        <w:spacing w:line="360" w:lineRule="auto"/>
        <w:ind w:firstLine="360" w:firstLineChars="150"/>
        <w:jc w:val="left"/>
        <w:rPr>
          <w:rFonts w:ascii="宋体" w:hAnsi="宋体" w:cs="宋体"/>
          <w:color w:val="auto"/>
          <w:sz w:val="24"/>
          <w:highlight w:val="none"/>
          <w:u w:val="single"/>
        </w:rPr>
      </w:pPr>
    </w:p>
    <w:p w14:paraId="5557B5B4">
      <w:pPr>
        <w:tabs>
          <w:tab w:val="left" w:pos="1800"/>
          <w:tab w:val="left" w:pos="5580"/>
        </w:tabs>
        <w:spacing w:line="360" w:lineRule="auto"/>
        <w:ind w:firstLine="360" w:firstLineChars="150"/>
        <w:jc w:val="left"/>
        <w:rPr>
          <w:rFonts w:ascii="宋体" w:hAnsi="宋体" w:cs="宋体"/>
          <w:color w:val="auto"/>
          <w:sz w:val="24"/>
          <w:highlight w:val="none"/>
          <w:u w:val="single"/>
        </w:rPr>
      </w:pPr>
    </w:p>
    <w:p w14:paraId="6A450F7D">
      <w:pPr>
        <w:tabs>
          <w:tab w:val="left" w:pos="1800"/>
          <w:tab w:val="left" w:pos="5580"/>
        </w:tabs>
        <w:jc w:val="left"/>
        <w:rPr>
          <w:rFonts w:ascii="宋体" w:hAnsi="宋体" w:cs="宋体"/>
          <w:color w:val="auto"/>
          <w:sz w:val="24"/>
          <w:highlight w:val="none"/>
        </w:rPr>
      </w:pPr>
      <w:r>
        <w:rPr>
          <w:rFonts w:hint="eastAsia" w:ascii="宋体" w:hAnsi="宋体" w:cs="宋体"/>
          <w:color w:val="auto"/>
          <w:sz w:val="24"/>
          <w:highlight w:val="none"/>
        </w:rPr>
        <w:t>注：</w:t>
      </w:r>
    </w:p>
    <w:p w14:paraId="656D713D">
      <w:pPr>
        <w:tabs>
          <w:tab w:val="left" w:pos="1800"/>
          <w:tab w:val="left" w:pos="5580"/>
        </w:tabs>
        <w:jc w:val="left"/>
        <w:rPr>
          <w:rFonts w:ascii="宋体" w:hAnsi="宋体" w:cs="宋体"/>
          <w:color w:val="auto"/>
          <w:sz w:val="24"/>
          <w:highlight w:val="none"/>
        </w:rPr>
      </w:pPr>
      <w:r>
        <w:rPr>
          <w:rFonts w:hint="eastAsia" w:ascii="宋体" w:hAnsi="宋体" w:cs="宋体"/>
          <w:color w:val="auto"/>
          <w:sz w:val="24"/>
          <w:highlight w:val="none"/>
        </w:rPr>
        <w:t>1. 对招标文件中的所有商务、技术要求，除本表所列明的所有偏离外，均视作供应商已对之理解和响应。此表中若无任何文字说明，内容为空白，</w:t>
      </w:r>
      <w:r>
        <w:rPr>
          <w:rFonts w:hint="eastAsia" w:ascii="宋体" w:hAnsi="宋体" w:cs="宋体"/>
          <w:b/>
          <w:color w:val="auto"/>
          <w:sz w:val="24"/>
          <w:highlight w:val="none"/>
        </w:rPr>
        <w:t>投标无效。</w:t>
      </w:r>
    </w:p>
    <w:p w14:paraId="05618EA8">
      <w:pPr>
        <w:tabs>
          <w:tab w:val="left" w:pos="1800"/>
          <w:tab w:val="left" w:pos="5580"/>
        </w:tabs>
        <w:jc w:val="left"/>
        <w:rPr>
          <w:rFonts w:ascii="宋体" w:hAnsi="宋体" w:cs="宋体"/>
          <w:color w:val="auto"/>
          <w:sz w:val="24"/>
          <w:highlight w:val="none"/>
        </w:rPr>
      </w:pPr>
      <w:r>
        <w:rPr>
          <w:rFonts w:hint="eastAsia" w:ascii="宋体" w:hAnsi="宋体" w:cs="宋体"/>
          <w:color w:val="auto"/>
          <w:sz w:val="24"/>
          <w:highlight w:val="none"/>
        </w:rPr>
        <w:t>2.“偏离情况”列应据实填写“正偏离”或“负偏离”或“无偏离”。</w:t>
      </w:r>
    </w:p>
    <w:p w14:paraId="4238B6D1">
      <w:pPr>
        <w:tabs>
          <w:tab w:val="left" w:pos="1800"/>
          <w:tab w:val="left" w:pos="5580"/>
        </w:tabs>
        <w:jc w:val="left"/>
        <w:rPr>
          <w:rFonts w:ascii="宋体" w:hAnsi="宋体" w:cs="宋体"/>
          <w:color w:val="auto"/>
          <w:sz w:val="24"/>
          <w:highlight w:val="none"/>
        </w:rPr>
      </w:pPr>
    </w:p>
    <w:p w14:paraId="2BCCE8AD">
      <w:pPr>
        <w:tabs>
          <w:tab w:val="left" w:pos="1800"/>
          <w:tab w:val="left" w:pos="5580"/>
        </w:tabs>
        <w:jc w:val="left"/>
        <w:rPr>
          <w:rFonts w:ascii="宋体" w:hAnsi="宋体" w:cs="宋体"/>
          <w:color w:val="auto"/>
          <w:sz w:val="24"/>
          <w:highlight w:val="none"/>
        </w:rPr>
      </w:pPr>
    </w:p>
    <w:p w14:paraId="1C44689E">
      <w:pPr>
        <w:rPr>
          <w:rFonts w:ascii="宋体" w:hAnsi="宋体" w:cs="宋体"/>
          <w:color w:val="auto"/>
          <w:sz w:val="24"/>
          <w:szCs w:val="20"/>
          <w:highlight w:val="none"/>
        </w:rPr>
      </w:pPr>
    </w:p>
    <w:p w14:paraId="22CFAE87">
      <w:pPr>
        <w:autoSpaceDE w:val="0"/>
        <w:autoSpaceDN w:val="0"/>
        <w:adjustRightInd w:val="0"/>
        <w:snapToGrid w:val="0"/>
        <w:spacing w:before="25" w:after="25"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                  </w:t>
      </w:r>
    </w:p>
    <w:p w14:paraId="06C42981">
      <w:pPr>
        <w:autoSpaceDE w:val="0"/>
        <w:autoSpaceDN w:val="0"/>
        <w:adjustRightInd w:val="0"/>
        <w:snapToGrid w:val="0"/>
        <w:spacing w:before="25" w:after="25" w:line="360" w:lineRule="auto"/>
        <w:rPr>
          <w:rFonts w:ascii="宋体" w:hAnsi="宋体" w:cs="宋体"/>
          <w:color w:val="auto"/>
          <w:sz w:val="24"/>
          <w:highlight w:val="none"/>
          <w:lang w:val="zh-CN"/>
        </w:rPr>
      </w:pPr>
      <w:r>
        <w:rPr>
          <w:rFonts w:hint="eastAsia" w:ascii="宋体" w:hAnsi="宋体" w:cs="宋体"/>
          <w:color w:val="auto"/>
          <w:sz w:val="24"/>
          <w:highlight w:val="none"/>
        </w:rPr>
        <w:t>投标人名称（加盖公章）</w:t>
      </w:r>
      <w:r>
        <w:rPr>
          <w:rFonts w:hint="eastAsia" w:ascii="宋体" w:hAnsi="宋体" w:cs="宋体"/>
          <w:color w:val="auto"/>
          <w:sz w:val="24"/>
          <w:highlight w:val="none"/>
          <w:lang w:val="zh-CN"/>
        </w:rPr>
        <w:t>：    ____________</w:t>
      </w:r>
    </w:p>
    <w:p w14:paraId="520778D5">
      <w:pPr>
        <w:autoSpaceDE w:val="0"/>
        <w:autoSpaceDN w:val="0"/>
        <w:adjustRightInd w:val="0"/>
        <w:snapToGrid w:val="0"/>
        <w:spacing w:before="25" w:after="25" w:line="360" w:lineRule="auto"/>
        <w:rPr>
          <w:rFonts w:ascii="宋体" w:hAnsi="宋体" w:cs="宋体"/>
          <w:color w:val="auto"/>
          <w:sz w:val="24"/>
          <w:highlight w:val="none"/>
          <w:lang w:val="zh-CN"/>
        </w:rPr>
      </w:pPr>
      <w:r>
        <w:rPr>
          <w:rFonts w:hint="eastAsia" w:ascii="宋体" w:hAnsi="宋体" w:cs="宋体"/>
          <w:color w:val="auto"/>
          <w:sz w:val="24"/>
          <w:szCs w:val="20"/>
          <w:highlight w:val="none"/>
        </w:rPr>
        <w:t xml:space="preserve">日期：_____年______月______日   </w:t>
      </w:r>
    </w:p>
    <w:p w14:paraId="7366991C">
      <w:pPr>
        <w:spacing w:line="360" w:lineRule="auto"/>
        <w:outlineLvl w:val="2"/>
        <w:rPr>
          <w:rFonts w:ascii="宋体" w:hAnsi="宋体" w:cs="宋体"/>
          <w:color w:val="auto"/>
          <w:sz w:val="24"/>
          <w:szCs w:val="20"/>
          <w:highlight w:val="none"/>
        </w:rPr>
      </w:pPr>
      <w:r>
        <w:rPr>
          <w:rFonts w:hint="eastAsia" w:ascii="宋体" w:hAnsi="宋体" w:cs="宋体"/>
          <w:color w:val="auto"/>
          <w:sz w:val="24"/>
          <w:szCs w:val="20"/>
          <w:highlight w:val="none"/>
        </w:rPr>
        <w:br w:type="page"/>
      </w:r>
      <w:r>
        <w:rPr>
          <w:rFonts w:hint="eastAsia" w:ascii="宋体" w:hAnsi="宋体" w:cs="宋体"/>
          <w:color w:val="auto"/>
          <w:sz w:val="24"/>
          <w:szCs w:val="20"/>
          <w:highlight w:val="none"/>
        </w:rPr>
        <w:t>7  中小企业声明函</w:t>
      </w:r>
    </w:p>
    <w:p w14:paraId="3E06B63B">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说明：</w:t>
      </w:r>
    </w:p>
    <w:p w14:paraId="2D9D4947">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w:t>
      </w:r>
    </w:p>
    <w:p w14:paraId="29D2E36B">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投标人出具。联合体投标的，《中小企业声明函》可由牵头人出具。</w:t>
      </w:r>
    </w:p>
    <w:p w14:paraId="6C0A8AE7">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2）对于联合体中由中小企业承担的部分，或者分包给中小企业的部分，必须全部由中 小企业制造、承建或者承接。供应商应当在声明函“标的名称”部分标明联合体中中小企业承担的具体内容或者中小企业的具体分包内容。</w:t>
      </w:r>
    </w:p>
    <w:p w14:paraId="4B2B2CB0">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3）对于多标的采购项目，投标人应充分、准确地了解所提供货物的制造企业、提供服</w:t>
      </w:r>
    </w:p>
    <w:p w14:paraId="151530FD">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务的承接企业信息。对相关情况了解不清楚的，不建议填报本声明函。</w:t>
      </w:r>
    </w:p>
    <w:p w14:paraId="09CC8609">
      <w:pPr>
        <w:tabs>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4）温馨提示：为方便广大中小企业识别企业规模类型，工业和信息化部组织开发了中 小企业规模类型自测小程序，在国务院客户端和工业和信息化部网站上均有链接，投标 人填写所属的行业和指标数据可自动生成企业规模类型测试结果。本项目中小企业划分 标准所属行业详见第二章《投标人须知资料表》，如在该程序中未找到本项目文件规定 的中小企业划分标准所属行业， 则按照《关于印发中小企业划型标准规定的通知（工信部联企业﹝2011﹞300 号）》及本项目文件规定的中小企业划分标准所属行业执行。</w:t>
      </w:r>
    </w:p>
    <w:p w14:paraId="4E96EC4E">
      <w:pPr>
        <w:spacing w:before="240" w:beforeLines="100" w:after="240" w:afterLines="100" w:line="360" w:lineRule="auto"/>
        <w:jc w:val="center"/>
        <w:rPr>
          <w:rFonts w:ascii="宋体" w:hAnsi="宋体" w:cs="宋体"/>
          <w:b/>
          <w:color w:val="auto"/>
          <w:sz w:val="36"/>
          <w:szCs w:val="36"/>
          <w:highlight w:val="none"/>
        </w:rPr>
      </w:pPr>
      <w:r>
        <w:rPr>
          <w:rFonts w:hint="eastAsia" w:ascii="宋体" w:hAnsi="宋体" w:cs="宋体"/>
          <w:b/>
          <w:bCs/>
          <w:color w:val="auto"/>
          <w:sz w:val="24"/>
          <w:highlight w:val="none"/>
        </w:rPr>
        <w:br w:type="page"/>
      </w:r>
      <w:r>
        <w:rPr>
          <w:rFonts w:hint="eastAsia" w:ascii="宋体" w:hAnsi="宋体" w:cs="宋体"/>
          <w:b/>
          <w:bCs/>
          <w:color w:val="auto"/>
          <w:sz w:val="36"/>
          <w:szCs w:val="36"/>
          <w:highlight w:val="none"/>
        </w:rPr>
        <w:t>中小企业声明函（工程、服务）格式</w:t>
      </w:r>
    </w:p>
    <w:p w14:paraId="6F869E98">
      <w:pPr>
        <w:autoSpaceDE w:val="0"/>
        <w:autoSpaceDN w:val="0"/>
        <w:spacing w:line="360" w:lineRule="auto"/>
        <w:ind w:left="220" w:right="415" w:firstLine="640"/>
        <w:jc w:val="left"/>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本公司（联合体）郑重声明，根据《政府采购促进中小企业发展管理办法》（财库﹝2020﹞46号）的规定，本公司（联合体）参加</w:t>
      </w:r>
      <w:r>
        <w:rPr>
          <w:rFonts w:hint="eastAsia" w:ascii="宋体" w:hAnsi="宋体" w:cs="宋体"/>
          <w:i/>
          <w:color w:val="auto"/>
          <w:kern w:val="0"/>
          <w:sz w:val="24"/>
          <w:highlight w:val="none"/>
          <w:u w:val="single"/>
        </w:rPr>
        <w:t>（单位名称）</w:t>
      </w:r>
      <w:r>
        <w:rPr>
          <w:rFonts w:hint="eastAsia" w:ascii="宋体" w:hAnsi="宋体" w:cs="宋体"/>
          <w:color w:val="auto"/>
          <w:kern w:val="0"/>
          <w:sz w:val="24"/>
          <w:highlight w:val="none"/>
        </w:rPr>
        <w:t>的</w:t>
      </w:r>
      <w:r>
        <w:rPr>
          <w:rFonts w:hint="eastAsia" w:ascii="宋体" w:hAnsi="宋体" w:cs="宋体"/>
          <w:i/>
          <w:color w:val="auto"/>
          <w:kern w:val="0"/>
          <w:sz w:val="24"/>
          <w:highlight w:val="none"/>
          <w:u w:val="single"/>
        </w:rPr>
        <w:t>（项目名称）</w:t>
      </w:r>
      <w:r>
        <w:rPr>
          <w:rFonts w:hint="eastAsia" w:ascii="宋体" w:hAnsi="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E533BAD">
      <w:pPr>
        <w:tabs>
          <w:tab w:val="left" w:pos="1276"/>
          <w:tab w:val="left" w:pos="3810"/>
          <w:tab w:val="left" w:pos="7227"/>
        </w:tabs>
        <w:autoSpaceDE w:val="0"/>
        <w:autoSpaceDN w:val="0"/>
        <w:spacing w:line="360" w:lineRule="auto"/>
        <w:ind w:left="860" w:right="236"/>
        <w:jc w:val="left"/>
        <w:rPr>
          <w:rFonts w:ascii="宋体" w:hAnsi="宋体" w:cs="宋体"/>
          <w:color w:val="auto"/>
          <w:kern w:val="0"/>
          <w:sz w:val="24"/>
          <w:highlight w:val="none"/>
        </w:rPr>
      </w:pPr>
      <w:r>
        <w:rPr>
          <w:rFonts w:hint="eastAsia" w:ascii="宋体" w:hAnsi="宋体" w:cs="宋体"/>
          <w:i/>
          <w:color w:val="auto"/>
          <w:kern w:val="0"/>
          <w:sz w:val="24"/>
          <w:highlight w:val="none"/>
        </w:rPr>
        <w:t>1.</w:t>
      </w:r>
      <w:r>
        <w:rPr>
          <w:rFonts w:hint="eastAsia" w:ascii="宋体" w:hAnsi="宋体" w:cs="宋体"/>
          <w:i/>
          <w:color w:val="auto"/>
          <w:kern w:val="0"/>
          <w:sz w:val="24"/>
          <w:highlight w:val="none"/>
          <w:u w:val="single" w:color="000000"/>
        </w:rPr>
        <w:t>（标的名称）</w:t>
      </w:r>
      <w:r>
        <w:rPr>
          <w:rFonts w:hint="eastAsia" w:ascii="宋体" w:hAnsi="宋体" w:cs="宋体"/>
          <w:color w:val="auto"/>
          <w:kern w:val="0"/>
          <w:sz w:val="24"/>
          <w:highlight w:val="none"/>
        </w:rPr>
        <w:t>，属于</w:t>
      </w:r>
      <w:r>
        <w:rPr>
          <w:rFonts w:hint="eastAsia" w:ascii="宋体" w:hAnsi="宋体" w:cs="宋体"/>
          <w:i/>
          <w:color w:val="auto"/>
          <w:kern w:val="0"/>
          <w:sz w:val="24"/>
          <w:highlight w:val="none"/>
        </w:rPr>
        <w:t>（</w:t>
      </w:r>
      <w:r>
        <w:rPr>
          <w:rFonts w:hint="eastAsia" w:ascii="宋体" w:hAnsi="宋体" w:cs="宋体"/>
          <w:i/>
          <w:color w:val="auto"/>
          <w:kern w:val="0"/>
          <w:sz w:val="24"/>
          <w:highlight w:val="none"/>
          <w:u w:val="single" w:color="000000"/>
        </w:rPr>
        <w:t>采购文件中明确的所属行业）</w:t>
      </w:r>
      <w:r>
        <w:rPr>
          <w:rFonts w:hint="eastAsia" w:ascii="宋体" w:hAnsi="宋体" w:cs="宋体"/>
          <w:color w:val="auto"/>
          <w:kern w:val="0"/>
          <w:sz w:val="24"/>
          <w:highlight w:val="none"/>
        </w:rPr>
        <w:t>；承建（承接）企业为</w:t>
      </w:r>
      <w:r>
        <w:rPr>
          <w:rFonts w:hint="eastAsia" w:ascii="宋体" w:hAnsi="宋体" w:cs="宋体"/>
          <w:i/>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万元</w:t>
      </w: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ascii="宋体" w:hAnsi="宋体" w:cs="宋体"/>
          <w:color w:val="auto"/>
          <w:kern w:val="0"/>
          <w:position w:val="16"/>
          <w:sz w:val="24"/>
          <w:highlight w:val="none"/>
        </w:rPr>
        <w:t>1</w:t>
      </w:r>
      <w:r>
        <w:rPr>
          <w:rFonts w:hint="eastAsia" w:ascii="宋体" w:hAnsi="宋体" w:cs="宋体"/>
          <w:color w:val="auto"/>
          <w:kern w:val="0"/>
          <w:position w:val="16"/>
          <w:sz w:val="24"/>
          <w:highlight w:val="none"/>
        </w:rPr>
        <w:fldChar w:fldCharType="end"/>
      </w:r>
      <w:r>
        <w:rPr>
          <w:rFonts w:hint="eastAsia" w:ascii="宋体" w:hAnsi="宋体" w:cs="宋体"/>
          <w:color w:val="auto"/>
          <w:kern w:val="0"/>
          <w:sz w:val="24"/>
          <w:highlight w:val="none"/>
        </w:rPr>
        <w:t>，属于</w:t>
      </w:r>
      <w:r>
        <w:rPr>
          <w:rFonts w:hint="eastAsia" w:ascii="宋体" w:hAnsi="宋体" w:cs="宋体"/>
          <w:i/>
          <w:color w:val="auto"/>
          <w:kern w:val="0"/>
          <w:sz w:val="24"/>
          <w:highlight w:val="none"/>
          <w:u w:val="single"/>
        </w:rPr>
        <w:t>（中型企业、小型企业、微型企业）</w:t>
      </w:r>
      <w:r>
        <w:rPr>
          <w:rFonts w:hint="eastAsia" w:ascii="宋体" w:hAnsi="宋体" w:cs="宋体"/>
          <w:color w:val="auto"/>
          <w:kern w:val="0"/>
          <w:sz w:val="24"/>
          <w:highlight w:val="none"/>
        </w:rPr>
        <w:t>；</w:t>
      </w:r>
    </w:p>
    <w:p w14:paraId="72AECBA3">
      <w:pPr>
        <w:tabs>
          <w:tab w:val="left" w:pos="1243"/>
          <w:tab w:val="left" w:pos="1806"/>
          <w:tab w:val="left" w:pos="5005"/>
          <w:tab w:val="left" w:pos="7213"/>
        </w:tabs>
        <w:autoSpaceDE w:val="0"/>
        <w:autoSpaceDN w:val="0"/>
        <w:spacing w:line="360" w:lineRule="auto"/>
        <w:ind w:left="860" w:right="258"/>
        <w:jc w:val="left"/>
        <w:rPr>
          <w:rFonts w:ascii="宋体" w:hAnsi="宋体" w:cs="宋体"/>
          <w:color w:val="auto"/>
          <w:kern w:val="0"/>
          <w:sz w:val="24"/>
          <w:highlight w:val="none"/>
        </w:rPr>
      </w:pPr>
      <w:r>
        <w:rPr>
          <w:rFonts w:hint="eastAsia" w:ascii="宋体" w:hAnsi="宋体" w:cs="宋体"/>
          <w:i/>
          <w:color w:val="auto"/>
          <w:kern w:val="0"/>
          <w:sz w:val="24"/>
          <w:highlight w:val="none"/>
        </w:rPr>
        <w:t>2.</w:t>
      </w:r>
      <w:r>
        <w:rPr>
          <w:rFonts w:hint="eastAsia" w:ascii="宋体" w:hAnsi="宋体" w:cs="宋体"/>
          <w:i/>
          <w:color w:val="auto"/>
          <w:kern w:val="0"/>
          <w:sz w:val="24"/>
          <w:highlight w:val="none"/>
          <w:u w:val="single" w:color="000000"/>
        </w:rPr>
        <w:t>（标的名称）</w:t>
      </w:r>
      <w:r>
        <w:rPr>
          <w:rFonts w:hint="eastAsia" w:ascii="宋体" w:hAnsi="宋体" w:cs="宋体"/>
          <w:color w:val="auto"/>
          <w:kern w:val="0"/>
          <w:sz w:val="24"/>
          <w:highlight w:val="none"/>
        </w:rPr>
        <w:t>，属于</w:t>
      </w:r>
      <w:r>
        <w:rPr>
          <w:rFonts w:hint="eastAsia" w:ascii="宋体" w:hAnsi="宋体" w:cs="宋体"/>
          <w:i/>
          <w:color w:val="auto"/>
          <w:kern w:val="0"/>
          <w:sz w:val="24"/>
          <w:highlight w:val="none"/>
        </w:rPr>
        <w:t>（</w:t>
      </w:r>
      <w:r>
        <w:rPr>
          <w:rFonts w:hint="eastAsia" w:ascii="宋体" w:hAnsi="宋体" w:cs="宋体"/>
          <w:i/>
          <w:color w:val="auto"/>
          <w:kern w:val="0"/>
          <w:sz w:val="24"/>
          <w:highlight w:val="none"/>
          <w:u w:val="single" w:color="000000"/>
        </w:rPr>
        <w:t>采购文件中明确的所属行业）</w:t>
      </w:r>
      <w:r>
        <w:rPr>
          <w:rFonts w:hint="eastAsia" w:ascii="宋体" w:hAnsi="宋体" w:cs="宋体"/>
          <w:color w:val="auto"/>
          <w:kern w:val="0"/>
          <w:sz w:val="24"/>
          <w:highlight w:val="none"/>
        </w:rPr>
        <w:t>；承建（承接）企业为</w:t>
      </w:r>
      <w:r>
        <w:rPr>
          <w:rFonts w:hint="eastAsia" w:ascii="宋体" w:hAnsi="宋体" w:cs="宋体"/>
          <w:i/>
          <w:color w:val="auto"/>
          <w:kern w:val="0"/>
          <w:sz w:val="24"/>
          <w:highlight w:val="none"/>
          <w:u w:val="single" w:color="000000"/>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color="000000"/>
        </w:rPr>
        <w:tab/>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color="000000"/>
        </w:rPr>
        <w:tab/>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color="000000"/>
        </w:rPr>
        <w:tab/>
      </w:r>
      <w:r>
        <w:rPr>
          <w:rFonts w:hint="eastAsia" w:ascii="宋体" w:hAnsi="宋体" w:cs="宋体"/>
          <w:color w:val="auto"/>
          <w:kern w:val="0"/>
          <w:sz w:val="24"/>
          <w:highlight w:val="none"/>
        </w:rPr>
        <w:t>万元，属于</w:t>
      </w:r>
      <w:r>
        <w:rPr>
          <w:rFonts w:hint="eastAsia" w:ascii="宋体" w:hAnsi="宋体" w:cs="宋体"/>
          <w:i/>
          <w:color w:val="auto"/>
          <w:kern w:val="0"/>
          <w:sz w:val="24"/>
          <w:highlight w:val="none"/>
          <w:u w:val="single" w:color="000000"/>
        </w:rPr>
        <w:t>（中型企业、小型企业、微型企业）</w:t>
      </w:r>
      <w:r>
        <w:rPr>
          <w:rFonts w:hint="eastAsia" w:ascii="宋体" w:hAnsi="宋体" w:cs="宋体"/>
          <w:color w:val="auto"/>
          <w:kern w:val="0"/>
          <w:sz w:val="24"/>
          <w:highlight w:val="none"/>
        </w:rPr>
        <w:t>；</w:t>
      </w:r>
    </w:p>
    <w:p w14:paraId="303297ED">
      <w:pPr>
        <w:autoSpaceDE w:val="0"/>
        <w:autoSpaceDN w:val="0"/>
        <w:spacing w:line="360" w:lineRule="auto"/>
        <w:ind w:left="860"/>
        <w:jc w:val="left"/>
        <w:rPr>
          <w:rFonts w:ascii="宋体" w:hAnsi="宋体" w:cs="宋体"/>
          <w:color w:val="auto"/>
          <w:kern w:val="0"/>
          <w:sz w:val="24"/>
          <w:highlight w:val="none"/>
        </w:rPr>
      </w:pPr>
      <w:r>
        <w:rPr>
          <w:rFonts w:hint="eastAsia" w:ascii="宋体" w:hAnsi="宋体" w:cs="宋体"/>
          <w:color w:val="auto"/>
          <w:kern w:val="0"/>
          <w:sz w:val="24"/>
          <w:highlight w:val="none"/>
        </w:rPr>
        <w:t>……</w:t>
      </w:r>
    </w:p>
    <w:p w14:paraId="3D5F665D">
      <w:pPr>
        <w:autoSpaceDE w:val="0"/>
        <w:autoSpaceDN w:val="0"/>
        <w:spacing w:line="360" w:lineRule="auto"/>
        <w:ind w:left="220" w:right="417" w:firstLine="645"/>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14:paraId="6D9265F5">
      <w:pPr>
        <w:autoSpaceDE w:val="0"/>
        <w:autoSpaceDN w:val="0"/>
        <w:spacing w:line="360" w:lineRule="auto"/>
        <w:ind w:left="220" w:right="372" w:firstLine="645"/>
        <w:jc w:val="left"/>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14:paraId="47B5B8D0">
      <w:pPr>
        <w:spacing w:line="360" w:lineRule="auto"/>
        <w:ind w:firstLine="504"/>
        <w:rPr>
          <w:rFonts w:ascii="宋体" w:hAnsi="宋体" w:cs="宋体"/>
          <w:color w:val="auto"/>
          <w:spacing w:val="6"/>
          <w:sz w:val="24"/>
          <w:highlight w:val="none"/>
        </w:rPr>
      </w:pPr>
    </w:p>
    <w:p w14:paraId="3ADF0519">
      <w:pPr>
        <w:spacing w:line="360" w:lineRule="auto"/>
        <w:ind w:firstLine="504"/>
        <w:rPr>
          <w:rFonts w:ascii="宋体" w:hAnsi="宋体" w:cs="宋体"/>
          <w:color w:val="auto"/>
          <w:spacing w:val="6"/>
          <w:sz w:val="24"/>
          <w:highlight w:val="none"/>
        </w:rPr>
      </w:pPr>
    </w:p>
    <w:p w14:paraId="1F55A9C8">
      <w:pPr>
        <w:spacing w:line="360" w:lineRule="auto"/>
        <w:ind w:right="360" w:firstLine="480"/>
        <w:jc w:val="right"/>
        <w:rPr>
          <w:rFonts w:ascii="宋体" w:hAnsi="宋体" w:cs="宋体"/>
          <w:color w:val="auto"/>
          <w:sz w:val="24"/>
          <w:highlight w:val="none"/>
        </w:rPr>
      </w:pPr>
      <w:r>
        <w:rPr>
          <w:rFonts w:hint="eastAsia" w:ascii="宋体" w:hAnsi="宋体" w:cs="宋体"/>
          <w:color w:val="auto"/>
          <w:sz w:val="24"/>
          <w:highlight w:val="none"/>
        </w:rPr>
        <w:t>企业名称（盖章）：________</w:t>
      </w:r>
    </w:p>
    <w:p w14:paraId="3068FEB6">
      <w:pPr>
        <w:spacing w:line="360" w:lineRule="auto"/>
        <w:ind w:right="360" w:firstLine="480"/>
        <w:jc w:val="right"/>
        <w:rPr>
          <w:rFonts w:ascii="宋体" w:hAnsi="宋体" w:cs="宋体"/>
          <w:color w:val="auto"/>
          <w:sz w:val="24"/>
          <w:highlight w:val="none"/>
        </w:rPr>
      </w:pPr>
      <w:r>
        <w:rPr>
          <w:rFonts w:hint="eastAsia" w:ascii="宋体" w:hAnsi="宋体" w:cs="宋体"/>
          <w:color w:val="auto"/>
          <w:sz w:val="24"/>
          <w:highlight w:val="none"/>
        </w:rPr>
        <w:t>日 期：________</w:t>
      </w:r>
    </w:p>
    <w:p w14:paraId="2BE5B15C">
      <w:pPr>
        <w:spacing w:line="360" w:lineRule="auto"/>
        <w:ind w:right="360" w:firstLine="480"/>
        <w:jc w:val="right"/>
        <w:rPr>
          <w:rFonts w:ascii="宋体" w:hAnsi="宋体" w:cs="宋体"/>
          <w:color w:val="auto"/>
          <w:sz w:val="24"/>
          <w:highlight w:val="none"/>
        </w:rPr>
      </w:pPr>
    </w:p>
    <w:p w14:paraId="79083CDC">
      <w:pPr>
        <w:spacing w:line="360" w:lineRule="auto"/>
        <w:ind w:right="360" w:firstLine="480"/>
        <w:jc w:val="right"/>
        <w:rPr>
          <w:rFonts w:ascii="宋体" w:hAnsi="宋体" w:cs="宋体"/>
          <w:color w:val="auto"/>
          <w:sz w:val="24"/>
          <w:highlight w:val="none"/>
        </w:rPr>
      </w:pPr>
    </w:p>
    <w:p w14:paraId="4DD7B21E">
      <w:pPr>
        <w:spacing w:line="360" w:lineRule="auto"/>
        <w:ind w:right="360" w:firstLine="480"/>
        <w:jc w:val="right"/>
        <w:rPr>
          <w:rFonts w:ascii="宋体" w:hAnsi="宋体" w:cs="宋体"/>
          <w:color w:val="auto"/>
          <w:sz w:val="24"/>
          <w:highlight w:val="none"/>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19B2AEB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tcPr>
          <w:p w14:paraId="5EAB6776">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vertAlign w:val="superscript"/>
              </w:rPr>
              <w:t>1</w:t>
            </w:r>
            <w:r>
              <w:rPr>
                <w:rFonts w:hint="eastAsia" w:ascii="宋体" w:hAnsi="宋体" w:cs="宋体"/>
                <w:color w:val="auto"/>
                <w:szCs w:val="21"/>
                <w:highlight w:val="none"/>
              </w:rPr>
              <w:t>从业人员、营业收入、资产总额填报上一年度数据，无上一年度数据的新成立企业可不填报。</w:t>
            </w:r>
          </w:p>
        </w:tc>
      </w:tr>
    </w:tbl>
    <w:p w14:paraId="1D04CBC4">
      <w:pPr>
        <w:widowControl/>
        <w:jc w:val="center"/>
        <w:rPr>
          <w:rFonts w:ascii="宋体" w:hAnsi="宋体" w:cs="宋体"/>
          <w:color w:val="auto"/>
          <w:szCs w:val="21"/>
          <w:highlight w:val="none"/>
          <w:vertAlign w:val="superscript"/>
        </w:rPr>
      </w:pPr>
    </w:p>
    <w:p w14:paraId="3EAA8780">
      <w:pPr>
        <w:spacing w:line="360" w:lineRule="auto"/>
        <w:ind w:right="360" w:firstLine="480"/>
        <w:jc w:val="right"/>
        <w:rPr>
          <w:rFonts w:ascii="宋体" w:hAnsi="宋体" w:cs="宋体"/>
          <w:color w:val="auto"/>
          <w:sz w:val="24"/>
          <w:highlight w:val="none"/>
        </w:rPr>
      </w:pPr>
    </w:p>
    <w:p w14:paraId="5DD03AD3">
      <w:pPr>
        <w:spacing w:line="360" w:lineRule="auto"/>
        <w:ind w:right="360" w:firstLine="480"/>
        <w:jc w:val="right"/>
        <w:rPr>
          <w:rFonts w:ascii="宋体" w:hAnsi="宋体" w:cs="宋体"/>
          <w:color w:val="auto"/>
          <w:sz w:val="24"/>
          <w:highlight w:val="none"/>
        </w:rPr>
      </w:pPr>
    </w:p>
    <w:p w14:paraId="370AF460">
      <w:pPr>
        <w:spacing w:before="240" w:beforeLines="100" w:after="240" w:afterLines="100"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4FB7CC42">
      <w:pPr>
        <w:spacing w:before="240" w:beforeLines="100" w:after="240" w:afterLines="100" w:line="360" w:lineRule="auto"/>
        <w:jc w:val="center"/>
        <w:rPr>
          <w:rFonts w:ascii="宋体" w:hAnsi="宋体" w:cs="宋体"/>
          <w:color w:val="auto"/>
          <w:sz w:val="36"/>
          <w:szCs w:val="36"/>
          <w:highlight w:val="none"/>
        </w:rPr>
      </w:pPr>
      <w:r>
        <w:rPr>
          <w:rFonts w:hint="eastAsia" w:ascii="宋体" w:hAnsi="宋体" w:cs="宋体"/>
          <w:b/>
          <w:bCs/>
          <w:color w:val="auto"/>
          <w:sz w:val="36"/>
          <w:szCs w:val="36"/>
          <w:highlight w:val="none"/>
        </w:rPr>
        <w:t>残疾人福利性单位声明函格式</w:t>
      </w:r>
      <w:r>
        <w:rPr>
          <w:rFonts w:hint="eastAsia" w:ascii="宋体" w:hAnsi="宋体" w:cs="宋体"/>
          <w:color w:val="auto"/>
          <w:sz w:val="36"/>
          <w:szCs w:val="36"/>
          <w:highlight w:val="none"/>
        </w:rPr>
        <w:t xml:space="preserve"> </w:t>
      </w:r>
    </w:p>
    <w:p w14:paraId="430A47E1">
      <w:pPr>
        <w:spacing w:line="588" w:lineRule="exact"/>
        <w:ind w:firstLine="504"/>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w:t>
      </w:r>
      <w:r>
        <w:rPr>
          <w:rFonts w:hint="eastAsia" w:ascii="宋体" w:hAnsi="宋体" w:cs="宋体"/>
          <w:b/>
          <w:color w:val="auto"/>
          <w:sz w:val="24"/>
          <w:highlight w:val="none"/>
        </w:rPr>
        <w:t>（请进行选择）</w:t>
      </w:r>
      <w:r>
        <w:rPr>
          <w:rFonts w:hint="eastAsia" w:ascii="宋体" w:hAnsi="宋体" w:cs="宋体"/>
          <w:color w:val="auto"/>
          <w:spacing w:val="6"/>
          <w:sz w:val="24"/>
          <w:highlight w:val="none"/>
        </w:rPr>
        <w:t>：</w:t>
      </w:r>
    </w:p>
    <w:p w14:paraId="3FAB45C8">
      <w:pPr>
        <w:spacing w:line="588" w:lineRule="exact"/>
        <w:ind w:firstLine="482"/>
        <w:rPr>
          <w:rFonts w:ascii="宋体" w:hAnsi="宋体" w:cs="宋体"/>
          <w:b/>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不属于符合条件的残疾人福利性单位。</w:t>
      </w:r>
    </w:p>
    <w:p w14:paraId="2D79AC79">
      <w:pPr>
        <w:spacing w:line="588" w:lineRule="exact"/>
        <w:ind w:firstLine="482"/>
        <w:rPr>
          <w:rFonts w:ascii="宋体" w:hAnsi="宋体" w:cs="宋体"/>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属于符合条件的残疾人福利性单位，</w:t>
      </w:r>
      <w:r>
        <w:rPr>
          <w:rFonts w:hint="eastAsia" w:ascii="宋体" w:hAnsi="宋体" w:cs="宋体"/>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29870E11">
      <w:pPr>
        <w:spacing w:line="588" w:lineRule="exact"/>
        <w:ind w:firstLine="506" w:firstLineChars="200"/>
        <w:rPr>
          <w:rFonts w:ascii="宋体" w:hAnsi="宋体" w:cs="宋体"/>
          <w:color w:val="auto"/>
          <w:spacing w:val="6"/>
          <w:sz w:val="24"/>
          <w:highlight w:val="none"/>
        </w:rPr>
      </w:pPr>
      <w:r>
        <w:rPr>
          <w:rFonts w:hint="eastAsia" w:ascii="宋体" w:hAnsi="宋体" w:cs="宋体"/>
          <w:b/>
          <w:color w:val="auto"/>
          <w:spacing w:val="6"/>
          <w:sz w:val="24"/>
          <w:highlight w:val="none"/>
        </w:rPr>
        <w:t>本单位对上述声明的真实性负责。如有虚假，将依法承担相应责任。</w:t>
      </w:r>
    </w:p>
    <w:p w14:paraId="7FE92E7A">
      <w:pPr>
        <w:spacing w:line="588" w:lineRule="exact"/>
        <w:ind w:firstLine="504" w:firstLineChars="200"/>
        <w:rPr>
          <w:rFonts w:ascii="宋体" w:hAnsi="宋体" w:cs="宋体"/>
          <w:color w:val="auto"/>
          <w:spacing w:val="6"/>
          <w:sz w:val="24"/>
          <w:highlight w:val="none"/>
        </w:rPr>
      </w:pPr>
    </w:p>
    <w:p w14:paraId="0FD12828">
      <w:pPr>
        <w:spacing w:line="588" w:lineRule="exact"/>
        <w:ind w:firstLine="504" w:firstLineChars="200"/>
        <w:rPr>
          <w:rFonts w:ascii="宋体" w:hAnsi="宋体" w:cs="宋体"/>
          <w:color w:val="auto"/>
          <w:spacing w:val="6"/>
          <w:sz w:val="24"/>
          <w:highlight w:val="none"/>
        </w:rPr>
      </w:pPr>
    </w:p>
    <w:p w14:paraId="5B25421E">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14:paraId="42FBF961">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日  期：</w:t>
      </w:r>
    </w:p>
    <w:p w14:paraId="0FB9A05C">
      <w:pPr>
        <w:spacing w:line="360" w:lineRule="auto"/>
        <w:outlineLvl w:val="2"/>
        <w:rPr>
          <w:rFonts w:ascii="宋体" w:hAnsi="宋体" w:cs="宋体"/>
          <w:color w:val="auto"/>
          <w:highlight w:val="none"/>
        </w:rPr>
      </w:pPr>
      <w:r>
        <w:rPr>
          <w:rFonts w:hint="eastAsia" w:ascii="宋体" w:hAnsi="宋体" w:cs="宋体"/>
          <w:color w:val="auto"/>
          <w:szCs w:val="20"/>
          <w:highlight w:val="none"/>
        </w:rPr>
        <w:br w:type="page"/>
      </w:r>
      <w:r>
        <w:rPr>
          <w:rFonts w:hint="eastAsia" w:ascii="宋体" w:hAnsi="宋体" w:cs="宋体"/>
          <w:color w:val="auto"/>
          <w:sz w:val="24"/>
          <w:szCs w:val="20"/>
          <w:highlight w:val="none"/>
        </w:rPr>
        <w:t xml:space="preserve">8 </w:t>
      </w:r>
      <w:bookmarkStart w:id="941" w:name="_Toc69746430"/>
      <w:r>
        <w:rPr>
          <w:rFonts w:hint="eastAsia" w:ascii="宋体" w:hAnsi="宋体" w:cs="宋体"/>
          <w:color w:val="auto"/>
          <w:sz w:val="24"/>
          <w:szCs w:val="20"/>
          <w:highlight w:val="none"/>
        </w:rPr>
        <w:t xml:space="preserve"> 业绩案例一览表</w:t>
      </w:r>
      <w:bookmarkEnd w:id="941"/>
    </w:p>
    <w:p w14:paraId="74C5E757">
      <w:pPr>
        <w:pStyle w:val="5"/>
        <w:rPr>
          <w:rFonts w:hAnsi="宋体" w:cs="宋体"/>
          <w:color w:val="auto"/>
          <w:highlight w:val="none"/>
        </w:rPr>
      </w:pPr>
    </w:p>
    <w:tbl>
      <w:tblPr>
        <w:tblStyle w:val="45"/>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80"/>
        <w:gridCol w:w="1260"/>
        <w:gridCol w:w="1260"/>
        <w:gridCol w:w="1440"/>
        <w:gridCol w:w="1778"/>
        <w:gridCol w:w="720"/>
      </w:tblGrid>
      <w:tr w14:paraId="271C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2" w:type="dxa"/>
            <w:vAlign w:val="center"/>
          </w:tcPr>
          <w:p w14:paraId="3208FCC5">
            <w:pPr>
              <w:spacing w:line="360" w:lineRule="auto"/>
              <w:rPr>
                <w:rFonts w:ascii="宋体" w:hAnsi="宋体" w:cs="宋体"/>
                <w:b/>
                <w:color w:val="auto"/>
                <w:sz w:val="24"/>
                <w:highlight w:val="none"/>
              </w:rPr>
            </w:pPr>
            <w:r>
              <w:rPr>
                <w:rFonts w:hint="eastAsia" w:ascii="宋体" w:hAnsi="宋体" w:cs="宋体"/>
                <w:b/>
                <w:color w:val="auto"/>
                <w:sz w:val="24"/>
                <w:highlight w:val="none"/>
              </w:rPr>
              <w:t>序号</w:t>
            </w:r>
          </w:p>
        </w:tc>
        <w:tc>
          <w:tcPr>
            <w:tcW w:w="1980" w:type="dxa"/>
            <w:vAlign w:val="center"/>
          </w:tcPr>
          <w:p w14:paraId="79EBCFD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260" w:type="dxa"/>
            <w:vAlign w:val="center"/>
          </w:tcPr>
          <w:p w14:paraId="4C587875">
            <w:pPr>
              <w:spacing w:line="360" w:lineRule="auto"/>
              <w:rPr>
                <w:rFonts w:ascii="宋体" w:hAnsi="宋体" w:cs="宋体"/>
                <w:b/>
                <w:color w:val="auto"/>
                <w:sz w:val="24"/>
                <w:highlight w:val="none"/>
              </w:rPr>
            </w:pPr>
            <w:r>
              <w:rPr>
                <w:rFonts w:hint="eastAsia" w:ascii="宋体" w:hAnsi="宋体" w:cs="宋体"/>
                <w:b/>
                <w:color w:val="auto"/>
                <w:sz w:val="24"/>
                <w:highlight w:val="none"/>
              </w:rPr>
              <w:t>用户名称</w:t>
            </w:r>
          </w:p>
        </w:tc>
        <w:tc>
          <w:tcPr>
            <w:tcW w:w="1260" w:type="dxa"/>
            <w:vAlign w:val="center"/>
          </w:tcPr>
          <w:p w14:paraId="126DA2F0">
            <w:pPr>
              <w:spacing w:line="360" w:lineRule="auto"/>
              <w:rPr>
                <w:rFonts w:ascii="宋体" w:hAnsi="宋体" w:cs="宋体"/>
                <w:b/>
                <w:color w:val="auto"/>
                <w:sz w:val="24"/>
                <w:highlight w:val="none"/>
              </w:rPr>
            </w:pPr>
            <w:r>
              <w:rPr>
                <w:rFonts w:hint="eastAsia" w:ascii="宋体" w:hAnsi="宋体" w:cs="宋体"/>
                <w:b/>
                <w:color w:val="auto"/>
                <w:sz w:val="24"/>
                <w:highlight w:val="none"/>
              </w:rPr>
              <w:t>合同金额</w:t>
            </w:r>
          </w:p>
        </w:tc>
        <w:tc>
          <w:tcPr>
            <w:tcW w:w="1440" w:type="dxa"/>
            <w:vAlign w:val="center"/>
          </w:tcPr>
          <w:p w14:paraId="45DED429">
            <w:pPr>
              <w:spacing w:line="360" w:lineRule="auto"/>
              <w:rPr>
                <w:rFonts w:ascii="宋体" w:hAnsi="宋体" w:cs="宋体"/>
                <w:b/>
                <w:color w:val="auto"/>
                <w:sz w:val="24"/>
                <w:highlight w:val="none"/>
              </w:rPr>
            </w:pPr>
            <w:r>
              <w:rPr>
                <w:rFonts w:hint="eastAsia" w:ascii="宋体" w:hAnsi="宋体" w:cs="宋体"/>
                <w:b/>
                <w:color w:val="auto"/>
                <w:sz w:val="24"/>
                <w:highlight w:val="none"/>
              </w:rPr>
              <w:t>用户联系人</w:t>
            </w:r>
          </w:p>
        </w:tc>
        <w:tc>
          <w:tcPr>
            <w:tcW w:w="1778" w:type="dxa"/>
            <w:vAlign w:val="center"/>
          </w:tcPr>
          <w:p w14:paraId="0D8560A7">
            <w:pPr>
              <w:spacing w:line="360" w:lineRule="auto"/>
              <w:rPr>
                <w:rFonts w:ascii="宋体" w:hAnsi="宋体" w:cs="宋体"/>
                <w:b/>
                <w:color w:val="auto"/>
                <w:sz w:val="24"/>
                <w:highlight w:val="none"/>
              </w:rPr>
            </w:pPr>
            <w:r>
              <w:rPr>
                <w:rFonts w:hint="eastAsia" w:ascii="宋体" w:hAnsi="宋体" w:cs="宋体"/>
                <w:b/>
                <w:color w:val="auto"/>
                <w:sz w:val="24"/>
                <w:highlight w:val="none"/>
              </w:rPr>
              <w:t>用户联系电话</w:t>
            </w:r>
          </w:p>
        </w:tc>
        <w:tc>
          <w:tcPr>
            <w:tcW w:w="720" w:type="dxa"/>
            <w:vAlign w:val="center"/>
          </w:tcPr>
          <w:p w14:paraId="73C54210">
            <w:pPr>
              <w:spacing w:line="360" w:lineRule="auto"/>
              <w:rPr>
                <w:rFonts w:ascii="宋体" w:hAnsi="宋体" w:cs="宋体"/>
                <w:b/>
                <w:color w:val="auto"/>
                <w:sz w:val="24"/>
                <w:highlight w:val="none"/>
              </w:rPr>
            </w:pPr>
            <w:r>
              <w:rPr>
                <w:rFonts w:hint="eastAsia" w:ascii="宋体" w:hAnsi="宋体" w:cs="宋体"/>
                <w:b/>
                <w:color w:val="auto"/>
                <w:sz w:val="24"/>
                <w:highlight w:val="none"/>
              </w:rPr>
              <w:t>备注</w:t>
            </w:r>
          </w:p>
        </w:tc>
      </w:tr>
      <w:tr w14:paraId="023C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vAlign w:val="center"/>
          </w:tcPr>
          <w:p w14:paraId="084F916D">
            <w:pPr>
              <w:spacing w:line="360" w:lineRule="auto"/>
              <w:jc w:val="center"/>
              <w:rPr>
                <w:rFonts w:ascii="宋体" w:hAnsi="宋体" w:cs="宋体"/>
                <w:color w:val="auto"/>
                <w:sz w:val="24"/>
                <w:highlight w:val="none"/>
              </w:rPr>
            </w:pPr>
          </w:p>
        </w:tc>
        <w:tc>
          <w:tcPr>
            <w:tcW w:w="1980" w:type="dxa"/>
            <w:vAlign w:val="center"/>
          </w:tcPr>
          <w:p w14:paraId="2E52A2D9">
            <w:pPr>
              <w:spacing w:line="360" w:lineRule="auto"/>
              <w:rPr>
                <w:rFonts w:ascii="宋体" w:hAnsi="宋体" w:cs="宋体"/>
                <w:color w:val="auto"/>
                <w:sz w:val="24"/>
                <w:highlight w:val="none"/>
              </w:rPr>
            </w:pPr>
          </w:p>
        </w:tc>
        <w:tc>
          <w:tcPr>
            <w:tcW w:w="1260" w:type="dxa"/>
            <w:vAlign w:val="center"/>
          </w:tcPr>
          <w:p w14:paraId="632CF347">
            <w:pPr>
              <w:spacing w:line="360" w:lineRule="auto"/>
              <w:rPr>
                <w:rFonts w:ascii="宋体" w:hAnsi="宋体" w:cs="宋体"/>
                <w:color w:val="auto"/>
                <w:sz w:val="24"/>
                <w:highlight w:val="none"/>
              </w:rPr>
            </w:pPr>
          </w:p>
        </w:tc>
        <w:tc>
          <w:tcPr>
            <w:tcW w:w="1260" w:type="dxa"/>
            <w:vAlign w:val="center"/>
          </w:tcPr>
          <w:p w14:paraId="4AA73980">
            <w:pPr>
              <w:spacing w:line="360" w:lineRule="auto"/>
              <w:rPr>
                <w:rFonts w:ascii="宋体" w:hAnsi="宋体" w:cs="宋体"/>
                <w:color w:val="auto"/>
                <w:sz w:val="24"/>
                <w:highlight w:val="none"/>
              </w:rPr>
            </w:pPr>
          </w:p>
        </w:tc>
        <w:tc>
          <w:tcPr>
            <w:tcW w:w="1440" w:type="dxa"/>
            <w:vAlign w:val="center"/>
          </w:tcPr>
          <w:p w14:paraId="5FC872D1">
            <w:pPr>
              <w:spacing w:line="360" w:lineRule="auto"/>
              <w:rPr>
                <w:rFonts w:ascii="宋体" w:hAnsi="宋体" w:cs="宋体"/>
                <w:color w:val="auto"/>
                <w:sz w:val="24"/>
                <w:highlight w:val="none"/>
              </w:rPr>
            </w:pPr>
          </w:p>
        </w:tc>
        <w:tc>
          <w:tcPr>
            <w:tcW w:w="1778" w:type="dxa"/>
            <w:vAlign w:val="center"/>
          </w:tcPr>
          <w:p w14:paraId="76CC2912">
            <w:pPr>
              <w:spacing w:line="360" w:lineRule="auto"/>
              <w:rPr>
                <w:rFonts w:ascii="宋体" w:hAnsi="宋体" w:cs="宋体"/>
                <w:color w:val="auto"/>
                <w:sz w:val="24"/>
                <w:highlight w:val="none"/>
              </w:rPr>
            </w:pPr>
          </w:p>
        </w:tc>
        <w:tc>
          <w:tcPr>
            <w:tcW w:w="720" w:type="dxa"/>
            <w:vAlign w:val="center"/>
          </w:tcPr>
          <w:p w14:paraId="71CA6A4B">
            <w:pPr>
              <w:spacing w:line="360" w:lineRule="auto"/>
              <w:rPr>
                <w:rFonts w:ascii="宋体" w:hAnsi="宋体" w:cs="宋体"/>
                <w:color w:val="auto"/>
                <w:sz w:val="24"/>
                <w:highlight w:val="none"/>
              </w:rPr>
            </w:pPr>
          </w:p>
        </w:tc>
      </w:tr>
      <w:tr w14:paraId="372E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vAlign w:val="center"/>
          </w:tcPr>
          <w:p w14:paraId="1B92A012">
            <w:pPr>
              <w:spacing w:line="360" w:lineRule="auto"/>
              <w:jc w:val="center"/>
              <w:rPr>
                <w:rFonts w:ascii="宋体" w:hAnsi="宋体" w:cs="宋体"/>
                <w:color w:val="auto"/>
                <w:sz w:val="24"/>
                <w:highlight w:val="none"/>
              </w:rPr>
            </w:pPr>
          </w:p>
        </w:tc>
        <w:tc>
          <w:tcPr>
            <w:tcW w:w="1980" w:type="dxa"/>
            <w:vAlign w:val="center"/>
          </w:tcPr>
          <w:p w14:paraId="47F31613">
            <w:pPr>
              <w:spacing w:line="360" w:lineRule="auto"/>
              <w:rPr>
                <w:rFonts w:ascii="宋体" w:hAnsi="宋体" w:cs="宋体"/>
                <w:color w:val="auto"/>
                <w:sz w:val="24"/>
                <w:highlight w:val="none"/>
              </w:rPr>
            </w:pPr>
          </w:p>
        </w:tc>
        <w:tc>
          <w:tcPr>
            <w:tcW w:w="1260" w:type="dxa"/>
            <w:vAlign w:val="center"/>
          </w:tcPr>
          <w:p w14:paraId="66E1AB3E">
            <w:pPr>
              <w:spacing w:line="360" w:lineRule="auto"/>
              <w:rPr>
                <w:rFonts w:ascii="宋体" w:hAnsi="宋体" w:cs="宋体"/>
                <w:color w:val="auto"/>
                <w:sz w:val="24"/>
                <w:highlight w:val="none"/>
              </w:rPr>
            </w:pPr>
          </w:p>
        </w:tc>
        <w:tc>
          <w:tcPr>
            <w:tcW w:w="1260" w:type="dxa"/>
            <w:vAlign w:val="center"/>
          </w:tcPr>
          <w:p w14:paraId="1C8420B9">
            <w:pPr>
              <w:spacing w:line="360" w:lineRule="auto"/>
              <w:rPr>
                <w:rFonts w:ascii="宋体" w:hAnsi="宋体" w:cs="宋体"/>
                <w:color w:val="auto"/>
                <w:sz w:val="24"/>
                <w:highlight w:val="none"/>
              </w:rPr>
            </w:pPr>
          </w:p>
        </w:tc>
        <w:tc>
          <w:tcPr>
            <w:tcW w:w="1440" w:type="dxa"/>
            <w:vAlign w:val="center"/>
          </w:tcPr>
          <w:p w14:paraId="0EC1D491">
            <w:pPr>
              <w:spacing w:line="360" w:lineRule="auto"/>
              <w:rPr>
                <w:rFonts w:ascii="宋体" w:hAnsi="宋体" w:cs="宋体"/>
                <w:color w:val="auto"/>
                <w:sz w:val="24"/>
                <w:highlight w:val="none"/>
              </w:rPr>
            </w:pPr>
          </w:p>
        </w:tc>
        <w:tc>
          <w:tcPr>
            <w:tcW w:w="1778" w:type="dxa"/>
            <w:vAlign w:val="center"/>
          </w:tcPr>
          <w:p w14:paraId="4D7D614D">
            <w:pPr>
              <w:spacing w:line="360" w:lineRule="auto"/>
              <w:rPr>
                <w:rFonts w:ascii="宋体" w:hAnsi="宋体" w:cs="宋体"/>
                <w:color w:val="auto"/>
                <w:sz w:val="24"/>
                <w:highlight w:val="none"/>
              </w:rPr>
            </w:pPr>
          </w:p>
        </w:tc>
        <w:tc>
          <w:tcPr>
            <w:tcW w:w="720" w:type="dxa"/>
            <w:vAlign w:val="center"/>
          </w:tcPr>
          <w:p w14:paraId="31B88CD3">
            <w:pPr>
              <w:spacing w:line="360" w:lineRule="auto"/>
              <w:rPr>
                <w:rFonts w:ascii="宋体" w:hAnsi="宋体" w:cs="宋体"/>
                <w:color w:val="auto"/>
                <w:sz w:val="24"/>
                <w:highlight w:val="none"/>
              </w:rPr>
            </w:pPr>
          </w:p>
        </w:tc>
      </w:tr>
      <w:tr w14:paraId="127E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vAlign w:val="center"/>
          </w:tcPr>
          <w:p w14:paraId="2C956A8D">
            <w:pPr>
              <w:spacing w:line="360" w:lineRule="auto"/>
              <w:jc w:val="center"/>
              <w:rPr>
                <w:rFonts w:ascii="宋体" w:hAnsi="宋体" w:cs="宋体"/>
                <w:color w:val="auto"/>
                <w:sz w:val="24"/>
                <w:highlight w:val="none"/>
              </w:rPr>
            </w:pPr>
          </w:p>
        </w:tc>
        <w:tc>
          <w:tcPr>
            <w:tcW w:w="1980" w:type="dxa"/>
            <w:vAlign w:val="center"/>
          </w:tcPr>
          <w:p w14:paraId="319E1073">
            <w:pPr>
              <w:spacing w:line="360" w:lineRule="auto"/>
              <w:rPr>
                <w:rFonts w:ascii="宋体" w:hAnsi="宋体" w:cs="宋体"/>
                <w:color w:val="auto"/>
                <w:sz w:val="24"/>
                <w:highlight w:val="none"/>
              </w:rPr>
            </w:pPr>
          </w:p>
        </w:tc>
        <w:tc>
          <w:tcPr>
            <w:tcW w:w="1260" w:type="dxa"/>
            <w:vAlign w:val="center"/>
          </w:tcPr>
          <w:p w14:paraId="656EEBA4">
            <w:pPr>
              <w:spacing w:line="360" w:lineRule="auto"/>
              <w:rPr>
                <w:rFonts w:ascii="宋体" w:hAnsi="宋体" w:cs="宋体"/>
                <w:color w:val="auto"/>
                <w:sz w:val="24"/>
                <w:highlight w:val="none"/>
              </w:rPr>
            </w:pPr>
          </w:p>
        </w:tc>
        <w:tc>
          <w:tcPr>
            <w:tcW w:w="1260" w:type="dxa"/>
            <w:vAlign w:val="center"/>
          </w:tcPr>
          <w:p w14:paraId="03398698">
            <w:pPr>
              <w:spacing w:line="360" w:lineRule="auto"/>
              <w:rPr>
                <w:rFonts w:ascii="宋体" w:hAnsi="宋体" w:cs="宋体"/>
                <w:color w:val="auto"/>
                <w:sz w:val="24"/>
                <w:highlight w:val="none"/>
              </w:rPr>
            </w:pPr>
          </w:p>
        </w:tc>
        <w:tc>
          <w:tcPr>
            <w:tcW w:w="1440" w:type="dxa"/>
            <w:vAlign w:val="center"/>
          </w:tcPr>
          <w:p w14:paraId="505401AF">
            <w:pPr>
              <w:spacing w:line="360" w:lineRule="auto"/>
              <w:rPr>
                <w:rFonts w:ascii="宋体" w:hAnsi="宋体" w:cs="宋体"/>
                <w:color w:val="auto"/>
                <w:sz w:val="24"/>
                <w:highlight w:val="none"/>
              </w:rPr>
            </w:pPr>
          </w:p>
        </w:tc>
        <w:tc>
          <w:tcPr>
            <w:tcW w:w="1778" w:type="dxa"/>
            <w:vAlign w:val="center"/>
          </w:tcPr>
          <w:p w14:paraId="3C48D360">
            <w:pPr>
              <w:spacing w:line="360" w:lineRule="auto"/>
              <w:rPr>
                <w:rFonts w:ascii="宋体" w:hAnsi="宋体" w:cs="宋体"/>
                <w:color w:val="auto"/>
                <w:sz w:val="24"/>
                <w:highlight w:val="none"/>
              </w:rPr>
            </w:pPr>
          </w:p>
        </w:tc>
        <w:tc>
          <w:tcPr>
            <w:tcW w:w="720" w:type="dxa"/>
            <w:vAlign w:val="center"/>
          </w:tcPr>
          <w:p w14:paraId="6DB8729E">
            <w:pPr>
              <w:spacing w:line="360" w:lineRule="auto"/>
              <w:rPr>
                <w:rFonts w:ascii="宋体" w:hAnsi="宋体" w:cs="宋体"/>
                <w:color w:val="auto"/>
                <w:sz w:val="24"/>
                <w:highlight w:val="none"/>
              </w:rPr>
            </w:pPr>
          </w:p>
        </w:tc>
      </w:tr>
      <w:tr w14:paraId="2C1F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63958C85">
            <w:pPr>
              <w:spacing w:line="360" w:lineRule="auto"/>
              <w:jc w:val="center"/>
              <w:rPr>
                <w:rFonts w:ascii="宋体" w:hAnsi="宋体" w:cs="宋体"/>
                <w:color w:val="auto"/>
                <w:sz w:val="24"/>
                <w:highlight w:val="none"/>
              </w:rPr>
            </w:pPr>
          </w:p>
        </w:tc>
        <w:tc>
          <w:tcPr>
            <w:tcW w:w="1980" w:type="dxa"/>
            <w:vAlign w:val="center"/>
          </w:tcPr>
          <w:p w14:paraId="5C54C4FF">
            <w:pPr>
              <w:spacing w:line="360" w:lineRule="auto"/>
              <w:rPr>
                <w:rFonts w:ascii="宋体" w:hAnsi="宋体" w:cs="宋体"/>
                <w:color w:val="auto"/>
                <w:sz w:val="24"/>
                <w:highlight w:val="none"/>
              </w:rPr>
            </w:pPr>
          </w:p>
        </w:tc>
        <w:tc>
          <w:tcPr>
            <w:tcW w:w="1260" w:type="dxa"/>
            <w:vAlign w:val="center"/>
          </w:tcPr>
          <w:p w14:paraId="5F7D3668">
            <w:pPr>
              <w:spacing w:line="360" w:lineRule="auto"/>
              <w:rPr>
                <w:rFonts w:ascii="宋体" w:hAnsi="宋体" w:cs="宋体"/>
                <w:color w:val="auto"/>
                <w:sz w:val="24"/>
                <w:highlight w:val="none"/>
              </w:rPr>
            </w:pPr>
          </w:p>
        </w:tc>
        <w:tc>
          <w:tcPr>
            <w:tcW w:w="1260" w:type="dxa"/>
            <w:vAlign w:val="center"/>
          </w:tcPr>
          <w:p w14:paraId="7317DD71">
            <w:pPr>
              <w:spacing w:line="360" w:lineRule="auto"/>
              <w:rPr>
                <w:rFonts w:ascii="宋体" w:hAnsi="宋体" w:cs="宋体"/>
                <w:color w:val="auto"/>
                <w:sz w:val="24"/>
                <w:highlight w:val="none"/>
              </w:rPr>
            </w:pPr>
          </w:p>
        </w:tc>
        <w:tc>
          <w:tcPr>
            <w:tcW w:w="1440" w:type="dxa"/>
            <w:vAlign w:val="center"/>
          </w:tcPr>
          <w:p w14:paraId="463D954E">
            <w:pPr>
              <w:spacing w:line="360" w:lineRule="auto"/>
              <w:rPr>
                <w:rFonts w:ascii="宋体" w:hAnsi="宋体" w:cs="宋体"/>
                <w:color w:val="auto"/>
                <w:sz w:val="24"/>
                <w:highlight w:val="none"/>
              </w:rPr>
            </w:pPr>
          </w:p>
        </w:tc>
        <w:tc>
          <w:tcPr>
            <w:tcW w:w="1778" w:type="dxa"/>
            <w:vAlign w:val="center"/>
          </w:tcPr>
          <w:p w14:paraId="0159F1C2">
            <w:pPr>
              <w:spacing w:line="360" w:lineRule="auto"/>
              <w:rPr>
                <w:rFonts w:ascii="宋体" w:hAnsi="宋体" w:cs="宋体"/>
                <w:color w:val="auto"/>
                <w:sz w:val="24"/>
                <w:highlight w:val="none"/>
              </w:rPr>
            </w:pPr>
          </w:p>
        </w:tc>
        <w:tc>
          <w:tcPr>
            <w:tcW w:w="720" w:type="dxa"/>
            <w:vAlign w:val="center"/>
          </w:tcPr>
          <w:p w14:paraId="4522998D">
            <w:pPr>
              <w:spacing w:line="360" w:lineRule="auto"/>
              <w:rPr>
                <w:rFonts w:ascii="宋体" w:hAnsi="宋体" w:cs="宋体"/>
                <w:color w:val="auto"/>
                <w:sz w:val="24"/>
                <w:highlight w:val="none"/>
              </w:rPr>
            </w:pPr>
          </w:p>
        </w:tc>
      </w:tr>
      <w:tr w14:paraId="3BDB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5527F6AC">
            <w:pPr>
              <w:spacing w:line="360" w:lineRule="auto"/>
              <w:jc w:val="center"/>
              <w:rPr>
                <w:rFonts w:ascii="宋体" w:hAnsi="宋体" w:cs="宋体"/>
                <w:color w:val="auto"/>
                <w:sz w:val="24"/>
                <w:highlight w:val="none"/>
              </w:rPr>
            </w:pPr>
          </w:p>
        </w:tc>
        <w:tc>
          <w:tcPr>
            <w:tcW w:w="1980" w:type="dxa"/>
            <w:vAlign w:val="center"/>
          </w:tcPr>
          <w:p w14:paraId="060648A8">
            <w:pPr>
              <w:spacing w:line="360" w:lineRule="auto"/>
              <w:rPr>
                <w:rFonts w:ascii="宋体" w:hAnsi="宋体" w:cs="宋体"/>
                <w:color w:val="auto"/>
                <w:sz w:val="24"/>
                <w:highlight w:val="none"/>
              </w:rPr>
            </w:pPr>
          </w:p>
        </w:tc>
        <w:tc>
          <w:tcPr>
            <w:tcW w:w="1260" w:type="dxa"/>
            <w:vAlign w:val="center"/>
          </w:tcPr>
          <w:p w14:paraId="4F2711CE">
            <w:pPr>
              <w:spacing w:line="360" w:lineRule="auto"/>
              <w:rPr>
                <w:rFonts w:ascii="宋体" w:hAnsi="宋体" w:cs="宋体"/>
                <w:color w:val="auto"/>
                <w:sz w:val="24"/>
                <w:highlight w:val="none"/>
              </w:rPr>
            </w:pPr>
          </w:p>
        </w:tc>
        <w:tc>
          <w:tcPr>
            <w:tcW w:w="1260" w:type="dxa"/>
            <w:vAlign w:val="center"/>
          </w:tcPr>
          <w:p w14:paraId="6C9F4424">
            <w:pPr>
              <w:spacing w:line="360" w:lineRule="auto"/>
              <w:rPr>
                <w:rFonts w:ascii="宋体" w:hAnsi="宋体" w:cs="宋体"/>
                <w:color w:val="auto"/>
                <w:sz w:val="24"/>
                <w:highlight w:val="none"/>
              </w:rPr>
            </w:pPr>
          </w:p>
        </w:tc>
        <w:tc>
          <w:tcPr>
            <w:tcW w:w="1440" w:type="dxa"/>
            <w:vAlign w:val="center"/>
          </w:tcPr>
          <w:p w14:paraId="12E6FECB">
            <w:pPr>
              <w:spacing w:line="360" w:lineRule="auto"/>
              <w:rPr>
                <w:rFonts w:ascii="宋体" w:hAnsi="宋体" w:cs="宋体"/>
                <w:color w:val="auto"/>
                <w:sz w:val="24"/>
                <w:highlight w:val="none"/>
              </w:rPr>
            </w:pPr>
          </w:p>
        </w:tc>
        <w:tc>
          <w:tcPr>
            <w:tcW w:w="1778" w:type="dxa"/>
            <w:vAlign w:val="center"/>
          </w:tcPr>
          <w:p w14:paraId="5D477B07">
            <w:pPr>
              <w:spacing w:line="360" w:lineRule="auto"/>
              <w:rPr>
                <w:rFonts w:ascii="宋体" w:hAnsi="宋体" w:cs="宋体"/>
                <w:color w:val="auto"/>
                <w:sz w:val="24"/>
                <w:highlight w:val="none"/>
              </w:rPr>
            </w:pPr>
          </w:p>
        </w:tc>
        <w:tc>
          <w:tcPr>
            <w:tcW w:w="720" w:type="dxa"/>
            <w:vAlign w:val="center"/>
          </w:tcPr>
          <w:p w14:paraId="45A02112">
            <w:pPr>
              <w:spacing w:line="360" w:lineRule="auto"/>
              <w:rPr>
                <w:rFonts w:ascii="宋体" w:hAnsi="宋体" w:cs="宋体"/>
                <w:color w:val="auto"/>
                <w:sz w:val="24"/>
                <w:highlight w:val="none"/>
              </w:rPr>
            </w:pPr>
          </w:p>
        </w:tc>
      </w:tr>
      <w:tr w14:paraId="5160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6809A9D9">
            <w:pPr>
              <w:spacing w:line="360" w:lineRule="auto"/>
              <w:rPr>
                <w:rFonts w:ascii="宋体" w:hAnsi="宋体" w:cs="宋体"/>
                <w:color w:val="auto"/>
                <w:sz w:val="24"/>
                <w:highlight w:val="none"/>
              </w:rPr>
            </w:pPr>
          </w:p>
        </w:tc>
        <w:tc>
          <w:tcPr>
            <w:tcW w:w="1980" w:type="dxa"/>
            <w:vAlign w:val="center"/>
          </w:tcPr>
          <w:p w14:paraId="1E6EBBDB">
            <w:pPr>
              <w:spacing w:line="360" w:lineRule="auto"/>
              <w:rPr>
                <w:rFonts w:ascii="宋体" w:hAnsi="宋体" w:cs="宋体"/>
                <w:color w:val="auto"/>
                <w:sz w:val="24"/>
                <w:highlight w:val="none"/>
              </w:rPr>
            </w:pPr>
          </w:p>
        </w:tc>
        <w:tc>
          <w:tcPr>
            <w:tcW w:w="1260" w:type="dxa"/>
            <w:vAlign w:val="center"/>
          </w:tcPr>
          <w:p w14:paraId="1B99CB33">
            <w:pPr>
              <w:spacing w:line="360" w:lineRule="auto"/>
              <w:rPr>
                <w:rFonts w:ascii="宋体" w:hAnsi="宋体" w:cs="宋体"/>
                <w:color w:val="auto"/>
                <w:sz w:val="24"/>
                <w:highlight w:val="none"/>
              </w:rPr>
            </w:pPr>
          </w:p>
        </w:tc>
        <w:tc>
          <w:tcPr>
            <w:tcW w:w="1260" w:type="dxa"/>
            <w:vAlign w:val="center"/>
          </w:tcPr>
          <w:p w14:paraId="584E7A30">
            <w:pPr>
              <w:spacing w:line="360" w:lineRule="auto"/>
              <w:rPr>
                <w:rFonts w:ascii="宋体" w:hAnsi="宋体" w:cs="宋体"/>
                <w:color w:val="auto"/>
                <w:sz w:val="24"/>
                <w:highlight w:val="none"/>
              </w:rPr>
            </w:pPr>
          </w:p>
        </w:tc>
        <w:tc>
          <w:tcPr>
            <w:tcW w:w="1440" w:type="dxa"/>
            <w:vAlign w:val="center"/>
          </w:tcPr>
          <w:p w14:paraId="507C7307">
            <w:pPr>
              <w:spacing w:line="360" w:lineRule="auto"/>
              <w:rPr>
                <w:rFonts w:ascii="宋体" w:hAnsi="宋体" w:cs="宋体"/>
                <w:color w:val="auto"/>
                <w:sz w:val="24"/>
                <w:highlight w:val="none"/>
              </w:rPr>
            </w:pPr>
          </w:p>
        </w:tc>
        <w:tc>
          <w:tcPr>
            <w:tcW w:w="1778" w:type="dxa"/>
            <w:vAlign w:val="center"/>
          </w:tcPr>
          <w:p w14:paraId="25CD946E">
            <w:pPr>
              <w:spacing w:line="360" w:lineRule="auto"/>
              <w:rPr>
                <w:rFonts w:ascii="宋体" w:hAnsi="宋体" w:cs="宋体"/>
                <w:color w:val="auto"/>
                <w:sz w:val="24"/>
                <w:highlight w:val="none"/>
              </w:rPr>
            </w:pPr>
          </w:p>
        </w:tc>
        <w:tc>
          <w:tcPr>
            <w:tcW w:w="720" w:type="dxa"/>
            <w:vAlign w:val="center"/>
          </w:tcPr>
          <w:p w14:paraId="4350C381">
            <w:pPr>
              <w:spacing w:line="360" w:lineRule="auto"/>
              <w:rPr>
                <w:rFonts w:ascii="宋体" w:hAnsi="宋体" w:cs="宋体"/>
                <w:color w:val="auto"/>
                <w:sz w:val="24"/>
                <w:highlight w:val="none"/>
              </w:rPr>
            </w:pPr>
          </w:p>
        </w:tc>
      </w:tr>
    </w:tbl>
    <w:p w14:paraId="1E1FB881">
      <w:pPr>
        <w:pStyle w:val="253"/>
        <w:ind w:left="0" w:leftChars="-67" w:hanging="141" w:hangingChars="59"/>
        <w:rPr>
          <w:rFonts w:ascii="宋体" w:hAnsi="宋体" w:cs="宋体"/>
          <w:color w:val="auto"/>
          <w:highlight w:val="none"/>
        </w:rPr>
      </w:pPr>
      <w:r>
        <w:rPr>
          <w:rFonts w:hint="eastAsia" w:ascii="宋体" w:hAnsi="宋体" w:cs="宋体"/>
          <w:color w:val="auto"/>
          <w:szCs w:val="20"/>
          <w:highlight w:val="none"/>
        </w:rPr>
        <w:t>注：</w:t>
      </w:r>
      <w:r>
        <w:rPr>
          <w:rFonts w:hint="eastAsia" w:ascii="宋体" w:hAnsi="宋体" w:cs="宋体"/>
          <w:color w:val="auto"/>
          <w:highlight w:val="none"/>
        </w:rPr>
        <w:t>（须提供合同复印件加盖公章，参考第四章评分办法及评分标准）。</w:t>
      </w:r>
    </w:p>
    <w:p w14:paraId="256E6935">
      <w:pPr>
        <w:spacing w:line="360" w:lineRule="auto"/>
        <w:rPr>
          <w:rFonts w:ascii="宋体" w:hAnsi="宋体" w:cs="宋体"/>
          <w:b/>
          <w:color w:val="auto"/>
          <w:sz w:val="24"/>
          <w:highlight w:val="none"/>
        </w:rPr>
      </w:pPr>
    </w:p>
    <w:p w14:paraId="69A771C0">
      <w:pPr>
        <w:spacing w:line="360" w:lineRule="auto"/>
        <w:outlineLvl w:val="2"/>
        <w:rPr>
          <w:rFonts w:ascii="宋体" w:hAnsi="宋体" w:cs="宋体"/>
          <w:color w:val="auto"/>
          <w:sz w:val="24"/>
          <w:szCs w:val="20"/>
          <w:highlight w:val="none"/>
        </w:rPr>
      </w:pPr>
      <w:r>
        <w:rPr>
          <w:rFonts w:hint="eastAsia" w:ascii="宋体" w:hAnsi="宋体" w:cs="宋体"/>
          <w:color w:val="auto"/>
          <w:sz w:val="24"/>
          <w:szCs w:val="20"/>
          <w:highlight w:val="none"/>
        </w:rPr>
        <w:br w:type="page"/>
      </w:r>
      <w:r>
        <w:rPr>
          <w:rFonts w:hint="eastAsia" w:ascii="宋体" w:hAnsi="宋体" w:cs="宋体"/>
          <w:color w:val="auto"/>
          <w:sz w:val="24"/>
          <w:szCs w:val="20"/>
          <w:highlight w:val="none"/>
        </w:rPr>
        <w:t>9  技术方案</w:t>
      </w:r>
    </w:p>
    <w:p w14:paraId="1C426E64">
      <w:pPr>
        <w:pStyle w:val="256"/>
        <w:ind w:firstLine="0" w:firstLineChars="0"/>
        <w:jc w:val="left"/>
        <w:rPr>
          <w:rFonts w:ascii="宋体" w:hAnsi="宋体"/>
          <w:color w:val="auto"/>
          <w:highlight w:val="none"/>
        </w:rPr>
        <w:sectPr>
          <w:pgSz w:w="11907" w:h="16840"/>
          <w:pgMar w:top="1418" w:right="1134" w:bottom="1418" w:left="1701" w:header="851" w:footer="851" w:gutter="0"/>
          <w:cols w:space="720" w:num="1"/>
          <w:docGrid w:linePitch="462" w:charSpace="0"/>
        </w:sectPr>
      </w:pPr>
      <w:bookmarkStart w:id="942" w:name="_Toc31453"/>
      <w:r>
        <w:rPr>
          <w:rFonts w:hint="eastAsia" w:ascii="宋体" w:hAnsi="宋体"/>
          <w:color w:val="auto"/>
          <w:highlight w:val="none"/>
        </w:rPr>
        <w:t>（投标人自行提供）</w:t>
      </w:r>
      <w:bookmarkEnd w:id="942"/>
    </w:p>
    <w:p w14:paraId="4715217A">
      <w:pPr>
        <w:spacing w:line="360" w:lineRule="auto"/>
        <w:outlineLvl w:val="2"/>
        <w:rPr>
          <w:rFonts w:ascii="宋体" w:hAnsi="宋体" w:cs="宋体"/>
          <w:color w:val="auto"/>
          <w:sz w:val="24"/>
          <w:szCs w:val="20"/>
          <w:highlight w:val="none"/>
        </w:rPr>
      </w:pPr>
      <w:r>
        <w:rPr>
          <w:rFonts w:hint="eastAsia" w:ascii="宋体" w:hAnsi="宋体" w:cs="宋体"/>
          <w:color w:val="auto"/>
          <w:sz w:val="24"/>
          <w:szCs w:val="20"/>
          <w:highlight w:val="none"/>
        </w:rPr>
        <w:t>10 招标文件要求提供或投标人认为应附的其他材料</w:t>
      </w:r>
    </w:p>
    <w:p w14:paraId="2F2BF38A">
      <w:pPr>
        <w:widowControl/>
        <w:jc w:val="left"/>
        <w:rPr>
          <w:rFonts w:ascii="宋体" w:hAnsi="宋体" w:cs="宋体"/>
          <w:b/>
          <w:color w:val="auto"/>
          <w:sz w:val="36"/>
          <w:szCs w:val="36"/>
          <w:highlight w:val="none"/>
        </w:rPr>
      </w:pPr>
    </w:p>
    <w:p w14:paraId="5A492559">
      <w:pPr>
        <w:widowControl/>
        <w:jc w:val="left"/>
        <w:rPr>
          <w:rFonts w:ascii="宋体" w:hAnsi="宋体" w:cs="宋体"/>
          <w:b/>
          <w:color w:val="auto"/>
          <w:sz w:val="36"/>
          <w:szCs w:val="36"/>
          <w:highlight w:val="none"/>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方正仿宋_GB2312">
    <w:altName w:val="仿宋"/>
    <w:panose1 w:val="02000000000000000000"/>
    <w:charset w:val="86"/>
    <w:family w:val="auto"/>
    <w:pitch w:val="default"/>
    <w:sig w:usb0="00000000" w:usb1="00000000" w:usb2="00000012"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97F9D">
    <w:pPr>
      <w:pStyle w:val="30"/>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31</w:t>
    </w:r>
    <w:r>
      <w:rPr>
        <w:rFonts w:ascii="Times New Roma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9C60B">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E4693">
    <w:pPr>
      <w:pStyle w:val="30"/>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724B38DA">
    <w:pPr>
      <w:pStyle w:val="30"/>
      <w:ind w:right="360"/>
    </w:pPr>
  </w:p>
  <w:p w14:paraId="6EB19611"/>
  <w:p w14:paraId="58104F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63A05">
    <w:pPr>
      <w:pStyle w:val="30"/>
    </w:pPr>
  </w:p>
  <w:p w14:paraId="56675ACB"/>
  <w:p w14:paraId="7B040F5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911E6">
    <w:pPr>
      <w:pStyle w:val="30"/>
      <w:framePr w:wrap="around" w:vAnchor="text" w:hAnchor="margin" w:xAlign="right" w:y="1"/>
      <w:rPr>
        <w:rStyle w:val="50"/>
      </w:rPr>
    </w:pPr>
    <w:r>
      <w:fldChar w:fldCharType="begin"/>
    </w:r>
    <w:r>
      <w:rPr>
        <w:rStyle w:val="50"/>
      </w:rPr>
      <w:instrText xml:space="preserve">PAGE  </w:instrText>
    </w:r>
    <w:r>
      <w:fldChar w:fldCharType="separate"/>
    </w:r>
    <w:r>
      <w:rPr>
        <w:rStyle w:val="50"/>
      </w:rPr>
      <w:t>2</w:t>
    </w:r>
    <w:r>
      <w:fldChar w:fldCharType="end"/>
    </w:r>
  </w:p>
  <w:p w14:paraId="1B3FD446">
    <w:pPr>
      <w:pStyle w:val="3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048C2">
    <w:pPr>
      <w:pStyle w:val="30"/>
      <w:framePr w:wrap="around" w:vAnchor="text" w:hAnchor="margin" w:xAlign="right" w:y="1"/>
      <w:rPr>
        <w:rStyle w:val="50"/>
      </w:rPr>
    </w:pPr>
    <w:r>
      <w:fldChar w:fldCharType="begin"/>
    </w:r>
    <w:r>
      <w:rPr>
        <w:rStyle w:val="50"/>
      </w:rPr>
      <w:instrText xml:space="preserve">PAGE  </w:instrText>
    </w:r>
    <w:r>
      <w:fldChar w:fldCharType="separate"/>
    </w:r>
    <w:r>
      <w:rPr>
        <w:rStyle w:val="50"/>
      </w:rPr>
      <w:t>3040</w:t>
    </w:r>
    <w:r>
      <w:fldChar w:fldCharType="end"/>
    </w:r>
  </w:p>
  <w:p w14:paraId="3DD171F0">
    <w:pPr>
      <w:pStyle w:val="3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013F3">
    <w:pPr>
      <w:pStyle w:val="30"/>
      <w:ind w:right="360" w:firstLine="3960" w:firstLineChars="22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ffectLst/>
                    </wps:spPr>
                    <wps:txbx>
                      <w:txbxContent>
                        <w:p w14:paraId="5C192CF8">
                          <w:pPr>
                            <w:pStyle w:val="30"/>
                            <w:rPr>
                              <w:rStyle w:val="50"/>
                            </w:rPr>
                          </w:pPr>
                          <w:r>
                            <w:fldChar w:fldCharType="begin"/>
                          </w:r>
                          <w:r>
                            <w:rPr>
                              <w:rStyle w:val="50"/>
                            </w:rPr>
                            <w:instrText xml:space="preserve">PAGE  </w:instrText>
                          </w:r>
                          <w:r>
                            <w:fldChar w:fldCharType="separate"/>
                          </w:r>
                          <w:r>
                            <w:rPr>
                              <w:rStyle w:val="50"/>
                            </w:rPr>
                            <w:t>40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7FI4NAAAAADAQAADwAAAAAAAAABACAAAAAiAAAA&#10;ZHJzL2Rvd25yZXYueG1sUEsBAhQAFAAAAAgAh07iQGZlTJwPAgAAEAQAAA4AAAAAAAAAAQAgAAAA&#10;HwEAAGRycy9lMm9Eb2MueG1sUEsFBgAAAAAGAAYAWQEAAKAFAAAAAA==&#10;">
              <v:fill on="f" focussize="0,0"/>
              <v:stroke on="f"/>
              <v:imagedata o:title=""/>
              <o:lock v:ext="edit" aspectratio="f"/>
              <v:textbox inset="0mm,0mm,0mm,0mm" style="mso-fit-shape-to-text:t;">
                <w:txbxContent>
                  <w:p w14:paraId="5C192CF8">
                    <w:pPr>
                      <w:pStyle w:val="30"/>
                      <w:rPr>
                        <w:rStyle w:val="50"/>
                      </w:rPr>
                    </w:pPr>
                    <w:r>
                      <w:fldChar w:fldCharType="begin"/>
                    </w:r>
                    <w:r>
                      <w:rPr>
                        <w:rStyle w:val="50"/>
                      </w:rPr>
                      <w:instrText xml:space="preserve">PAGE  </w:instrText>
                    </w:r>
                    <w:r>
                      <w:fldChar w:fldCharType="separate"/>
                    </w:r>
                    <w:r>
                      <w:rPr>
                        <w:rStyle w:val="50"/>
                      </w:rP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18DCC">
    <w:pPr>
      <w:pStyle w:val="30"/>
      <w:framePr w:wrap="around" w:vAnchor="text" w:hAnchor="margin" w:xAlign="right" w:y="1"/>
      <w:rPr>
        <w:rStyle w:val="50"/>
      </w:rPr>
    </w:pPr>
    <w:r>
      <w:fldChar w:fldCharType="begin"/>
    </w:r>
    <w:r>
      <w:rPr>
        <w:rStyle w:val="50"/>
      </w:rPr>
      <w:instrText xml:space="preserve">PAGE  </w:instrText>
    </w:r>
    <w:r>
      <w:fldChar w:fldCharType="separate"/>
    </w:r>
    <w:r>
      <w:rPr>
        <w:rStyle w:val="50"/>
      </w:rPr>
      <w:t>84</w:t>
    </w:r>
    <w:r>
      <w:fldChar w:fldCharType="end"/>
    </w:r>
  </w:p>
  <w:p w14:paraId="24814561">
    <w:pPr>
      <w:pStyle w:val="30"/>
      <w:ind w:right="360"/>
    </w:pPr>
  </w:p>
  <w:p w14:paraId="051F7DEB"/>
  <w:p w14:paraId="4D52227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01B5E">
    <w:pPr>
      <w:pStyle w:val="30"/>
    </w:pPr>
  </w:p>
  <w:p w14:paraId="62B9E56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95698">
    <w:pPr>
      <w:pStyle w:val="30"/>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6AB45685">
    <w:pPr>
      <w:pStyle w:val="30"/>
      <w:ind w:right="360"/>
    </w:pPr>
  </w:p>
  <w:p w14:paraId="78912B8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A1D90">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D175A">
    <w:pPr>
      <w:pStyle w:val="31"/>
    </w:pPr>
  </w:p>
  <w:p w14:paraId="6F6F9FDE"/>
  <w:p w14:paraId="33D28D8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C7184">
    <w:pPr>
      <w:pStyle w:val="31"/>
    </w:pPr>
  </w:p>
  <w:p w14:paraId="2CC2920A"/>
  <w:p w14:paraId="53B0E0F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852B0">
    <w:pPr>
      <w:pStyle w:val="3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DCB71">
    <w:pPr>
      <w:pStyle w:val="3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F403B">
    <w:pPr>
      <w:pStyle w:val="31"/>
    </w:pPr>
  </w:p>
  <w:p w14:paraId="5759F601"/>
  <w:p w14:paraId="71D83F4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AB164">
    <w:pPr>
      <w:pStyle w:val="31"/>
    </w:pPr>
  </w:p>
  <w:p w14:paraId="2D783F1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7E49E">
    <w:pPr>
      <w:pStyle w:val="31"/>
    </w:pPr>
  </w:p>
  <w:p w14:paraId="0252511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5EC8B">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9D117"/>
    <w:multiLevelType w:val="singleLevel"/>
    <w:tmpl w:val="9149D117"/>
    <w:lvl w:ilvl="0" w:tentative="0">
      <w:start w:val="5"/>
      <w:numFmt w:val="chineseCounting"/>
      <w:suff w:val="space"/>
      <w:lvlText w:val="第%1章"/>
      <w:lvlJc w:val="left"/>
      <w:rPr>
        <w:rFonts w:hint="eastAsia"/>
      </w:rPr>
    </w:lvl>
  </w:abstractNum>
  <w:abstractNum w:abstractNumId="1">
    <w:nsid w:val="00000001"/>
    <w:multiLevelType w:val="singleLevel"/>
    <w:tmpl w:val="00000001"/>
    <w:lvl w:ilvl="0" w:tentative="0">
      <w:start w:val="1"/>
      <w:numFmt w:val="bullet"/>
      <w:pStyle w:val="18"/>
      <w:lvlText w:val=""/>
      <w:lvlJc w:val="left"/>
      <w:pPr>
        <w:tabs>
          <w:tab w:val="left" w:pos="1200"/>
        </w:tabs>
        <w:ind w:left="1200" w:hanging="360"/>
      </w:pPr>
      <w:rPr>
        <w:rFonts w:hint="default" w:ascii="Wingdings" w:hAnsi="Wingdings"/>
      </w:r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11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91"/>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62"/>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11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11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1">
    <w:nsid w:val="0E230849"/>
    <w:multiLevelType w:val="multilevel"/>
    <w:tmpl w:val="0E230849"/>
    <w:lvl w:ilvl="0" w:tentative="0">
      <w:start w:val="1"/>
      <w:numFmt w:val="decimal"/>
      <w:pStyle w:val="216"/>
      <w:lvlText w:val="%1"/>
      <w:lvlJc w:val="left"/>
      <w:pPr>
        <w:ind w:left="680" w:hanging="680"/>
      </w:pPr>
      <w:rPr>
        <w:rFonts w:hint="eastAsia" w:ascii="宋体" w:hAnsi="宋体" w:eastAsia="宋体"/>
      </w:rPr>
    </w:lvl>
    <w:lvl w:ilvl="1" w:tentative="0">
      <w:start w:val="1"/>
      <w:numFmt w:val="decimal"/>
      <w:pStyle w:val="217"/>
      <w:lvlText w:val="%1.%2"/>
      <w:lvlJc w:val="left"/>
      <w:pPr>
        <w:ind w:left="851" w:hanging="851"/>
      </w:pPr>
      <w:rPr>
        <w:rFonts w:hint="eastAsia" w:ascii="宋体" w:hAnsi="宋体" w:eastAsia="宋体"/>
        <w:color w:val="auto"/>
      </w:rPr>
    </w:lvl>
    <w:lvl w:ilvl="2" w:tentative="0">
      <w:start w:val="1"/>
      <w:numFmt w:val="decimal"/>
      <w:pStyle w:val="21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58E4A1A9"/>
    <w:multiLevelType w:val="singleLevel"/>
    <w:tmpl w:val="58E4A1A9"/>
    <w:lvl w:ilvl="0" w:tentative="0">
      <w:start w:val="3"/>
      <w:numFmt w:val="decimal"/>
      <w:suff w:val="nothing"/>
      <w:lvlText w:val="%1、"/>
      <w:lvlJc w:val="left"/>
    </w:lvl>
  </w:abstractNum>
  <w:num w:numId="1">
    <w:abstractNumId w:val="1"/>
  </w:num>
  <w:num w:numId="2">
    <w:abstractNumId w:val="6"/>
  </w:num>
  <w:num w:numId="3">
    <w:abstractNumId w:val="9"/>
  </w:num>
  <w:num w:numId="4">
    <w:abstractNumId w:val="3"/>
  </w:num>
  <w:num w:numId="5">
    <w:abstractNumId w:val="7"/>
  </w:num>
  <w:num w:numId="6">
    <w:abstractNumId w:val="5"/>
  </w:num>
  <w:num w:numId="7">
    <w:abstractNumId w:val="4"/>
  </w:num>
  <w:num w:numId="8">
    <w:abstractNumId w:val="11"/>
  </w:num>
  <w:num w:numId="9">
    <w:abstractNumId w:val="8"/>
  </w:num>
  <w:num w:numId="10">
    <w:abstractNumId w:val="2"/>
  </w:num>
  <w:num w:numId="11">
    <w:abstractNumId w:val="14"/>
  </w:num>
  <w:num w:numId="12">
    <w:abstractNumId w:val="12"/>
  </w:num>
  <w:num w:numId="13">
    <w:abstractNumId w:val="0"/>
  </w:num>
  <w:num w:numId="14">
    <w:abstractNumId w:val="15"/>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MDI3NGRkZjZhYmMyOTA0ZDM2MzIwOTcwNzUyZGI2MTUifQ=="/>
    <w:docVar w:name="VTCASE" w:val="4"/>
    <w:docVar w:name="VTCommandPending" w:val="NONE"/>
  </w:docVars>
  <w:rsids>
    <w:rsidRoot w:val="00172A27"/>
    <w:rsid w:val="00000277"/>
    <w:rsid w:val="000002C4"/>
    <w:rsid w:val="00000368"/>
    <w:rsid w:val="00000432"/>
    <w:rsid w:val="00000448"/>
    <w:rsid w:val="0000066E"/>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49A"/>
    <w:rsid w:val="00005905"/>
    <w:rsid w:val="00005AF1"/>
    <w:rsid w:val="00005DF0"/>
    <w:rsid w:val="00005EC8"/>
    <w:rsid w:val="000060A7"/>
    <w:rsid w:val="000064B2"/>
    <w:rsid w:val="00006923"/>
    <w:rsid w:val="00006BD5"/>
    <w:rsid w:val="00006CD1"/>
    <w:rsid w:val="00006CD3"/>
    <w:rsid w:val="000073B1"/>
    <w:rsid w:val="000073E8"/>
    <w:rsid w:val="0000744C"/>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3E1"/>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6FFB"/>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17A"/>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289"/>
    <w:rsid w:val="00025543"/>
    <w:rsid w:val="00025BF3"/>
    <w:rsid w:val="00025DA9"/>
    <w:rsid w:val="00026353"/>
    <w:rsid w:val="00026693"/>
    <w:rsid w:val="000267C8"/>
    <w:rsid w:val="00026845"/>
    <w:rsid w:val="000268C4"/>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1BF"/>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3F"/>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668"/>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E83"/>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6F"/>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442"/>
    <w:rsid w:val="0005763B"/>
    <w:rsid w:val="00060048"/>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895"/>
    <w:rsid w:val="00061DD1"/>
    <w:rsid w:val="00061EF5"/>
    <w:rsid w:val="00061F68"/>
    <w:rsid w:val="000620CE"/>
    <w:rsid w:val="0006234D"/>
    <w:rsid w:val="00062474"/>
    <w:rsid w:val="0006280B"/>
    <w:rsid w:val="00062854"/>
    <w:rsid w:val="000630BA"/>
    <w:rsid w:val="0006314D"/>
    <w:rsid w:val="0006331E"/>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016"/>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526"/>
    <w:rsid w:val="000879EF"/>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C61"/>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EE"/>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97DDE"/>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84"/>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945"/>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89C"/>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14"/>
    <w:rsid w:val="000B77C6"/>
    <w:rsid w:val="000B785C"/>
    <w:rsid w:val="000B7E8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010"/>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5E52"/>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25E"/>
    <w:rsid w:val="000E5339"/>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0EDD"/>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1A7"/>
    <w:rsid w:val="000F42A6"/>
    <w:rsid w:val="000F4378"/>
    <w:rsid w:val="000F43EF"/>
    <w:rsid w:val="000F44ED"/>
    <w:rsid w:val="000F4605"/>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07C"/>
    <w:rsid w:val="0011139D"/>
    <w:rsid w:val="0011168C"/>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BE"/>
    <w:rsid w:val="001137C8"/>
    <w:rsid w:val="001137CA"/>
    <w:rsid w:val="00113A8F"/>
    <w:rsid w:val="00113C06"/>
    <w:rsid w:val="001140D4"/>
    <w:rsid w:val="001141CF"/>
    <w:rsid w:val="00114447"/>
    <w:rsid w:val="001146A0"/>
    <w:rsid w:val="0011490F"/>
    <w:rsid w:val="00114978"/>
    <w:rsid w:val="00114A55"/>
    <w:rsid w:val="00114A83"/>
    <w:rsid w:val="00114B72"/>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963"/>
    <w:rsid w:val="00117A2B"/>
    <w:rsid w:val="00117BC8"/>
    <w:rsid w:val="00117C45"/>
    <w:rsid w:val="00117C62"/>
    <w:rsid w:val="00117CA0"/>
    <w:rsid w:val="00117D44"/>
    <w:rsid w:val="00117E59"/>
    <w:rsid w:val="00117E5C"/>
    <w:rsid w:val="00120019"/>
    <w:rsid w:val="001201FE"/>
    <w:rsid w:val="00120593"/>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45D"/>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DF"/>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40B"/>
    <w:rsid w:val="0013758B"/>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37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03E"/>
    <w:rsid w:val="00151323"/>
    <w:rsid w:val="0015147A"/>
    <w:rsid w:val="001514AF"/>
    <w:rsid w:val="0015152B"/>
    <w:rsid w:val="001516F0"/>
    <w:rsid w:val="00151747"/>
    <w:rsid w:val="001518CA"/>
    <w:rsid w:val="001519E7"/>
    <w:rsid w:val="00151D76"/>
    <w:rsid w:val="00151DC4"/>
    <w:rsid w:val="00151E6E"/>
    <w:rsid w:val="00151E81"/>
    <w:rsid w:val="00152016"/>
    <w:rsid w:val="001520F6"/>
    <w:rsid w:val="00152108"/>
    <w:rsid w:val="001523EE"/>
    <w:rsid w:val="00152731"/>
    <w:rsid w:val="00152850"/>
    <w:rsid w:val="0015290E"/>
    <w:rsid w:val="00152991"/>
    <w:rsid w:val="00152ABC"/>
    <w:rsid w:val="00152D55"/>
    <w:rsid w:val="00152FE4"/>
    <w:rsid w:val="001532A4"/>
    <w:rsid w:val="001537A4"/>
    <w:rsid w:val="001537D0"/>
    <w:rsid w:val="00153B7D"/>
    <w:rsid w:val="00153BC8"/>
    <w:rsid w:val="00153DEC"/>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88"/>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7CF"/>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7FD"/>
    <w:rsid w:val="0016784B"/>
    <w:rsid w:val="00167AB6"/>
    <w:rsid w:val="00167EBA"/>
    <w:rsid w:val="00167FB2"/>
    <w:rsid w:val="00167FD9"/>
    <w:rsid w:val="001700A5"/>
    <w:rsid w:val="001703B4"/>
    <w:rsid w:val="001705E4"/>
    <w:rsid w:val="00170D43"/>
    <w:rsid w:val="00170D89"/>
    <w:rsid w:val="00170FF3"/>
    <w:rsid w:val="001712A1"/>
    <w:rsid w:val="001712C4"/>
    <w:rsid w:val="00171325"/>
    <w:rsid w:val="00171451"/>
    <w:rsid w:val="0017145E"/>
    <w:rsid w:val="0017184E"/>
    <w:rsid w:val="001719E1"/>
    <w:rsid w:val="00171BAD"/>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767"/>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543"/>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1F09"/>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2F1"/>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CD3"/>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EA7"/>
    <w:rsid w:val="001A52A6"/>
    <w:rsid w:val="001A5496"/>
    <w:rsid w:val="001A5595"/>
    <w:rsid w:val="001A55F7"/>
    <w:rsid w:val="001A570C"/>
    <w:rsid w:val="001A57B9"/>
    <w:rsid w:val="001A5FC1"/>
    <w:rsid w:val="001A5FF0"/>
    <w:rsid w:val="001A62AF"/>
    <w:rsid w:val="001A63B1"/>
    <w:rsid w:val="001A663B"/>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0D4"/>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6FF7"/>
    <w:rsid w:val="001B7015"/>
    <w:rsid w:val="001B702C"/>
    <w:rsid w:val="001B741C"/>
    <w:rsid w:val="001B76E6"/>
    <w:rsid w:val="001B7D86"/>
    <w:rsid w:val="001B7DF0"/>
    <w:rsid w:val="001B7E75"/>
    <w:rsid w:val="001B7E7E"/>
    <w:rsid w:val="001C00DF"/>
    <w:rsid w:val="001C010E"/>
    <w:rsid w:val="001C0191"/>
    <w:rsid w:val="001C029F"/>
    <w:rsid w:val="001C04CF"/>
    <w:rsid w:val="001C0850"/>
    <w:rsid w:val="001C0AB3"/>
    <w:rsid w:val="001C1461"/>
    <w:rsid w:val="001C167B"/>
    <w:rsid w:val="001C172A"/>
    <w:rsid w:val="001C1A12"/>
    <w:rsid w:val="001C1AE9"/>
    <w:rsid w:val="001C1B8B"/>
    <w:rsid w:val="001C1E53"/>
    <w:rsid w:val="001C2145"/>
    <w:rsid w:val="001C255E"/>
    <w:rsid w:val="001C2695"/>
    <w:rsid w:val="001C29BE"/>
    <w:rsid w:val="001C2AEF"/>
    <w:rsid w:val="001C2DCD"/>
    <w:rsid w:val="001C2E41"/>
    <w:rsid w:val="001C2F65"/>
    <w:rsid w:val="001C326E"/>
    <w:rsid w:val="001C33D5"/>
    <w:rsid w:val="001C34AE"/>
    <w:rsid w:val="001C34EC"/>
    <w:rsid w:val="001C3701"/>
    <w:rsid w:val="001C38DF"/>
    <w:rsid w:val="001C3982"/>
    <w:rsid w:val="001C4429"/>
    <w:rsid w:val="001C4705"/>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5E82"/>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03"/>
    <w:rsid w:val="001D4345"/>
    <w:rsid w:val="001D45D0"/>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736"/>
    <w:rsid w:val="001D7969"/>
    <w:rsid w:val="001D7B11"/>
    <w:rsid w:val="001D7B71"/>
    <w:rsid w:val="001D7C04"/>
    <w:rsid w:val="001D7D1B"/>
    <w:rsid w:val="001D7EBE"/>
    <w:rsid w:val="001E0074"/>
    <w:rsid w:val="001E01D0"/>
    <w:rsid w:val="001E0327"/>
    <w:rsid w:val="001E0334"/>
    <w:rsid w:val="001E0621"/>
    <w:rsid w:val="001E0666"/>
    <w:rsid w:val="001E07B9"/>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176"/>
    <w:rsid w:val="001E226B"/>
    <w:rsid w:val="001E2280"/>
    <w:rsid w:val="001E280C"/>
    <w:rsid w:val="001E2B67"/>
    <w:rsid w:val="001E2C20"/>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0C3"/>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7B8"/>
    <w:rsid w:val="001F4C73"/>
    <w:rsid w:val="001F5191"/>
    <w:rsid w:val="001F5251"/>
    <w:rsid w:val="001F52D4"/>
    <w:rsid w:val="001F5318"/>
    <w:rsid w:val="001F536F"/>
    <w:rsid w:val="001F5482"/>
    <w:rsid w:val="001F5484"/>
    <w:rsid w:val="001F5711"/>
    <w:rsid w:val="001F584C"/>
    <w:rsid w:val="001F5D74"/>
    <w:rsid w:val="001F6084"/>
    <w:rsid w:val="001F61FB"/>
    <w:rsid w:val="001F6533"/>
    <w:rsid w:val="001F68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2D"/>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870"/>
    <w:rsid w:val="002239ED"/>
    <w:rsid w:val="00223B55"/>
    <w:rsid w:val="00223C8D"/>
    <w:rsid w:val="00223D02"/>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27EED"/>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3D4"/>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3E3A"/>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0FBE"/>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4B3"/>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9E7"/>
    <w:rsid w:val="00244CC6"/>
    <w:rsid w:val="00244D86"/>
    <w:rsid w:val="00244E3D"/>
    <w:rsid w:val="00245223"/>
    <w:rsid w:val="0024539F"/>
    <w:rsid w:val="002453DA"/>
    <w:rsid w:val="002454AE"/>
    <w:rsid w:val="00245564"/>
    <w:rsid w:val="002455C7"/>
    <w:rsid w:val="00245972"/>
    <w:rsid w:val="00245994"/>
    <w:rsid w:val="00245BAA"/>
    <w:rsid w:val="00245BE4"/>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5"/>
    <w:rsid w:val="0025374F"/>
    <w:rsid w:val="00253AA7"/>
    <w:rsid w:val="00253CA5"/>
    <w:rsid w:val="00253F9B"/>
    <w:rsid w:val="002540B5"/>
    <w:rsid w:val="002543A7"/>
    <w:rsid w:val="00254481"/>
    <w:rsid w:val="002545DC"/>
    <w:rsid w:val="00254AEF"/>
    <w:rsid w:val="00254D57"/>
    <w:rsid w:val="00254DFD"/>
    <w:rsid w:val="00254E22"/>
    <w:rsid w:val="00254EFD"/>
    <w:rsid w:val="002553A1"/>
    <w:rsid w:val="00255507"/>
    <w:rsid w:val="002557F8"/>
    <w:rsid w:val="002558CE"/>
    <w:rsid w:val="00255909"/>
    <w:rsid w:val="002559A9"/>
    <w:rsid w:val="00255A7D"/>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0A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647"/>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2B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15"/>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3"/>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80"/>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5DB8"/>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0FA"/>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DAE"/>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0E9"/>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BB7"/>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6"/>
    <w:rsid w:val="002D03B9"/>
    <w:rsid w:val="002D06D8"/>
    <w:rsid w:val="002D08BE"/>
    <w:rsid w:val="002D0993"/>
    <w:rsid w:val="002D09CD"/>
    <w:rsid w:val="002D0CA6"/>
    <w:rsid w:val="002D0D29"/>
    <w:rsid w:val="002D0EB2"/>
    <w:rsid w:val="002D1025"/>
    <w:rsid w:val="002D11D6"/>
    <w:rsid w:val="002D11EA"/>
    <w:rsid w:val="002D1319"/>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253"/>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084"/>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4CD"/>
    <w:rsid w:val="002F350C"/>
    <w:rsid w:val="002F35E7"/>
    <w:rsid w:val="002F3602"/>
    <w:rsid w:val="002F36E9"/>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6EE"/>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066"/>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18"/>
    <w:rsid w:val="00301FBC"/>
    <w:rsid w:val="0030220E"/>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108"/>
    <w:rsid w:val="003052AB"/>
    <w:rsid w:val="003055EB"/>
    <w:rsid w:val="00305BC8"/>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412"/>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9A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E07"/>
    <w:rsid w:val="00316F85"/>
    <w:rsid w:val="00317263"/>
    <w:rsid w:val="00317339"/>
    <w:rsid w:val="00317343"/>
    <w:rsid w:val="0031737A"/>
    <w:rsid w:val="00317642"/>
    <w:rsid w:val="00320187"/>
    <w:rsid w:val="00320305"/>
    <w:rsid w:val="003203EF"/>
    <w:rsid w:val="00320644"/>
    <w:rsid w:val="00320658"/>
    <w:rsid w:val="003207F3"/>
    <w:rsid w:val="00320E72"/>
    <w:rsid w:val="00321024"/>
    <w:rsid w:val="003213AC"/>
    <w:rsid w:val="00321645"/>
    <w:rsid w:val="00321898"/>
    <w:rsid w:val="003219FA"/>
    <w:rsid w:val="00321F0D"/>
    <w:rsid w:val="0032215D"/>
    <w:rsid w:val="00322400"/>
    <w:rsid w:val="00322572"/>
    <w:rsid w:val="0032266C"/>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209"/>
    <w:rsid w:val="00325398"/>
    <w:rsid w:val="00325455"/>
    <w:rsid w:val="0032552F"/>
    <w:rsid w:val="00325751"/>
    <w:rsid w:val="00325A09"/>
    <w:rsid w:val="00325E88"/>
    <w:rsid w:val="00325FA6"/>
    <w:rsid w:val="0032601E"/>
    <w:rsid w:val="00326139"/>
    <w:rsid w:val="003264D5"/>
    <w:rsid w:val="003265F3"/>
    <w:rsid w:val="0032669D"/>
    <w:rsid w:val="00326A80"/>
    <w:rsid w:val="00326B2E"/>
    <w:rsid w:val="00326EFD"/>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0F"/>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4EA"/>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5BF"/>
    <w:rsid w:val="0034581F"/>
    <w:rsid w:val="00345A10"/>
    <w:rsid w:val="00345E05"/>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6FE"/>
    <w:rsid w:val="003507A7"/>
    <w:rsid w:val="00350889"/>
    <w:rsid w:val="003508E5"/>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598"/>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7D"/>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0D9A"/>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809"/>
    <w:rsid w:val="0037499B"/>
    <w:rsid w:val="003749F9"/>
    <w:rsid w:val="00374B83"/>
    <w:rsid w:val="00374C20"/>
    <w:rsid w:val="00374E8B"/>
    <w:rsid w:val="00375190"/>
    <w:rsid w:val="0037532B"/>
    <w:rsid w:val="00375399"/>
    <w:rsid w:val="003753DE"/>
    <w:rsid w:val="0037567C"/>
    <w:rsid w:val="003757F5"/>
    <w:rsid w:val="0037584F"/>
    <w:rsid w:val="00375AD0"/>
    <w:rsid w:val="00375BEE"/>
    <w:rsid w:val="00375C9D"/>
    <w:rsid w:val="00375F03"/>
    <w:rsid w:val="003760EA"/>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A71"/>
    <w:rsid w:val="00380CB6"/>
    <w:rsid w:val="00380D14"/>
    <w:rsid w:val="00380D52"/>
    <w:rsid w:val="0038130C"/>
    <w:rsid w:val="003815AB"/>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9F"/>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94C"/>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1A4"/>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1DD"/>
    <w:rsid w:val="003A431B"/>
    <w:rsid w:val="003A4534"/>
    <w:rsid w:val="003A455D"/>
    <w:rsid w:val="003A46B5"/>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C5F"/>
    <w:rsid w:val="003A7D05"/>
    <w:rsid w:val="003A7D64"/>
    <w:rsid w:val="003B00AE"/>
    <w:rsid w:val="003B0306"/>
    <w:rsid w:val="003B07AC"/>
    <w:rsid w:val="003B08E8"/>
    <w:rsid w:val="003B09EC"/>
    <w:rsid w:val="003B0B19"/>
    <w:rsid w:val="003B0CA6"/>
    <w:rsid w:val="003B0D96"/>
    <w:rsid w:val="003B0D9A"/>
    <w:rsid w:val="003B0E65"/>
    <w:rsid w:val="003B0FFF"/>
    <w:rsid w:val="003B1043"/>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7D9"/>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8FC"/>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70"/>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3F8"/>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1ABA"/>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989"/>
    <w:rsid w:val="00412CAE"/>
    <w:rsid w:val="0041333F"/>
    <w:rsid w:val="00413352"/>
    <w:rsid w:val="0041350D"/>
    <w:rsid w:val="00413546"/>
    <w:rsid w:val="00413562"/>
    <w:rsid w:val="00413AD8"/>
    <w:rsid w:val="00413FF3"/>
    <w:rsid w:val="0041402C"/>
    <w:rsid w:val="004141B9"/>
    <w:rsid w:val="00414511"/>
    <w:rsid w:val="00414A6F"/>
    <w:rsid w:val="00414AEE"/>
    <w:rsid w:val="00414C26"/>
    <w:rsid w:val="00414F42"/>
    <w:rsid w:val="00415122"/>
    <w:rsid w:val="004153BF"/>
    <w:rsid w:val="0041569A"/>
    <w:rsid w:val="004159FC"/>
    <w:rsid w:val="00415A6D"/>
    <w:rsid w:val="00415A87"/>
    <w:rsid w:val="0041661F"/>
    <w:rsid w:val="00416640"/>
    <w:rsid w:val="00416669"/>
    <w:rsid w:val="004167EC"/>
    <w:rsid w:val="004167F8"/>
    <w:rsid w:val="00416852"/>
    <w:rsid w:val="0041689B"/>
    <w:rsid w:val="00416AE9"/>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5A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5C"/>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58"/>
    <w:rsid w:val="00446497"/>
    <w:rsid w:val="004464FA"/>
    <w:rsid w:val="004466E4"/>
    <w:rsid w:val="00446AB1"/>
    <w:rsid w:val="00446B58"/>
    <w:rsid w:val="00446C69"/>
    <w:rsid w:val="00446E59"/>
    <w:rsid w:val="004473B1"/>
    <w:rsid w:val="00447477"/>
    <w:rsid w:val="0044770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7A7"/>
    <w:rsid w:val="004548F0"/>
    <w:rsid w:val="00454DA3"/>
    <w:rsid w:val="00455273"/>
    <w:rsid w:val="004553A0"/>
    <w:rsid w:val="004553BC"/>
    <w:rsid w:val="00455458"/>
    <w:rsid w:val="0045593F"/>
    <w:rsid w:val="00455A69"/>
    <w:rsid w:val="00455C47"/>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79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A71"/>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24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9C0"/>
    <w:rsid w:val="00481A6E"/>
    <w:rsid w:val="00481D59"/>
    <w:rsid w:val="00481EF9"/>
    <w:rsid w:val="00482100"/>
    <w:rsid w:val="00482239"/>
    <w:rsid w:val="004822D8"/>
    <w:rsid w:val="00482A6C"/>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ECD"/>
    <w:rsid w:val="00486F03"/>
    <w:rsid w:val="00486FB8"/>
    <w:rsid w:val="0048714A"/>
    <w:rsid w:val="00487276"/>
    <w:rsid w:val="004877DB"/>
    <w:rsid w:val="00487893"/>
    <w:rsid w:val="0048798C"/>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D43"/>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6BE"/>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5F6"/>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284"/>
    <w:rsid w:val="004B0420"/>
    <w:rsid w:val="004B0495"/>
    <w:rsid w:val="004B0575"/>
    <w:rsid w:val="004B07E2"/>
    <w:rsid w:val="004B0983"/>
    <w:rsid w:val="004B0A52"/>
    <w:rsid w:val="004B0BD6"/>
    <w:rsid w:val="004B1124"/>
    <w:rsid w:val="004B1186"/>
    <w:rsid w:val="004B14FA"/>
    <w:rsid w:val="004B1565"/>
    <w:rsid w:val="004B1B1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82"/>
    <w:rsid w:val="004C0490"/>
    <w:rsid w:val="004C0721"/>
    <w:rsid w:val="004C100B"/>
    <w:rsid w:val="004C130F"/>
    <w:rsid w:val="004C1409"/>
    <w:rsid w:val="004C147D"/>
    <w:rsid w:val="004C153A"/>
    <w:rsid w:val="004C16AA"/>
    <w:rsid w:val="004C19F0"/>
    <w:rsid w:val="004C1CFA"/>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576"/>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42"/>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80B"/>
    <w:rsid w:val="004D3981"/>
    <w:rsid w:val="004D39A9"/>
    <w:rsid w:val="004D3A03"/>
    <w:rsid w:val="004D3A39"/>
    <w:rsid w:val="004D3D09"/>
    <w:rsid w:val="004D3D3C"/>
    <w:rsid w:val="004D3DF9"/>
    <w:rsid w:val="004D4132"/>
    <w:rsid w:val="004D45AA"/>
    <w:rsid w:val="004D46C5"/>
    <w:rsid w:val="004D49B1"/>
    <w:rsid w:val="004D4C70"/>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B20"/>
    <w:rsid w:val="004D7C83"/>
    <w:rsid w:val="004D7EDE"/>
    <w:rsid w:val="004D7FA6"/>
    <w:rsid w:val="004E00B0"/>
    <w:rsid w:val="004E0375"/>
    <w:rsid w:val="004E053E"/>
    <w:rsid w:val="004E081B"/>
    <w:rsid w:val="004E0A30"/>
    <w:rsid w:val="004E0A50"/>
    <w:rsid w:val="004E0D8B"/>
    <w:rsid w:val="004E0E99"/>
    <w:rsid w:val="004E1045"/>
    <w:rsid w:val="004E10CE"/>
    <w:rsid w:val="004E1201"/>
    <w:rsid w:val="004E16E4"/>
    <w:rsid w:val="004E19C3"/>
    <w:rsid w:val="004E1AAE"/>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45D"/>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D6"/>
    <w:rsid w:val="004F75F7"/>
    <w:rsid w:val="004F7691"/>
    <w:rsid w:val="004F78C8"/>
    <w:rsid w:val="004F79A5"/>
    <w:rsid w:val="004F7A5D"/>
    <w:rsid w:val="004F7B83"/>
    <w:rsid w:val="004F7D30"/>
    <w:rsid w:val="004F7DAE"/>
    <w:rsid w:val="0050023C"/>
    <w:rsid w:val="0050050B"/>
    <w:rsid w:val="00500AC9"/>
    <w:rsid w:val="00500DA9"/>
    <w:rsid w:val="00500FA8"/>
    <w:rsid w:val="005013E9"/>
    <w:rsid w:val="00501649"/>
    <w:rsid w:val="00501682"/>
    <w:rsid w:val="005016C9"/>
    <w:rsid w:val="005017FC"/>
    <w:rsid w:val="00501942"/>
    <w:rsid w:val="00501BD4"/>
    <w:rsid w:val="00501E75"/>
    <w:rsid w:val="00501F2C"/>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C5C"/>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870"/>
    <w:rsid w:val="0050693D"/>
    <w:rsid w:val="00506BFF"/>
    <w:rsid w:val="00506C52"/>
    <w:rsid w:val="00506C73"/>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3E"/>
    <w:rsid w:val="00513B7A"/>
    <w:rsid w:val="00513CC8"/>
    <w:rsid w:val="00514436"/>
    <w:rsid w:val="005145E2"/>
    <w:rsid w:val="00514A01"/>
    <w:rsid w:val="00514B4F"/>
    <w:rsid w:val="005151AE"/>
    <w:rsid w:val="00515238"/>
    <w:rsid w:val="0051557F"/>
    <w:rsid w:val="005156C8"/>
    <w:rsid w:val="00515A8D"/>
    <w:rsid w:val="00515DEB"/>
    <w:rsid w:val="00515E19"/>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17F67"/>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B2"/>
    <w:rsid w:val="005341C6"/>
    <w:rsid w:val="00534376"/>
    <w:rsid w:val="0053484F"/>
    <w:rsid w:val="00534959"/>
    <w:rsid w:val="00534BBD"/>
    <w:rsid w:val="00534CDA"/>
    <w:rsid w:val="00534E54"/>
    <w:rsid w:val="00534FA7"/>
    <w:rsid w:val="005354FC"/>
    <w:rsid w:val="005355D8"/>
    <w:rsid w:val="00535804"/>
    <w:rsid w:val="0053592A"/>
    <w:rsid w:val="00535C12"/>
    <w:rsid w:val="00535D44"/>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10B"/>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616"/>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8B5"/>
    <w:rsid w:val="00545B6F"/>
    <w:rsid w:val="00545B72"/>
    <w:rsid w:val="00545C85"/>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A02"/>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A09"/>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4FA"/>
    <w:rsid w:val="00556711"/>
    <w:rsid w:val="0055679D"/>
    <w:rsid w:val="005567E2"/>
    <w:rsid w:val="00556862"/>
    <w:rsid w:val="00556A67"/>
    <w:rsid w:val="00556E9E"/>
    <w:rsid w:val="00556EBE"/>
    <w:rsid w:val="00557648"/>
    <w:rsid w:val="005577C4"/>
    <w:rsid w:val="00557D30"/>
    <w:rsid w:val="00560344"/>
    <w:rsid w:val="005603D9"/>
    <w:rsid w:val="00560420"/>
    <w:rsid w:val="0056044E"/>
    <w:rsid w:val="0056055F"/>
    <w:rsid w:val="005607CA"/>
    <w:rsid w:val="005608DB"/>
    <w:rsid w:val="00560F60"/>
    <w:rsid w:val="00561038"/>
    <w:rsid w:val="00561075"/>
    <w:rsid w:val="00561329"/>
    <w:rsid w:val="00561446"/>
    <w:rsid w:val="0056153B"/>
    <w:rsid w:val="005617D0"/>
    <w:rsid w:val="005618F1"/>
    <w:rsid w:val="00561AC8"/>
    <w:rsid w:val="00561AD8"/>
    <w:rsid w:val="00561C44"/>
    <w:rsid w:val="00561E28"/>
    <w:rsid w:val="00561E31"/>
    <w:rsid w:val="00561FF7"/>
    <w:rsid w:val="005621E4"/>
    <w:rsid w:val="005623E4"/>
    <w:rsid w:val="005624BB"/>
    <w:rsid w:val="0056253B"/>
    <w:rsid w:val="0056256F"/>
    <w:rsid w:val="00562748"/>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4DC3"/>
    <w:rsid w:val="0056501B"/>
    <w:rsid w:val="0056505B"/>
    <w:rsid w:val="005650B5"/>
    <w:rsid w:val="00565359"/>
    <w:rsid w:val="00565577"/>
    <w:rsid w:val="0056585F"/>
    <w:rsid w:val="005658BB"/>
    <w:rsid w:val="005658E6"/>
    <w:rsid w:val="00565904"/>
    <w:rsid w:val="00565AB3"/>
    <w:rsid w:val="00566005"/>
    <w:rsid w:val="0056601C"/>
    <w:rsid w:val="00566244"/>
    <w:rsid w:val="00566418"/>
    <w:rsid w:val="00566532"/>
    <w:rsid w:val="0056663D"/>
    <w:rsid w:val="00566748"/>
    <w:rsid w:val="005668B5"/>
    <w:rsid w:val="00566ADD"/>
    <w:rsid w:val="00566D9F"/>
    <w:rsid w:val="00566EFD"/>
    <w:rsid w:val="00566FBD"/>
    <w:rsid w:val="00567211"/>
    <w:rsid w:val="005672DB"/>
    <w:rsid w:val="005675F0"/>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82B"/>
    <w:rsid w:val="0057393D"/>
    <w:rsid w:val="00573978"/>
    <w:rsid w:val="00573AC3"/>
    <w:rsid w:val="00573E28"/>
    <w:rsid w:val="005740C0"/>
    <w:rsid w:val="00574263"/>
    <w:rsid w:val="00574280"/>
    <w:rsid w:val="005742E1"/>
    <w:rsid w:val="00574424"/>
    <w:rsid w:val="005744BF"/>
    <w:rsid w:val="0057456B"/>
    <w:rsid w:val="00574C88"/>
    <w:rsid w:val="00574F21"/>
    <w:rsid w:val="00575315"/>
    <w:rsid w:val="00575506"/>
    <w:rsid w:val="00575E57"/>
    <w:rsid w:val="0057601E"/>
    <w:rsid w:val="005760AC"/>
    <w:rsid w:val="0057612E"/>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C1C"/>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BFF"/>
    <w:rsid w:val="00594DAE"/>
    <w:rsid w:val="00594F05"/>
    <w:rsid w:val="00595335"/>
    <w:rsid w:val="00595416"/>
    <w:rsid w:val="00595436"/>
    <w:rsid w:val="0059548B"/>
    <w:rsid w:val="005955B7"/>
    <w:rsid w:val="00595632"/>
    <w:rsid w:val="00595729"/>
    <w:rsid w:val="00595AAA"/>
    <w:rsid w:val="00595C20"/>
    <w:rsid w:val="00596072"/>
    <w:rsid w:val="005962A8"/>
    <w:rsid w:val="0059648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53B"/>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905"/>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6D7"/>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A7"/>
    <w:rsid w:val="005C25B6"/>
    <w:rsid w:val="005C29AA"/>
    <w:rsid w:val="005C2B1E"/>
    <w:rsid w:val="005C2E53"/>
    <w:rsid w:val="005C3002"/>
    <w:rsid w:val="005C307B"/>
    <w:rsid w:val="005C342F"/>
    <w:rsid w:val="005C3515"/>
    <w:rsid w:val="005C3973"/>
    <w:rsid w:val="005C3BDD"/>
    <w:rsid w:val="005C3F31"/>
    <w:rsid w:val="005C4021"/>
    <w:rsid w:val="005C404B"/>
    <w:rsid w:val="005C41FE"/>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615"/>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7F"/>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36"/>
    <w:rsid w:val="005D5667"/>
    <w:rsid w:val="005D56B2"/>
    <w:rsid w:val="005D585B"/>
    <w:rsid w:val="005D5925"/>
    <w:rsid w:val="005D5A5F"/>
    <w:rsid w:val="005D5C6B"/>
    <w:rsid w:val="005D5E06"/>
    <w:rsid w:val="005D5E6C"/>
    <w:rsid w:val="005D6028"/>
    <w:rsid w:val="005D621E"/>
    <w:rsid w:val="005D6354"/>
    <w:rsid w:val="005D6848"/>
    <w:rsid w:val="005D68CE"/>
    <w:rsid w:val="005D6AED"/>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1ED"/>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9FD"/>
    <w:rsid w:val="00607B0C"/>
    <w:rsid w:val="00607E8F"/>
    <w:rsid w:val="00607ECB"/>
    <w:rsid w:val="0061021C"/>
    <w:rsid w:val="00610920"/>
    <w:rsid w:val="00610B2D"/>
    <w:rsid w:val="00610CCC"/>
    <w:rsid w:val="006112A0"/>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8C0"/>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D33"/>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CB8"/>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2E9"/>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27"/>
    <w:rsid w:val="00631D94"/>
    <w:rsid w:val="00631EB7"/>
    <w:rsid w:val="00631F57"/>
    <w:rsid w:val="00631F8E"/>
    <w:rsid w:val="00631FC4"/>
    <w:rsid w:val="006322A4"/>
    <w:rsid w:val="006322FC"/>
    <w:rsid w:val="006323A0"/>
    <w:rsid w:val="006325B9"/>
    <w:rsid w:val="0063276B"/>
    <w:rsid w:val="006327B3"/>
    <w:rsid w:val="00632A99"/>
    <w:rsid w:val="00632B5F"/>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D20"/>
    <w:rsid w:val="00635DCB"/>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995"/>
    <w:rsid w:val="00637A0E"/>
    <w:rsid w:val="00637B2E"/>
    <w:rsid w:val="00637D07"/>
    <w:rsid w:val="006401B7"/>
    <w:rsid w:val="00640575"/>
    <w:rsid w:val="006405B9"/>
    <w:rsid w:val="006407B6"/>
    <w:rsid w:val="00640A73"/>
    <w:rsid w:val="00640DE0"/>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335"/>
    <w:rsid w:val="0064573F"/>
    <w:rsid w:val="006459E5"/>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0A"/>
    <w:rsid w:val="00650683"/>
    <w:rsid w:val="00650A9A"/>
    <w:rsid w:val="00650D13"/>
    <w:rsid w:val="00650D42"/>
    <w:rsid w:val="00650F31"/>
    <w:rsid w:val="00651076"/>
    <w:rsid w:val="00651223"/>
    <w:rsid w:val="00651373"/>
    <w:rsid w:val="00651490"/>
    <w:rsid w:val="006514DB"/>
    <w:rsid w:val="0065157A"/>
    <w:rsid w:val="00651918"/>
    <w:rsid w:val="00651A5C"/>
    <w:rsid w:val="00651D4B"/>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A2D"/>
    <w:rsid w:val="00654A87"/>
    <w:rsid w:val="00654BFE"/>
    <w:rsid w:val="00654F6E"/>
    <w:rsid w:val="00655003"/>
    <w:rsid w:val="00655022"/>
    <w:rsid w:val="00655198"/>
    <w:rsid w:val="0065577D"/>
    <w:rsid w:val="006559E7"/>
    <w:rsid w:val="00655C61"/>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7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7D1"/>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67E62"/>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067"/>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06"/>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3AD"/>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AFD"/>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A07"/>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437"/>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00"/>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3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DE"/>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249"/>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6E"/>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0A"/>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1E45"/>
    <w:rsid w:val="00711F4A"/>
    <w:rsid w:val="007123E6"/>
    <w:rsid w:val="00712646"/>
    <w:rsid w:val="00712958"/>
    <w:rsid w:val="00712A7B"/>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668"/>
    <w:rsid w:val="00722838"/>
    <w:rsid w:val="00722864"/>
    <w:rsid w:val="00722BBD"/>
    <w:rsid w:val="00722E12"/>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3F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6"/>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139"/>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3D"/>
    <w:rsid w:val="007370C5"/>
    <w:rsid w:val="007370CD"/>
    <w:rsid w:val="00737278"/>
    <w:rsid w:val="007372F9"/>
    <w:rsid w:val="00737565"/>
    <w:rsid w:val="007378F8"/>
    <w:rsid w:val="00737906"/>
    <w:rsid w:val="0073796C"/>
    <w:rsid w:val="00737C15"/>
    <w:rsid w:val="00737C2E"/>
    <w:rsid w:val="00737F61"/>
    <w:rsid w:val="00737F72"/>
    <w:rsid w:val="00737FFA"/>
    <w:rsid w:val="00740101"/>
    <w:rsid w:val="007401AA"/>
    <w:rsid w:val="007401F8"/>
    <w:rsid w:val="00740308"/>
    <w:rsid w:val="007405E1"/>
    <w:rsid w:val="007407DC"/>
    <w:rsid w:val="0074088B"/>
    <w:rsid w:val="00740A2B"/>
    <w:rsid w:val="00740A8B"/>
    <w:rsid w:val="00740AEE"/>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1E0"/>
    <w:rsid w:val="00744295"/>
    <w:rsid w:val="007442B6"/>
    <w:rsid w:val="00744430"/>
    <w:rsid w:val="007444CA"/>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48D"/>
    <w:rsid w:val="00752532"/>
    <w:rsid w:val="00752C38"/>
    <w:rsid w:val="00752E6D"/>
    <w:rsid w:val="00752EC9"/>
    <w:rsid w:val="00752FEA"/>
    <w:rsid w:val="007530B3"/>
    <w:rsid w:val="007532EF"/>
    <w:rsid w:val="00753453"/>
    <w:rsid w:val="0075351C"/>
    <w:rsid w:val="00753646"/>
    <w:rsid w:val="007538E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73E"/>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67F1C"/>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8F1"/>
    <w:rsid w:val="007729F5"/>
    <w:rsid w:val="00772A24"/>
    <w:rsid w:val="00772A52"/>
    <w:rsid w:val="00772CA0"/>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F0A"/>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302"/>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3D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114"/>
    <w:rsid w:val="007924C6"/>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CCC"/>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06A"/>
    <w:rsid w:val="007A155E"/>
    <w:rsid w:val="007A157D"/>
    <w:rsid w:val="007A163F"/>
    <w:rsid w:val="007A167F"/>
    <w:rsid w:val="007A193C"/>
    <w:rsid w:val="007A1E12"/>
    <w:rsid w:val="007A1EE0"/>
    <w:rsid w:val="007A1EE3"/>
    <w:rsid w:val="007A20C2"/>
    <w:rsid w:val="007A20DD"/>
    <w:rsid w:val="007A234F"/>
    <w:rsid w:val="007A23D1"/>
    <w:rsid w:val="007A2429"/>
    <w:rsid w:val="007A2455"/>
    <w:rsid w:val="007A2457"/>
    <w:rsid w:val="007A2483"/>
    <w:rsid w:val="007A25B3"/>
    <w:rsid w:val="007A2630"/>
    <w:rsid w:val="007A2C36"/>
    <w:rsid w:val="007A2C72"/>
    <w:rsid w:val="007A2C87"/>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1D6"/>
    <w:rsid w:val="007A5387"/>
    <w:rsid w:val="007A53D1"/>
    <w:rsid w:val="007A54A3"/>
    <w:rsid w:val="007A55CA"/>
    <w:rsid w:val="007A560D"/>
    <w:rsid w:val="007A56C0"/>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08DD"/>
    <w:rsid w:val="007B1053"/>
    <w:rsid w:val="007B1284"/>
    <w:rsid w:val="007B14CF"/>
    <w:rsid w:val="007B1B00"/>
    <w:rsid w:val="007B1F40"/>
    <w:rsid w:val="007B20E8"/>
    <w:rsid w:val="007B2795"/>
    <w:rsid w:val="007B28C6"/>
    <w:rsid w:val="007B29A5"/>
    <w:rsid w:val="007B2C41"/>
    <w:rsid w:val="007B2C79"/>
    <w:rsid w:val="007B2CD9"/>
    <w:rsid w:val="007B2D32"/>
    <w:rsid w:val="007B2E4F"/>
    <w:rsid w:val="007B2E5A"/>
    <w:rsid w:val="007B2FE5"/>
    <w:rsid w:val="007B3324"/>
    <w:rsid w:val="007B3391"/>
    <w:rsid w:val="007B3654"/>
    <w:rsid w:val="007B38A0"/>
    <w:rsid w:val="007B3978"/>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B62"/>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254"/>
    <w:rsid w:val="007C6407"/>
    <w:rsid w:val="007C6835"/>
    <w:rsid w:val="007C688F"/>
    <w:rsid w:val="007C6D2A"/>
    <w:rsid w:val="007C7402"/>
    <w:rsid w:val="007C742D"/>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DBA"/>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1CA5"/>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709"/>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576"/>
    <w:rsid w:val="0081683B"/>
    <w:rsid w:val="00816A26"/>
    <w:rsid w:val="00816BFB"/>
    <w:rsid w:val="00816C22"/>
    <w:rsid w:val="00816E17"/>
    <w:rsid w:val="0081721F"/>
    <w:rsid w:val="008172C2"/>
    <w:rsid w:val="0081733D"/>
    <w:rsid w:val="0081746B"/>
    <w:rsid w:val="00817D68"/>
    <w:rsid w:val="00817D83"/>
    <w:rsid w:val="00817EEC"/>
    <w:rsid w:val="00820288"/>
    <w:rsid w:val="008206CD"/>
    <w:rsid w:val="00820EFE"/>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3F9C"/>
    <w:rsid w:val="008247BC"/>
    <w:rsid w:val="008247F4"/>
    <w:rsid w:val="00824892"/>
    <w:rsid w:val="00824AE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817"/>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3EC"/>
    <w:rsid w:val="0084158E"/>
    <w:rsid w:val="008417C2"/>
    <w:rsid w:val="00841801"/>
    <w:rsid w:val="008418D2"/>
    <w:rsid w:val="00841959"/>
    <w:rsid w:val="00841B0F"/>
    <w:rsid w:val="00841B5F"/>
    <w:rsid w:val="00841B7A"/>
    <w:rsid w:val="00841DC3"/>
    <w:rsid w:val="00841EA6"/>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22"/>
    <w:rsid w:val="0084415C"/>
    <w:rsid w:val="00844428"/>
    <w:rsid w:val="0084476C"/>
    <w:rsid w:val="00844A06"/>
    <w:rsid w:val="00844A39"/>
    <w:rsid w:val="00844D37"/>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50"/>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61"/>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5FB6"/>
    <w:rsid w:val="008661B5"/>
    <w:rsid w:val="00866591"/>
    <w:rsid w:val="008665B6"/>
    <w:rsid w:val="00866736"/>
    <w:rsid w:val="008668DC"/>
    <w:rsid w:val="0086698F"/>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E4F"/>
    <w:rsid w:val="00874F7B"/>
    <w:rsid w:val="00875025"/>
    <w:rsid w:val="008753BC"/>
    <w:rsid w:val="00875BA4"/>
    <w:rsid w:val="00875BA5"/>
    <w:rsid w:val="00875ED9"/>
    <w:rsid w:val="00875EEA"/>
    <w:rsid w:val="00875FAB"/>
    <w:rsid w:val="008762B4"/>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3C0"/>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0E1"/>
    <w:rsid w:val="0088430D"/>
    <w:rsid w:val="00884627"/>
    <w:rsid w:val="00884699"/>
    <w:rsid w:val="0088470D"/>
    <w:rsid w:val="008848E2"/>
    <w:rsid w:val="00884F12"/>
    <w:rsid w:val="00885019"/>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9A6"/>
    <w:rsid w:val="00896BFE"/>
    <w:rsid w:val="00896C9E"/>
    <w:rsid w:val="00896D12"/>
    <w:rsid w:val="008972B0"/>
    <w:rsid w:val="0089762D"/>
    <w:rsid w:val="008978F0"/>
    <w:rsid w:val="008979A2"/>
    <w:rsid w:val="00897B8C"/>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1E"/>
    <w:rsid w:val="008B0A4C"/>
    <w:rsid w:val="008B0CCF"/>
    <w:rsid w:val="008B0EB3"/>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79"/>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1F44"/>
    <w:rsid w:val="008C20AA"/>
    <w:rsid w:val="008C226E"/>
    <w:rsid w:val="008C228E"/>
    <w:rsid w:val="008C2431"/>
    <w:rsid w:val="008C245A"/>
    <w:rsid w:val="008C25BB"/>
    <w:rsid w:val="008C2847"/>
    <w:rsid w:val="008C29A0"/>
    <w:rsid w:val="008C2C38"/>
    <w:rsid w:val="008C2D87"/>
    <w:rsid w:val="008C2E0B"/>
    <w:rsid w:val="008C30E5"/>
    <w:rsid w:val="008C3214"/>
    <w:rsid w:val="008C36A4"/>
    <w:rsid w:val="008C3A19"/>
    <w:rsid w:val="008C3AB3"/>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683"/>
    <w:rsid w:val="008C5754"/>
    <w:rsid w:val="008C5959"/>
    <w:rsid w:val="008C5960"/>
    <w:rsid w:val="008C5A5A"/>
    <w:rsid w:val="008C5B95"/>
    <w:rsid w:val="008C5FC0"/>
    <w:rsid w:val="008C6104"/>
    <w:rsid w:val="008C6196"/>
    <w:rsid w:val="008C6220"/>
    <w:rsid w:val="008C6423"/>
    <w:rsid w:val="008C6473"/>
    <w:rsid w:val="008C65A7"/>
    <w:rsid w:val="008C665F"/>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21E"/>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78A"/>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2EE"/>
    <w:rsid w:val="008D74A9"/>
    <w:rsid w:val="008D7582"/>
    <w:rsid w:val="008D7609"/>
    <w:rsid w:val="008D7A32"/>
    <w:rsid w:val="008D7BAB"/>
    <w:rsid w:val="008D7BD6"/>
    <w:rsid w:val="008D7D28"/>
    <w:rsid w:val="008D7DE1"/>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C37"/>
    <w:rsid w:val="008E6DA9"/>
    <w:rsid w:val="008E7545"/>
    <w:rsid w:val="008F0102"/>
    <w:rsid w:val="008F01F5"/>
    <w:rsid w:val="008F0795"/>
    <w:rsid w:val="008F084E"/>
    <w:rsid w:val="008F08B0"/>
    <w:rsid w:val="008F0F1F"/>
    <w:rsid w:val="008F0FEA"/>
    <w:rsid w:val="008F1053"/>
    <w:rsid w:val="008F13B1"/>
    <w:rsid w:val="008F13F7"/>
    <w:rsid w:val="008F179C"/>
    <w:rsid w:val="008F1957"/>
    <w:rsid w:val="008F19F6"/>
    <w:rsid w:val="008F1C58"/>
    <w:rsid w:val="008F1D28"/>
    <w:rsid w:val="008F22A6"/>
    <w:rsid w:val="008F2342"/>
    <w:rsid w:val="008F23EF"/>
    <w:rsid w:val="008F245D"/>
    <w:rsid w:val="008F24D9"/>
    <w:rsid w:val="008F2700"/>
    <w:rsid w:val="008F2982"/>
    <w:rsid w:val="008F298A"/>
    <w:rsid w:val="008F2A75"/>
    <w:rsid w:val="008F2F30"/>
    <w:rsid w:val="008F3074"/>
    <w:rsid w:val="008F334F"/>
    <w:rsid w:val="008F3A24"/>
    <w:rsid w:val="008F3CB2"/>
    <w:rsid w:val="008F3DCB"/>
    <w:rsid w:val="008F40F9"/>
    <w:rsid w:val="008F419A"/>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44"/>
    <w:rsid w:val="009010CB"/>
    <w:rsid w:val="00901228"/>
    <w:rsid w:val="00901374"/>
    <w:rsid w:val="009015BB"/>
    <w:rsid w:val="00901672"/>
    <w:rsid w:val="009016B6"/>
    <w:rsid w:val="0090176E"/>
    <w:rsid w:val="009017F2"/>
    <w:rsid w:val="0090185D"/>
    <w:rsid w:val="0090195E"/>
    <w:rsid w:val="00901D37"/>
    <w:rsid w:val="0090232B"/>
    <w:rsid w:val="009025C2"/>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EEE"/>
    <w:rsid w:val="00911F43"/>
    <w:rsid w:val="00912218"/>
    <w:rsid w:val="009125E8"/>
    <w:rsid w:val="0091271A"/>
    <w:rsid w:val="0091285C"/>
    <w:rsid w:val="00912C4A"/>
    <w:rsid w:val="00913340"/>
    <w:rsid w:val="0091334E"/>
    <w:rsid w:val="0091366F"/>
    <w:rsid w:val="009137E6"/>
    <w:rsid w:val="009138AF"/>
    <w:rsid w:val="00913963"/>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6F"/>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082"/>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FD9"/>
    <w:rsid w:val="00942284"/>
    <w:rsid w:val="009425D3"/>
    <w:rsid w:val="009426FB"/>
    <w:rsid w:val="009427D6"/>
    <w:rsid w:val="0094289F"/>
    <w:rsid w:val="00942A0D"/>
    <w:rsid w:val="00943170"/>
    <w:rsid w:val="00943325"/>
    <w:rsid w:val="0094353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382"/>
    <w:rsid w:val="0095068D"/>
    <w:rsid w:val="00950706"/>
    <w:rsid w:val="009508D2"/>
    <w:rsid w:val="00950AAC"/>
    <w:rsid w:val="00950AB4"/>
    <w:rsid w:val="00951531"/>
    <w:rsid w:val="00951758"/>
    <w:rsid w:val="009517B8"/>
    <w:rsid w:val="009519F3"/>
    <w:rsid w:val="00951D82"/>
    <w:rsid w:val="00951DE6"/>
    <w:rsid w:val="00952111"/>
    <w:rsid w:val="00952277"/>
    <w:rsid w:val="0095238B"/>
    <w:rsid w:val="0095251F"/>
    <w:rsid w:val="009525DB"/>
    <w:rsid w:val="00952604"/>
    <w:rsid w:val="00952779"/>
    <w:rsid w:val="00952801"/>
    <w:rsid w:val="00952846"/>
    <w:rsid w:val="00952860"/>
    <w:rsid w:val="0095293C"/>
    <w:rsid w:val="00952AF8"/>
    <w:rsid w:val="00952DF4"/>
    <w:rsid w:val="00952F68"/>
    <w:rsid w:val="00952FDE"/>
    <w:rsid w:val="00952FF7"/>
    <w:rsid w:val="009530FB"/>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2BD1"/>
    <w:rsid w:val="009632EE"/>
    <w:rsid w:val="009634DD"/>
    <w:rsid w:val="009636E9"/>
    <w:rsid w:val="00963710"/>
    <w:rsid w:val="009637A9"/>
    <w:rsid w:val="00963872"/>
    <w:rsid w:val="00963C5A"/>
    <w:rsid w:val="00963F36"/>
    <w:rsid w:val="00964293"/>
    <w:rsid w:val="00964A43"/>
    <w:rsid w:val="00964A74"/>
    <w:rsid w:val="00964C01"/>
    <w:rsid w:val="00964C79"/>
    <w:rsid w:val="00964CEF"/>
    <w:rsid w:val="00964DC8"/>
    <w:rsid w:val="00964F8C"/>
    <w:rsid w:val="00965536"/>
    <w:rsid w:val="0096555E"/>
    <w:rsid w:val="0096572F"/>
    <w:rsid w:val="00965818"/>
    <w:rsid w:val="00965B06"/>
    <w:rsid w:val="00965F96"/>
    <w:rsid w:val="00966189"/>
    <w:rsid w:val="00966A2D"/>
    <w:rsid w:val="00966BB2"/>
    <w:rsid w:val="00966D41"/>
    <w:rsid w:val="0096713B"/>
    <w:rsid w:val="0096720F"/>
    <w:rsid w:val="00967210"/>
    <w:rsid w:val="009672D3"/>
    <w:rsid w:val="00967513"/>
    <w:rsid w:val="00967A58"/>
    <w:rsid w:val="00967D01"/>
    <w:rsid w:val="00967E67"/>
    <w:rsid w:val="00967ECC"/>
    <w:rsid w:val="009706BF"/>
    <w:rsid w:val="00970862"/>
    <w:rsid w:val="0097086F"/>
    <w:rsid w:val="00970B23"/>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0BA"/>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56"/>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86B"/>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5F8"/>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BF"/>
    <w:rsid w:val="009A4BFB"/>
    <w:rsid w:val="009A4C5A"/>
    <w:rsid w:val="009A4D1D"/>
    <w:rsid w:val="009A5244"/>
    <w:rsid w:val="009A534F"/>
    <w:rsid w:val="009A5429"/>
    <w:rsid w:val="009A5515"/>
    <w:rsid w:val="009A5677"/>
    <w:rsid w:val="009A585D"/>
    <w:rsid w:val="009A59E9"/>
    <w:rsid w:val="009A5D2A"/>
    <w:rsid w:val="009A5E2B"/>
    <w:rsid w:val="009A6025"/>
    <w:rsid w:val="009A617E"/>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A8"/>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800"/>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12"/>
    <w:rsid w:val="009C2AD3"/>
    <w:rsid w:val="009C2E42"/>
    <w:rsid w:val="009C32A3"/>
    <w:rsid w:val="009C3486"/>
    <w:rsid w:val="009C3875"/>
    <w:rsid w:val="009C3CF4"/>
    <w:rsid w:val="009C3CFE"/>
    <w:rsid w:val="009C3EA4"/>
    <w:rsid w:val="009C406A"/>
    <w:rsid w:val="009C42EE"/>
    <w:rsid w:val="009C44CD"/>
    <w:rsid w:val="009C45C5"/>
    <w:rsid w:val="009C45EF"/>
    <w:rsid w:val="009C486C"/>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41"/>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B24"/>
    <w:rsid w:val="009D0CCB"/>
    <w:rsid w:val="009D0CFE"/>
    <w:rsid w:val="009D0D6B"/>
    <w:rsid w:val="009D0F10"/>
    <w:rsid w:val="009D1098"/>
    <w:rsid w:val="009D11A5"/>
    <w:rsid w:val="009D132A"/>
    <w:rsid w:val="009D140C"/>
    <w:rsid w:val="009D167B"/>
    <w:rsid w:val="009D1818"/>
    <w:rsid w:val="009D193C"/>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079"/>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DC4"/>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2C59"/>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181"/>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0C5"/>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28A"/>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B04"/>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386"/>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68"/>
    <w:rsid w:val="00A23CA3"/>
    <w:rsid w:val="00A23E58"/>
    <w:rsid w:val="00A23E66"/>
    <w:rsid w:val="00A2429F"/>
    <w:rsid w:val="00A2433D"/>
    <w:rsid w:val="00A2433E"/>
    <w:rsid w:val="00A24445"/>
    <w:rsid w:val="00A24549"/>
    <w:rsid w:val="00A2467C"/>
    <w:rsid w:val="00A24820"/>
    <w:rsid w:val="00A2491F"/>
    <w:rsid w:val="00A24A1B"/>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526"/>
    <w:rsid w:val="00A3368C"/>
    <w:rsid w:val="00A337BF"/>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273"/>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5DAC"/>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12"/>
    <w:rsid w:val="00A53B53"/>
    <w:rsid w:val="00A53D3C"/>
    <w:rsid w:val="00A54038"/>
    <w:rsid w:val="00A54414"/>
    <w:rsid w:val="00A545D5"/>
    <w:rsid w:val="00A546C5"/>
    <w:rsid w:val="00A54B2F"/>
    <w:rsid w:val="00A54C74"/>
    <w:rsid w:val="00A54D26"/>
    <w:rsid w:val="00A54D4F"/>
    <w:rsid w:val="00A54E86"/>
    <w:rsid w:val="00A551E5"/>
    <w:rsid w:val="00A554C5"/>
    <w:rsid w:val="00A555C5"/>
    <w:rsid w:val="00A55B14"/>
    <w:rsid w:val="00A55DD1"/>
    <w:rsid w:val="00A55F56"/>
    <w:rsid w:val="00A55FEF"/>
    <w:rsid w:val="00A55FF5"/>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9BC"/>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24F"/>
    <w:rsid w:val="00A76517"/>
    <w:rsid w:val="00A7663F"/>
    <w:rsid w:val="00A7683C"/>
    <w:rsid w:val="00A76A95"/>
    <w:rsid w:val="00A76C12"/>
    <w:rsid w:val="00A76C51"/>
    <w:rsid w:val="00A76DB3"/>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2C1"/>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407"/>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C31"/>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3B6"/>
    <w:rsid w:val="00A935BD"/>
    <w:rsid w:val="00A93A27"/>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202"/>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3FC8"/>
    <w:rsid w:val="00AA4003"/>
    <w:rsid w:val="00AA42F2"/>
    <w:rsid w:val="00AA44DF"/>
    <w:rsid w:val="00AA4724"/>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578"/>
    <w:rsid w:val="00AB462E"/>
    <w:rsid w:val="00AB4A81"/>
    <w:rsid w:val="00AB4B02"/>
    <w:rsid w:val="00AB4DB8"/>
    <w:rsid w:val="00AB4F5F"/>
    <w:rsid w:val="00AB514D"/>
    <w:rsid w:val="00AB5462"/>
    <w:rsid w:val="00AB557A"/>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81F"/>
    <w:rsid w:val="00AB69CE"/>
    <w:rsid w:val="00AB6B08"/>
    <w:rsid w:val="00AB6B2B"/>
    <w:rsid w:val="00AB6EDD"/>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2D"/>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5D"/>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1BC"/>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0B"/>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2E"/>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4DDB"/>
    <w:rsid w:val="00AF53A4"/>
    <w:rsid w:val="00AF5798"/>
    <w:rsid w:val="00AF5815"/>
    <w:rsid w:val="00AF5959"/>
    <w:rsid w:val="00AF5C7C"/>
    <w:rsid w:val="00AF5CC9"/>
    <w:rsid w:val="00AF5EC5"/>
    <w:rsid w:val="00AF650E"/>
    <w:rsid w:val="00AF66DE"/>
    <w:rsid w:val="00AF6A8A"/>
    <w:rsid w:val="00AF6B26"/>
    <w:rsid w:val="00AF6BDB"/>
    <w:rsid w:val="00AF6DB3"/>
    <w:rsid w:val="00AF6DD6"/>
    <w:rsid w:val="00AF6F80"/>
    <w:rsid w:val="00AF70CB"/>
    <w:rsid w:val="00AF7535"/>
    <w:rsid w:val="00AF799C"/>
    <w:rsid w:val="00AF7B24"/>
    <w:rsid w:val="00B00000"/>
    <w:rsid w:val="00B00B19"/>
    <w:rsid w:val="00B00D80"/>
    <w:rsid w:val="00B00F03"/>
    <w:rsid w:val="00B012CC"/>
    <w:rsid w:val="00B0177D"/>
    <w:rsid w:val="00B01887"/>
    <w:rsid w:val="00B01E07"/>
    <w:rsid w:val="00B0237B"/>
    <w:rsid w:val="00B02547"/>
    <w:rsid w:val="00B02BFB"/>
    <w:rsid w:val="00B030F8"/>
    <w:rsid w:val="00B03106"/>
    <w:rsid w:val="00B03253"/>
    <w:rsid w:val="00B03895"/>
    <w:rsid w:val="00B038F7"/>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0AB7"/>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505"/>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DCC"/>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6C90"/>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370B"/>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5DF"/>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BA6"/>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E19"/>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0CB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496"/>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9F3"/>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0AE"/>
    <w:rsid w:val="00B60168"/>
    <w:rsid w:val="00B60531"/>
    <w:rsid w:val="00B605F5"/>
    <w:rsid w:val="00B606D8"/>
    <w:rsid w:val="00B60720"/>
    <w:rsid w:val="00B60815"/>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1CA7"/>
    <w:rsid w:val="00B71F21"/>
    <w:rsid w:val="00B7217B"/>
    <w:rsid w:val="00B721D9"/>
    <w:rsid w:val="00B7226F"/>
    <w:rsid w:val="00B72639"/>
    <w:rsid w:val="00B72767"/>
    <w:rsid w:val="00B72948"/>
    <w:rsid w:val="00B72C26"/>
    <w:rsid w:val="00B72E2A"/>
    <w:rsid w:val="00B72F6D"/>
    <w:rsid w:val="00B72FA9"/>
    <w:rsid w:val="00B73062"/>
    <w:rsid w:val="00B73673"/>
    <w:rsid w:val="00B7372C"/>
    <w:rsid w:val="00B738DB"/>
    <w:rsid w:val="00B73B96"/>
    <w:rsid w:val="00B73D9B"/>
    <w:rsid w:val="00B742AD"/>
    <w:rsid w:val="00B74331"/>
    <w:rsid w:val="00B7438F"/>
    <w:rsid w:val="00B74511"/>
    <w:rsid w:val="00B74605"/>
    <w:rsid w:val="00B746F9"/>
    <w:rsid w:val="00B74775"/>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2B"/>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4D57"/>
    <w:rsid w:val="00B85140"/>
    <w:rsid w:val="00B851D1"/>
    <w:rsid w:val="00B85228"/>
    <w:rsid w:val="00B85ABC"/>
    <w:rsid w:val="00B85E49"/>
    <w:rsid w:val="00B8616B"/>
    <w:rsid w:val="00B86317"/>
    <w:rsid w:val="00B863F0"/>
    <w:rsid w:val="00B864C4"/>
    <w:rsid w:val="00B8659E"/>
    <w:rsid w:val="00B865D1"/>
    <w:rsid w:val="00B866B2"/>
    <w:rsid w:val="00B866CA"/>
    <w:rsid w:val="00B86739"/>
    <w:rsid w:val="00B869D6"/>
    <w:rsid w:val="00B86AA1"/>
    <w:rsid w:val="00B86EC0"/>
    <w:rsid w:val="00B86F6F"/>
    <w:rsid w:val="00B86F9E"/>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CFD"/>
    <w:rsid w:val="00B90E70"/>
    <w:rsid w:val="00B90F66"/>
    <w:rsid w:val="00B90FC6"/>
    <w:rsid w:val="00B912AA"/>
    <w:rsid w:val="00B91520"/>
    <w:rsid w:val="00B915F5"/>
    <w:rsid w:val="00B916A2"/>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619"/>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63"/>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056"/>
    <w:rsid w:val="00BA615C"/>
    <w:rsid w:val="00BA62AC"/>
    <w:rsid w:val="00BA6417"/>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47F"/>
    <w:rsid w:val="00BB4574"/>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BCB"/>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7DA"/>
    <w:rsid w:val="00BC582C"/>
    <w:rsid w:val="00BC588E"/>
    <w:rsid w:val="00BC5AF5"/>
    <w:rsid w:val="00BC5B89"/>
    <w:rsid w:val="00BC5EB0"/>
    <w:rsid w:val="00BC6135"/>
    <w:rsid w:val="00BC61AA"/>
    <w:rsid w:val="00BC6262"/>
    <w:rsid w:val="00BC6628"/>
    <w:rsid w:val="00BC66A1"/>
    <w:rsid w:val="00BC66A9"/>
    <w:rsid w:val="00BC6C1B"/>
    <w:rsid w:val="00BC6E9E"/>
    <w:rsid w:val="00BC6F3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5FC"/>
    <w:rsid w:val="00BD172C"/>
    <w:rsid w:val="00BD1792"/>
    <w:rsid w:val="00BD1A29"/>
    <w:rsid w:val="00BD1ABB"/>
    <w:rsid w:val="00BD1AC4"/>
    <w:rsid w:val="00BD1B2D"/>
    <w:rsid w:val="00BD1C3D"/>
    <w:rsid w:val="00BD1D2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1FD"/>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CC"/>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93A"/>
    <w:rsid w:val="00BF2D63"/>
    <w:rsid w:val="00BF33AD"/>
    <w:rsid w:val="00BF34E7"/>
    <w:rsid w:val="00BF3777"/>
    <w:rsid w:val="00BF3914"/>
    <w:rsid w:val="00BF3A01"/>
    <w:rsid w:val="00BF3BF6"/>
    <w:rsid w:val="00BF3CD9"/>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382"/>
    <w:rsid w:val="00C0141D"/>
    <w:rsid w:val="00C014DE"/>
    <w:rsid w:val="00C0152B"/>
    <w:rsid w:val="00C0164A"/>
    <w:rsid w:val="00C017BF"/>
    <w:rsid w:val="00C019EB"/>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0A2"/>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1B"/>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8"/>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9FF"/>
    <w:rsid w:val="00C16AAA"/>
    <w:rsid w:val="00C16CBF"/>
    <w:rsid w:val="00C176E9"/>
    <w:rsid w:val="00C178E6"/>
    <w:rsid w:val="00C179EB"/>
    <w:rsid w:val="00C17EA5"/>
    <w:rsid w:val="00C17FC3"/>
    <w:rsid w:val="00C2012B"/>
    <w:rsid w:val="00C206A9"/>
    <w:rsid w:val="00C20794"/>
    <w:rsid w:val="00C207D8"/>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79"/>
    <w:rsid w:val="00C247C0"/>
    <w:rsid w:val="00C248A8"/>
    <w:rsid w:val="00C250CC"/>
    <w:rsid w:val="00C253D2"/>
    <w:rsid w:val="00C254BF"/>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CE3"/>
    <w:rsid w:val="00C27E1F"/>
    <w:rsid w:val="00C301EE"/>
    <w:rsid w:val="00C30210"/>
    <w:rsid w:val="00C302AB"/>
    <w:rsid w:val="00C3036C"/>
    <w:rsid w:val="00C3060C"/>
    <w:rsid w:val="00C308C7"/>
    <w:rsid w:val="00C309F2"/>
    <w:rsid w:val="00C30A20"/>
    <w:rsid w:val="00C30AE7"/>
    <w:rsid w:val="00C30C25"/>
    <w:rsid w:val="00C30CC7"/>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43A"/>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B38"/>
    <w:rsid w:val="00C40C5C"/>
    <w:rsid w:val="00C40E4D"/>
    <w:rsid w:val="00C40E78"/>
    <w:rsid w:val="00C412CD"/>
    <w:rsid w:val="00C41407"/>
    <w:rsid w:val="00C41557"/>
    <w:rsid w:val="00C41A77"/>
    <w:rsid w:val="00C41F9B"/>
    <w:rsid w:val="00C429B4"/>
    <w:rsid w:val="00C42A62"/>
    <w:rsid w:val="00C42B80"/>
    <w:rsid w:val="00C42EBB"/>
    <w:rsid w:val="00C430C6"/>
    <w:rsid w:val="00C432AE"/>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97"/>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9A3"/>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BF"/>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48F"/>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A3B"/>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807"/>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BF4"/>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81"/>
    <w:rsid w:val="00C73DCD"/>
    <w:rsid w:val="00C73EA6"/>
    <w:rsid w:val="00C74CEC"/>
    <w:rsid w:val="00C74E64"/>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25F"/>
    <w:rsid w:val="00C80530"/>
    <w:rsid w:val="00C8053D"/>
    <w:rsid w:val="00C805B9"/>
    <w:rsid w:val="00C80612"/>
    <w:rsid w:val="00C80766"/>
    <w:rsid w:val="00C80A18"/>
    <w:rsid w:val="00C80A98"/>
    <w:rsid w:val="00C80DE5"/>
    <w:rsid w:val="00C8116B"/>
    <w:rsid w:val="00C813CD"/>
    <w:rsid w:val="00C81487"/>
    <w:rsid w:val="00C81E70"/>
    <w:rsid w:val="00C81EEF"/>
    <w:rsid w:val="00C8207F"/>
    <w:rsid w:val="00C825DD"/>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536"/>
    <w:rsid w:val="00C8665D"/>
    <w:rsid w:val="00C8675E"/>
    <w:rsid w:val="00C86873"/>
    <w:rsid w:val="00C86B48"/>
    <w:rsid w:val="00C86BAA"/>
    <w:rsid w:val="00C86BFF"/>
    <w:rsid w:val="00C87057"/>
    <w:rsid w:val="00C87220"/>
    <w:rsid w:val="00C87269"/>
    <w:rsid w:val="00C8731E"/>
    <w:rsid w:val="00C87522"/>
    <w:rsid w:val="00C8768C"/>
    <w:rsid w:val="00C8771A"/>
    <w:rsid w:val="00C87792"/>
    <w:rsid w:val="00C87819"/>
    <w:rsid w:val="00C87CFC"/>
    <w:rsid w:val="00C900CA"/>
    <w:rsid w:val="00C902DA"/>
    <w:rsid w:val="00C903EB"/>
    <w:rsid w:val="00C90506"/>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6A8"/>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671"/>
    <w:rsid w:val="00CB584D"/>
    <w:rsid w:val="00CB5A2F"/>
    <w:rsid w:val="00CB5AFE"/>
    <w:rsid w:val="00CB5B23"/>
    <w:rsid w:val="00CB5CA0"/>
    <w:rsid w:val="00CB5D3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3CFD"/>
    <w:rsid w:val="00CC4179"/>
    <w:rsid w:val="00CC429D"/>
    <w:rsid w:val="00CC4382"/>
    <w:rsid w:val="00CC43EA"/>
    <w:rsid w:val="00CC4426"/>
    <w:rsid w:val="00CC44FD"/>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4C5"/>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4"/>
    <w:rsid w:val="00CE03FE"/>
    <w:rsid w:val="00CE099E"/>
    <w:rsid w:val="00CE0B02"/>
    <w:rsid w:val="00CE0DED"/>
    <w:rsid w:val="00CE0FA8"/>
    <w:rsid w:val="00CE1767"/>
    <w:rsid w:val="00CE1AC4"/>
    <w:rsid w:val="00CE1B9A"/>
    <w:rsid w:val="00CE1D2D"/>
    <w:rsid w:val="00CE1F4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108"/>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8F3"/>
    <w:rsid w:val="00CF59FB"/>
    <w:rsid w:val="00CF5E58"/>
    <w:rsid w:val="00CF5EEA"/>
    <w:rsid w:val="00CF60CE"/>
    <w:rsid w:val="00CF635E"/>
    <w:rsid w:val="00CF63C0"/>
    <w:rsid w:val="00CF660A"/>
    <w:rsid w:val="00CF669A"/>
    <w:rsid w:val="00CF66A1"/>
    <w:rsid w:val="00CF6E05"/>
    <w:rsid w:val="00CF7137"/>
    <w:rsid w:val="00CF74E3"/>
    <w:rsid w:val="00CF76C2"/>
    <w:rsid w:val="00CF7AFF"/>
    <w:rsid w:val="00CF7CDC"/>
    <w:rsid w:val="00CF7E65"/>
    <w:rsid w:val="00D0041B"/>
    <w:rsid w:val="00D00C21"/>
    <w:rsid w:val="00D00FD7"/>
    <w:rsid w:val="00D012CB"/>
    <w:rsid w:val="00D0137F"/>
    <w:rsid w:val="00D01726"/>
    <w:rsid w:val="00D01AF1"/>
    <w:rsid w:val="00D01B3A"/>
    <w:rsid w:val="00D01BC3"/>
    <w:rsid w:val="00D02470"/>
    <w:rsid w:val="00D0249C"/>
    <w:rsid w:val="00D024E0"/>
    <w:rsid w:val="00D0252E"/>
    <w:rsid w:val="00D026AB"/>
    <w:rsid w:val="00D027E7"/>
    <w:rsid w:val="00D02865"/>
    <w:rsid w:val="00D02D3A"/>
    <w:rsid w:val="00D02E63"/>
    <w:rsid w:val="00D02E8D"/>
    <w:rsid w:val="00D02FBF"/>
    <w:rsid w:val="00D03384"/>
    <w:rsid w:val="00D036AA"/>
    <w:rsid w:val="00D03C34"/>
    <w:rsid w:val="00D03D64"/>
    <w:rsid w:val="00D03E4B"/>
    <w:rsid w:val="00D03E9C"/>
    <w:rsid w:val="00D03F84"/>
    <w:rsid w:val="00D044A7"/>
    <w:rsid w:val="00D04958"/>
    <w:rsid w:val="00D04C5A"/>
    <w:rsid w:val="00D04D28"/>
    <w:rsid w:val="00D04E55"/>
    <w:rsid w:val="00D04EA9"/>
    <w:rsid w:val="00D050DA"/>
    <w:rsid w:val="00D054F5"/>
    <w:rsid w:val="00D05764"/>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60"/>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772"/>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AE"/>
    <w:rsid w:val="00D23CF1"/>
    <w:rsid w:val="00D23F9C"/>
    <w:rsid w:val="00D24196"/>
    <w:rsid w:val="00D241E2"/>
    <w:rsid w:val="00D24583"/>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803"/>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DE4"/>
    <w:rsid w:val="00D37EC3"/>
    <w:rsid w:val="00D40246"/>
    <w:rsid w:val="00D403B4"/>
    <w:rsid w:val="00D403BF"/>
    <w:rsid w:val="00D40B51"/>
    <w:rsid w:val="00D40CD6"/>
    <w:rsid w:val="00D40E05"/>
    <w:rsid w:val="00D41072"/>
    <w:rsid w:val="00D4108F"/>
    <w:rsid w:val="00D410DF"/>
    <w:rsid w:val="00D411B4"/>
    <w:rsid w:val="00D413F9"/>
    <w:rsid w:val="00D4168F"/>
    <w:rsid w:val="00D41691"/>
    <w:rsid w:val="00D418E0"/>
    <w:rsid w:val="00D419E2"/>
    <w:rsid w:val="00D419F8"/>
    <w:rsid w:val="00D41B77"/>
    <w:rsid w:val="00D41DC9"/>
    <w:rsid w:val="00D4205D"/>
    <w:rsid w:val="00D42256"/>
    <w:rsid w:val="00D4252D"/>
    <w:rsid w:val="00D42685"/>
    <w:rsid w:val="00D42902"/>
    <w:rsid w:val="00D4299C"/>
    <w:rsid w:val="00D42A22"/>
    <w:rsid w:val="00D42A23"/>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09C"/>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E94"/>
    <w:rsid w:val="00D47F5F"/>
    <w:rsid w:val="00D500FD"/>
    <w:rsid w:val="00D5044A"/>
    <w:rsid w:val="00D50805"/>
    <w:rsid w:val="00D50820"/>
    <w:rsid w:val="00D509E9"/>
    <w:rsid w:val="00D50E0F"/>
    <w:rsid w:val="00D50E2C"/>
    <w:rsid w:val="00D512E5"/>
    <w:rsid w:val="00D51330"/>
    <w:rsid w:val="00D513FC"/>
    <w:rsid w:val="00D51E5C"/>
    <w:rsid w:val="00D520B1"/>
    <w:rsid w:val="00D52174"/>
    <w:rsid w:val="00D522C6"/>
    <w:rsid w:val="00D522EC"/>
    <w:rsid w:val="00D52643"/>
    <w:rsid w:val="00D5269C"/>
    <w:rsid w:val="00D52918"/>
    <w:rsid w:val="00D52A6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7"/>
    <w:rsid w:val="00D5505C"/>
    <w:rsid w:val="00D5527B"/>
    <w:rsid w:val="00D55285"/>
    <w:rsid w:val="00D55450"/>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479"/>
    <w:rsid w:val="00D6377B"/>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794"/>
    <w:rsid w:val="00D66EE3"/>
    <w:rsid w:val="00D67254"/>
    <w:rsid w:val="00D67324"/>
    <w:rsid w:val="00D673EA"/>
    <w:rsid w:val="00D67939"/>
    <w:rsid w:val="00D67D9D"/>
    <w:rsid w:val="00D67E6A"/>
    <w:rsid w:val="00D70254"/>
    <w:rsid w:val="00D70287"/>
    <w:rsid w:val="00D70507"/>
    <w:rsid w:val="00D7059D"/>
    <w:rsid w:val="00D70A11"/>
    <w:rsid w:val="00D70BF9"/>
    <w:rsid w:val="00D70C62"/>
    <w:rsid w:val="00D70E26"/>
    <w:rsid w:val="00D70EC0"/>
    <w:rsid w:val="00D70F94"/>
    <w:rsid w:val="00D713E9"/>
    <w:rsid w:val="00D71417"/>
    <w:rsid w:val="00D714F6"/>
    <w:rsid w:val="00D7152E"/>
    <w:rsid w:val="00D718B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D40"/>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182"/>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179"/>
    <w:rsid w:val="00D91610"/>
    <w:rsid w:val="00D916CC"/>
    <w:rsid w:val="00D916ED"/>
    <w:rsid w:val="00D91761"/>
    <w:rsid w:val="00D919CF"/>
    <w:rsid w:val="00D91BA7"/>
    <w:rsid w:val="00D91D51"/>
    <w:rsid w:val="00D91E3E"/>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8BD"/>
    <w:rsid w:val="00DA19D4"/>
    <w:rsid w:val="00DA1A57"/>
    <w:rsid w:val="00DA1DB2"/>
    <w:rsid w:val="00DA1F46"/>
    <w:rsid w:val="00DA2A62"/>
    <w:rsid w:val="00DA2B9E"/>
    <w:rsid w:val="00DA2D8E"/>
    <w:rsid w:val="00DA2E17"/>
    <w:rsid w:val="00DA2E2C"/>
    <w:rsid w:val="00DA2EA9"/>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27"/>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B8B"/>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B4F"/>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403"/>
    <w:rsid w:val="00DC25ED"/>
    <w:rsid w:val="00DC25F3"/>
    <w:rsid w:val="00DC274C"/>
    <w:rsid w:val="00DC2ABB"/>
    <w:rsid w:val="00DC2E0D"/>
    <w:rsid w:val="00DC2EA5"/>
    <w:rsid w:val="00DC2FEF"/>
    <w:rsid w:val="00DC3261"/>
    <w:rsid w:val="00DC3536"/>
    <w:rsid w:val="00DC35E0"/>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B3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0FA"/>
    <w:rsid w:val="00DF52B2"/>
    <w:rsid w:val="00DF53D0"/>
    <w:rsid w:val="00DF5519"/>
    <w:rsid w:val="00DF554B"/>
    <w:rsid w:val="00DF58A8"/>
    <w:rsid w:val="00DF5BD7"/>
    <w:rsid w:val="00DF5C1C"/>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2A"/>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6EF"/>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9F5"/>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26"/>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6B"/>
    <w:rsid w:val="00E30890"/>
    <w:rsid w:val="00E308EF"/>
    <w:rsid w:val="00E309DB"/>
    <w:rsid w:val="00E30A35"/>
    <w:rsid w:val="00E30AF4"/>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F3E"/>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7B5"/>
    <w:rsid w:val="00E40B32"/>
    <w:rsid w:val="00E4118D"/>
    <w:rsid w:val="00E411D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6C5"/>
    <w:rsid w:val="00E46758"/>
    <w:rsid w:val="00E467F7"/>
    <w:rsid w:val="00E468A6"/>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E31"/>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D1E"/>
    <w:rsid w:val="00E54E0A"/>
    <w:rsid w:val="00E54E5D"/>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C82"/>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2E"/>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0FB9"/>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CE4"/>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64"/>
    <w:rsid w:val="00E832B5"/>
    <w:rsid w:val="00E83482"/>
    <w:rsid w:val="00E8365F"/>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6DB"/>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6E"/>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3C2"/>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79B"/>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235"/>
    <w:rsid w:val="00EA736E"/>
    <w:rsid w:val="00EA7934"/>
    <w:rsid w:val="00EA7F07"/>
    <w:rsid w:val="00EA7FC3"/>
    <w:rsid w:val="00EB0190"/>
    <w:rsid w:val="00EB02A1"/>
    <w:rsid w:val="00EB0500"/>
    <w:rsid w:val="00EB07BC"/>
    <w:rsid w:val="00EB0897"/>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C1E"/>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0B9"/>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E75"/>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24"/>
    <w:rsid w:val="00ED6E81"/>
    <w:rsid w:val="00ED7019"/>
    <w:rsid w:val="00ED7599"/>
    <w:rsid w:val="00ED7626"/>
    <w:rsid w:val="00ED7B25"/>
    <w:rsid w:val="00ED7B82"/>
    <w:rsid w:val="00ED7ED4"/>
    <w:rsid w:val="00EE0203"/>
    <w:rsid w:val="00EE021A"/>
    <w:rsid w:val="00EE02AA"/>
    <w:rsid w:val="00EE03D2"/>
    <w:rsid w:val="00EE08D8"/>
    <w:rsid w:val="00EE0906"/>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E43"/>
    <w:rsid w:val="00EE2EB8"/>
    <w:rsid w:val="00EE2F25"/>
    <w:rsid w:val="00EE31C3"/>
    <w:rsid w:val="00EE3797"/>
    <w:rsid w:val="00EE380A"/>
    <w:rsid w:val="00EE3994"/>
    <w:rsid w:val="00EE3B63"/>
    <w:rsid w:val="00EE3B76"/>
    <w:rsid w:val="00EE3C77"/>
    <w:rsid w:val="00EE3C8B"/>
    <w:rsid w:val="00EE3F3E"/>
    <w:rsid w:val="00EE3F81"/>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53"/>
    <w:rsid w:val="00EF32EF"/>
    <w:rsid w:val="00EF3821"/>
    <w:rsid w:val="00EF3AFF"/>
    <w:rsid w:val="00EF3C24"/>
    <w:rsid w:val="00EF3F75"/>
    <w:rsid w:val="00EF3FAA"/>
    <w:rsid w:val="00EF4185"/>
    <w:rsid w:val="00EF421E"/>
    <w:rsid w:val="00EF4329"/>
    <w:rsid w:val="00EF4717"/>
    <w:rsid w:val="00EF476A"/>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CDF"/>
    <w:rsid w:val="00EF7D5D"/>
    <w:rsid w:val="00EF7EFA"/>
    <w:rsid w:val="00F001AC"/>
    <w:rsid w:val="00F0058E"/>
    <w:rsid w:val="00F00730"/>
    <w:rsid w:val="00F007FE"/>
    <w:rsid w:val="00F0089D"/>
    <w:rsid w:val="00F00956"/>
    <w:rsid w:val="00F0099B"/>
    <w:rsid w:val="00F00CB6"/>
    <w:rsid w:val="00F00CBB"/>
    <w:rsid w:val="00F01068"/>
    <w:rsid w:val="00F011F7"/>
    <w:rsid w:val="00F01261"/>
    <w:rsid w:val="00F01351"/>
    <w:rsid w:val="00F01402"/>
    <w:rsid w:val="00F01406"/>
    <w:rsid w:val="00F014AF"/>
    <w:rsid w:val="00F016D4"/>
    <w:rsid w:val="00F019E0"/>
    <w:rsid w:val="00F019EA"/>
    <w:rsid w:val="00F01A6E"/>
    <w:rsid w:val="00F01BAB"/>
    <w:rsid w:val="00F01DA4"/>
    <w:rsid w:val="00F01F4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3F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6"/>
    <w:rsid w:val="00F1124B"/>
    <w:rsid w:val="00F112E7"/>
    <w:rsid w:val="00F114A8"/>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D17"/>
    <w:rsid w:val="00F13E1C"/>
    <w:rsid w:val="00F14006"/>
    <w:rsid w:val="00F1400E"/>
    <w:rsid w:val="00F140AD"/>
    <w:rsid w:val="00F1429C"/>
    <w:rsid w:val="00F142D6"/>
    <w:rsid w:val="00F14B2E"/>
    <w:rsid w:val="00F14B4F"/>
    <w:rsid w:val="00F14FEB"/>
    <w:rsid w:val="00F150C9"/>
    <w:rsid w:val="00F151EF"/>
    <w:rsid w:val="00F15316"/>
    <w:rsid w:val="00F1533D"/>
    <w:rsid w:val="00F154A2"/>
    <w:rsid w:val="00F1558F"/>
    <w:rsid w:val="00F15652"/>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3AE"/>
    <w:rsid w:val="00F20577"/>
    <w:rsid w:val="00F205EC"/>
    <w:rsid w:val="00F20B8E"/>
    <w:rsid w:val="00F20B9F"/>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9F2"/>
    <w:rsid w:val="00F33C9E"/>
    <w:rsid w:val="00F3425B"/>
    <w:rsid w:val="00F3474F"/>
    <w:rsid w:val="00F34A4B"/>
    <w:rsid w:val="00F34BD2"/>
    <w:rsid w:val="00F34C8C"/>
    <w:rsid w:val="00F34EAC"/>
    <w:rsid w:val="00F34EE3"/>
    <w:rsid w:val="00F3511E"/>
    <w:rsid w:val="00F352F9"/>
    <w:rsid w:val="00F353BF"/>
    <w:rsid w:val="00F356B2"/>
    <w:rsid w:val="00F3575A"/>
    <w:rsid w:val="00F35E35"/>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E0"/>
    <w:rsid w:val="00F37FF9"/>
    <w:rsid w:val="00F4016F"/>
    <w:rsid w:val="00F402AB"/>
    <w:rsid w:val="00F4056B"/>
    <w:rsid w:val="00F4063C"/>
    <w:rsid w:val="00F4082D"/>
    <w:rsid w:val="00F40928"/>
    <w:rsid w:val="00F40929"/>
    <w:rsid w:val="00F40952"/>
    <w:rsid w:val="00F409DA"/>
    <w:rsid w:val="00F40B2B"/>
    <w:rsid w:val="00F40BF9"/>
    <w:rsid w:val="00F40ECA"/>
    <w:rsid w:val="00F410E5"/>
    <w:rsid w:val="00F41355"/>
    <w:rsid w:val="00F41396"/>
    <w:rsid w:val="00F41424"/>
    <w:rsid w:val="00F4152C"/>
    <w:rsid w:val="00F4162F"/>
    <w:rsid w:val="00F4185E"/>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9E"/>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F7F"/>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EBF"/>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8D"/>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4FF"/>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024"/>
    <w:rsid w:val="00F87590"/>
    <w:rsid w:val="00F875DF"/>
    <w:rsid w:val="00F875E0"/>
    <w:rsid w:val="00F87663"/>
    <w:rsid w:val="00F87722"/>
    <w:rsid w:val="00F878B7"/>
    <w:rsid w:val="00F878BA"/>
    <w:rsid w:val="00F87AC3"/>
    <w:rsid w:val="00F87B05"/>
    <w:rsid w:val="00F87ED9"/>
    <w:rsid w:val="00F9094D"/>
    <w:rsid w:val="00F90952"/>
    <w:rsid w:val="00F90B92"/>
    <w:rsid w:val="00F91156"/>
    <w:rsid w:val="00F91315"/>
    <w:rsid w:val="00F914FA"/>
    <w:rsid w:val="00F9159D"/>
    <w:rsid w:val="00F9162C"/>
    <w:rsid w:val="00F917D3"/>
    <w:rsid w:val="00F918F5"/>
    <w:rsid w:val="00F91A25"/>
    <w:rsid w:val="00F91F72"/>
    <w:rsid w:val="00F923AD"/>
    <w:rsid w:val="00F92801"/>
    <w:rsid w:val="00F92A28"/>
    <w:rsid w:val="00F92B4C"/>
    <w:rsid w:val="00F92E24"/>
    <w:rsid w:val="00F93281"/>
    <w:rsid w:val="00F934CB"/>
    <w:rsid w:val="00F93541"/>
    <w:rsid w:val="00F9354E"/>
    <w:rsid w:val="00F936A7"/>
    <w:rsid w:val="00F9389D"/>
    <w:rsid w:val="00F939D0"/>
    <w:rsid w:val="00F93A22"/>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6"/>
    <w:rsid w:val="00F96A5B"/>
    <w:rsid w:val="00F96B70"/>
    <w:rsid w:val="00F96E12"/>
    <w:rsid w:val="00F96FD4"/>
    <w:rsid w:val="00F9707B"/>
    <w:rsid w:val="00F971C5"/>
    <w:rsid w:val="00F97256"/>
    <w:rsid w:val="00F97765"/>
    <w:rsid w:val="00F9787F"/>
    <w:rsid w:val="00F97953"/>
    <w:rsid w:val="00F97AE2"/>
    <w:rsid w:val="00F97BEF"/>
    <w:rsid w:val="00F97C3B"/>
    <w:rsid w:val="00F97F05"/>
    <w:rsid w:val="00FA04E5"/>
    <w:rsid w:val="00FA0958"/>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EDD"/>
    <w:rsid w:val="00FA3090"/>
    <w:rsid w:val="00FA30B6"/>
    <w:rsid w:val="00FA3264"/>
    <w:rsid w:val="00FA329E"/>
    <w:rsid w:val="00FA3306"/>
    <w:rsid w:val="00FA346F"/>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A7FB0"/>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354"/>
    <w:rsid w:val="00FB44CA"/>
    <w:rsid w:val="00FB5096"/>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C23"/>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4AB"/>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C20"/>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8A5"/>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A2E"/>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E67"/>
    <w:rsid w:val="00FE4FFA"/>
    <w:rsid w:val="00FE522F"/>
    <w:rsid w:val="00FE5980"/>
    <w:rsid w:val="00FE5C69"/>
    <w:rsid w:val="00FE609C"/>
    <w:rsid w:val="00FE6230"/>
    <w:rsid w:val="00FE6468"/>
    <w:rsid w:val="00FE65A6"/>
    <w:rsid w:val="00FE6646"/>
    <w:rsid w:val="00FE669B"/>
    <w:rsid w:val="00FE6F1D"/>
    <w:rsid w:val="00FE714D"/>
    <w:rsid w:val="00FE7352"/>
    <w:rsid w:val="00FE7D6A"/>
    <w:rsid w:val="00FE7DD1"/>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BA4"/>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79272D"/>
    <w:rsid w:val="0213501C"/>
    <w:rsid w:val="039936E4"/>
    <w:rsid w:val="04001422"/>
    <w:rsid w:val="050928DF"/>
    <w:rsid w:val="070457D8"/>
    <w:rsid w:val="07677AEF"/>
    <w:rsid w:val="07D01B5E"/>
    <w:rsid w:val="082D70FE"/>
    <w:rsid w:val="08404F36"/>
    <w:rsid w:val="08DC4CC0"/>
    <w:rsid w:val="0B660C1A"/>
    <w:rsid w:val="0BDC5D68"/>
    <w:rsid w:val="0EEA5BFB"/>
    <w:rsid w:val="104E5D16"/>
    <w:rsid w:val="12CD73C6"/>
    <w:rsid w:val="12D02B3C"/>
    <w:rsid w:val="13052AE5"/>
    <w:rsid w:val="130B4ACA"/>
    <w:rsid w:val="143F0025"/>
    <w:rsid w:val="14840657"/>
    <w:rsid w:val="15AC7766"/>
    <w:rsid w:val="161A04AF"/>
    <w:rsid w:val="16DB37B6"/>
    <w:rsid w:val="17F93E0B"/>
    <w:rsid w:val="19E4034D"/>
    <w:rsid w:val="1AD31C39"/>
    <w:rsid w:val="1AE514FF"/>
    <w:rsid w:val="1B0A2F18"/>
    <w:rsid w:val="1BD462A4"/>
    <w:rsid w:val="1C1F1585"/>
    <w:rsid w:val="1C455CA5"/>
    <w:rsid w:val="1D2C69D2"/>
    <w:rsid w:val="1DCD1DC8"/>
    <w:rsid w:val="1ECD3559"/>
    <w:rsid w:val="207C7170"/>
    <w:rsid w:val="21B97302"/>
    <w:rsid w:val="225E44DE"/>
    <w:rsid w:val="22634816"/>
    <w:rsid w:val="239E00B4"/>
    <w:rsid w:val="23EA427B"/>
    <w:rsid w:val="251E74A4"/>
    <w:rsid w:val="25D61887"/>
    <w:rsid w:val="26920BFA"/>
    <w:rsid w:val="26D7660D"/>
    <w:rsid w:val="27843CE5"/>
    <w:rsid w:val="279B4EC0"/>
    <w:rsid w:val="27AA5AD0"/>
    <w:rsid w:val="28681C13"/>
    <w:rsid w:val="28805C21"/>
    <w:rsid w:val="2916166F"/>
    <w:rsid w:val="29616DF4"/>
    <w:rsid w:val="2AC31E47"/>
    <w:rsid w:val="2B307F76"/>
    <w:rsid w:val="2CCC130A"/>
    <w:rsid w:val="2CFC56B2"/>
    <w:rsid w:val="2D906062"/>
    <w:rsid w:val="2E4C5B33"/>
    <w:rsid w:val="2F0D0E1E"/>
    <w:rsid w:val="2F332E86"/>
    <w:rsid w:val="31637164"/>
    <w:rsid w:val="32326DEE"/>
    <w:rsid w:val="32EB653A"/>
    <w:rsid w:val="35590E86"/>
    <w:rsid w:val="35B6438E"/>
    <w:rsid w:val="38D35375"/>
    <w:rsid w:val="38D97FC3"/>
    <w:rsid w:val="3A233F5B"/>
    <w:rsid w:val="3A805BB0"/>
    <w:rsid w:val="3ACA1C9E"/>
    <w:rsid w:val="3BCB6780"/>
    <w:rsid w:val="3BCE5DD9"/>
    <w:rsid w:val="3CEA4947"/>
    <w:rsid w:val="3E052ED7"/>
    <w:rsid w:val="3E9E05F6"/>
    <w:rsid w:val="3EF2061D"/>
    <w:rsid w:val="3F373C95"/>
    <w:rsid w:val="42CA774C"/>
    <w:rsid w:val="42CD0A98"/>
    <w:rsid w:val="431A0C09"/>
    <w:rsid w:val="43DF5027"/>
    <w:rsid w:val="43FB7A25"/>
    <w:rsid w:val="4408082A"/>
    <w:rsid w:val="45EF0E26"/>
    <w:rsid w:val="46D14581"/>
    <w:rsid w:val="47BC76F5"/>
    <w:rsid w:val="480E2158"/>
    <w:rsid w:val="487A531F"/>
    <w:rsid w:val="48855A71"/>
    <w:rsid w:val="48CB5A51"/>
    <w:rsid w:val="48D367DD"/>
    <w:rsid w:val="49441489"/>
    <w:rsid w:val="4A0A4480"/>
    <w:rsid w:val="4A315199"/>
    <w:rsid w:val="4AD1519E"/>
    <w:rsid w:val="4B65373A"/>
    <w:rsid w:val="4B9618C5"/>
    <w:rsid w:val="4D00163A"/>
    <w:rsid w:val="4DD70B1D"/>
    <w:rsid w:val="4E0928C0"/>
    <w:rsid w:val="4F0F5BE3"/>
    <w:rsid w:val="50826301"/>
    <w:rsid w:val="50943ECE"/>
    <w:rsid w:val="51353270"/>
    <w:rsid w:val="51894824"/>
    <w:rsid w:val="51900083"/>
    <w:rsid w:val="51EF50D8"/>
    <w:rsid w:val="52422029"/>
    <w:rsid w:val="527D766E"/>
    <w:rsid w:val="52E71802"/>
    <w:rsid w:val="530C3F70"/>
    <w:rsid w:val="53513120"/>
    <w:rsid w:val="54603F5B"/>
    <w:rsid w:val="547B7ADC"/>
    <w:rsid w:val="55040901"/>
    <w:rsid w:val="55316779"/>
    <w:rsid w:val="560F0D52"/>
    <w:rsid w:val="562F559D"/>
    <w:rsid w:val="56A83C55"/>
    <w:rsid w:val="56DF05DE"/>
    <w:rsid w:val="56F70118"/>
    <w:rsid w:val="57155327"/>
    <w:rsid w:val="579B65E3"/>
    <w:rsid w:val="57F87170"/>
    <w:rsid w:val="57FC6189"/>
    <w:rsid w:val="5A465C31"/>
    <w:rsid w:val="5A765E51"/>
    <w:rsid w:val="5AF06EB9"/>
    <w:rsid w:val="5C4A6EBD"/>
    <w:rsid w:val="5DDA18A8"/>
    <w:rsid w:val="5E73380B"/>
    <w:rsid w:val="5E8512AD"/>
    <w:rsid w:val="5EB85F21"/>
    <w:rsid w:val="5F073306"/>
    <w:rsid w:val="5F5F73B9"/>
    <w:rsid w:val="616A0AC6"/>
    <w:rsid w:val="62170016"/>
    <w:rsid w:val="63352C17"/>
    <w:rsid w:val="65DC0F6F"/>
    <w:rsid w:val="66D47E98"/>
    <w:rsid w:val="679F4002"/>
    <w:rsid w:val="6838144E"/>
    <w:rsid w:val="68AA7398"/>
    <w:rsid w:val="694C59B6"/>
    <w:rsid w:val="69653029"/>
    <w:rsid w:val="6A672476"/>
    <w:rsid w:val="6B4D1FC7"/>
    <w:rsid w:val="6BEA17C5"/>
    <w:rsid w:val="6D3031D9"/>
    <w:rsid w:val="6D83376D"/>
    <w:rsid w:val="6E2D30B3"/>
    <w:rsid w:val="6E466140"/>
    <w:rsid w:val="6ECD3699"/>
    <w:rsid w:val="6EF01D87"/>
    <w:rsid w:val="6F97D24A"/>
    <w:rsid w:val="71E909FE"/>
    <w:rsid w:val="71FC4E00"/>
    <w:rsid w:val="72C4302D"/>
    <w:rsid w:val="732B0E40"/>
    <w:rsid w:val="736A2D23"/>
    <w:rsid w:val="742C597A"/>
    <w:rsid w:val="747B5A30"/>
    <w:rsid w:val="748D1686"/>
    <w:rsid w:val="74A0760B"/>
    <w:rsid w:val="74DC0F51"/>
    <w:rsid w:val="74FA22C0"/>
    <w:rsid w:val="764652BC"/>
    <w:rsid w:val="76ED426C"/>
    <w:rsid w:val="793B1AA7"/>
    <w:rsid w:val="79DC2E94"/>
    <w:rsid w:val="7A032696"/>
    <w:rsid w:val="7A574C10"/>
    <w:rsid w:val="7BC506FF"/>
    <w:rsid w:val="7BE6299E"/>
    <w:rsid w:val="7CD64829"/>
    <w:rsid w:val="7D162B61"/>
    <w:rsid w:val="7DDC5370"/>
    <w:rsid w:val="7DF15D46"/>
    <w:rsid w:val="7E266DD3"/>
    <w:rsid w:val="7F833DB1"/>
    <w:rsid w:val="7F97D7F2"/>
    <w:rsid w:val="7FA51F7A"/>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qFormat="1" w:unhideWhenUsed="0"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9"/>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60"/>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1"/>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2"/>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3"/>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4"/>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5"/>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6"/>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58"/>
    <w:autoRedefine/>
    <w:qFormat/>
    <w:uiPriority w:val="99"/>
    <w:pPr>
      <w:autoSpaceDE w:val="0"/>
      <w:autoSpaceDN w:val="0"/>
      <w:adjustRightInd w:val="0"/>
      <w:ind w:firstLine="420"/>
      <w:jc w:val="left"/>
    </w:pPr>
    <w:rPr>
      <w:rFonts w:ascii="宋体"/>
      <w:sz w:val="24"/>
    </w:rPr>
  </w:style>
  <w:style w:type="paragraph" w:styleId="12">
    <w:name w:val="toc 7"/>
    <w:basedOn w:val="1"/>
    <w:next w:val="1"/>
    <w:autoRedefine/>
    <w:qFormat/>
    <w:uiPriority w:val="0"/>
    <w:pPr>
      <w:ind w:left="2520" w:leftChars="1200"/>
    </w:pPr>
  </w:style>
  <w:style w:type="paragraph" w:styleId="13">
    <w:name w:val="caption"/>
    <w:basedOn w:val="1"/>
    <w:next w:val="1"/>
    <w:autoRedefine/>
    <w:qFormat/>
    <w:uiPriority w:val="0"/>
    <w:pPr>
      <w:spacing w:line="480" w:lineRule="auto"/>
    </w:pPr>
    <w:rPr>
      <w:rFonts w:ascii="华文中宋" w:hAnsi="华文中宋" w:eastAsia="华文中宋"/>
      <w:sz w:val="36"/>
      <w:szCs w:val="20"/>
    </w:rPr>
  </w:style>
  <w:style w:type="paragraph" w:styleId="14">
    <w:name w:val="Document Map"/>
    <w:basedOn w:val="1"/>
    <w:link w:val="67"/>
    <w:autoRedefine/>
    <w:qFormat/>
    <w:uiPriority w:val="0"/>
    <w:pPr>
      <w:shd w:val="clear" w:color="auto" w:fill="000080"/>
    </w:pPr>
  </w:style>
  <w:style w:type="paragraph" w:styleId="15">
    <w:name w:val="toa heading"/>
    <w:basedOn w:val="1"/>
    <w:next w:val="1"/>
    <w:autoRedefine/>
    <w:qFormat/>
    <w:uiPriority w:val="0"/>
    <w:pPr>
      <w:spacing w:before="120"/>
    </w:pPr>
    <w:rPr>
      <w:rFonts w:ascii="Arial" w:hAnsi="Arial"/>
      <w:b/>
      <w:bCs/>
    </w:rPr>
  </w:style>
  <w:style w:type="paragraph" w:styleId="16">
    <w:name w:val="annotation text"/>
    <w:basedOn w:val="1"/>
    <w:link w:val="68"/>
    <w:autoRedefine/>
    <w:qFormat/>
    <w:uiPriority w:val="99"/>
    <w:pPr>
      <w:jc w:val="left"/>
    </w:pPr>
  </w:style>
  <w:style w:type="paragraph" w:styleId="17">
    <w:name w:val="Body Text 3"/>
    <w:basedOn w:val="1"/>
    <w:link w:val="69"/>
    <w:autoRedefine/>
    <w:qFormat/>
    <w:uiPriority w:val="0"/>
    <w:pPr>
      <w:spacing w:after="120"/>
    </w:pPr>
    <w:rPr>
      <w:sz w:val="16"/>
      <w:szCs w:val="16"/>
    </w:rPr>
  </w:style>
  <w:style w:type="paragraph" w:styleId="18">
    <w:name w:val="List Bullet 3"/>
    <w:basedOn w:val="1"/>
    <w:autoRedefine/>
    <w:qFormat/>
    <w:uiPriority w:val="0"/>
    <w:pPr>
      <w:numPr>
        <w:ilvl w:val="0"/>
        <w:numId w:val="1"/>
      </w:numPr>
    </w:pPr>
  </w:style>
  <w:style w:type="paragraph" w:styleId="19">
    <w:name w:val="Body Text"/>
    <w:basedOn w:val="1"/>
    <w:link w:val="70"/>
    <w:autoRedefine/>
    <w:qFormat/>
    <w:uiPriority w:val="0"/>
    <w:pPr>
      <w:tabs>
        <w:tab w:val="left" w:pos="567"/>
      </w:tabs>
      <w:spacing w:before="120" w:line="22" w:lineRule="atLeast"/>
    </w:pPr>
    <w:rPr>
      <w:rFonts w:ascii="宋体" w:hAnsi="宋体"/>
      <w:sz w:val="24"/>
    </w:rPr>
  </w:style>
  <w:style w:type="paragraph" w:styleId="20">
    <w:name w:val="Body Text Indent"/>
    <w:basedOn w:val="1"/>
    <w:link w:val="71"/>
    <w:autoRedefine/>
    <w:qFormat/>
    <w:uiPriority w:val="0"/>
    <w:pPr>
      <w:spacing w:line="360" w:lineRule="auto"/>
      <w:ind w:firstLine="570"/>
    </w:pPr>
    <w:rPr>
      <w:sz w:val="24"/>
    </w:rPr>
  </w:style>
  <w:style w:type="paragraph" w:styleId="21">
    <w:name w:val="List 2"/>
    <w:basedOn w:val="1"/>
    <w:autoRedefine/>
    <w:qFormat/>
    <w:uiPriority w:val="0"/>
    <w:pPr>
      <w:ind w:left="100" w:leftChars="200" w:hanging="200" w:hangingChars="200"/>
    </w:pPr>
  </w:style>
  <w:style w:type="paragraph" w:styleId="22">
    <w:name w:val="Block Text"/>
    <w:basedOn w:val="1"/>
    <w:autoRedefine/>
    <w:qFormat/>
    <w:uiPriority w:val="0"/>
    <w:pPr>
      <w:widowControl/>
      <w:ind w:left="480" w:right="-341" w:firstLine="513"/>
    </w:pPr>
    <w:rPr>
      <w:kern w:val="0"/>
      <w:sz w:val="24"/>
      <w:szCs w:val="20"/>
    </w:rPr>
  </w:style>
  <w:style w:type="paragraph" w:styleId="23">
    <w:name w:val="toc 5"/>
    <w:basedOn w:val="1"/>
    <w:next w:val="1"/>
    <w:autoRedefine/>
    <w:qFormat/>
    <w:uiPriority w:val="0"/>
    <w:pPr>
      <w:ind w:left="1680" w:leftChars="800"/>
    </w:pPr>
  </w:style>
  <w:style w:type="paragraph" w:styleId="24">
    <w:name w:val="toc 3"/>
    <w:basedOn w:val="1"/>
    <w:next w:val="1"/>
    <w:autoRedefine/>
    <w:qFormat/>
    <w:uiPriority w:val="39"/>
    <w:pPr>
      <w:ind w:left="840" w:leftChars="400"/>
    </w:pPr>
  </w:style>
  <w:style w:type="paragraph" w:styleId="25">
    <w:name w:val="Plain Text"/>
    <w:basedOn w:val="1"/>
    <w:link w:val="72"/>
    <w:autoRedefine/>
    <w:qFormat/>
    <w:uiPriority w:val="0"/>
    <w:rPr>
      <w:rFonts w:hint="eastAsia" w:ascii="宋体" w:hAnsi="Courier New"/>
      <w:szCs w:val="20"/>
    </w:rPr>
  </w:style>
  <w:style w:type="paragraph" w:styleId="26">
    <w:name w:val="toc 8"/>
    <w:basedOn w:val="1"/>
    <w:next w:val="1"/>
    <w:autoRedefine/>
    <w:qFormat/>
    <w:uiPriority w:val="0"/>
    <w:pPr>
      <w:ind w:left="2940" w:leftChars="1400"/>
    </w:pPr>
  </w:style>
  <w:style w:type="paragraph" w:styleId="27">
    <w:name w:val="Date"/>
    <w:basedOn w:val="1"/>
    <w:next w:val="1"/>
    <w:link w:val="73"/>
    <w:autoRedefine/>
    <w:qFormat/>
    <w:uiPriority w:val="0"/>
    <w:pPr>
      <w:ind w:left="100" w:leftChars="2500"/>
    </w:pPr>
    <w:rPr>
      <w:rFonts w:ascii="仿宋_GB2312" w:hAnsi="宋体" w:eastAsia="仿宋_GB2312"/>
      <w:color w:val="000000"/>
      <w:sz w:val="24"/>
    </w:rPr>
  </w:style>
  <w:style w:type="paragraph" w:styleId="28">
    <w:name w:val="Body Text Indent 2"/>
    <w:basedOn w:val="1"/>
    <w:link w:val="74"/>
    <w:autoRedefine/>
    <w:qFormat/>
    <w:uiPriority w:val="0"/>
    <w:pPr>
      <w:ind w:firstLine="480" w:firstLineChars="200"/>
    </w:pPr>
    <w:rPr>
      <w:rFonts w:ascii="仿宋_GB2312" w:eastAsia="仿宋_GB2312"/>
      <w:sz w:val="24"/>
    </w:rPr>
  </w:style>
  <w:style w:type="paragraph" w:styleId="29">
    <w:name w:val="Balloon Text"/>
    <w:basedOn w:val="1"/>
    <w:link w:val="75"/>
    <w:autoRedefine/>
    <w:qFormat/>
    <w:uiPriority w:val="0"/>
    <w:rPr>
      <w:sz w:val="18"/>
      <w:szCs w:val="18"/>
    </w:rPr>
  </w:style>
  <w:style w:type="paragraph" w:styleId="30">
    <w:name w:val="footer"/>
    <w:basedOn w:val="1"/>
    <w:link w:val="76"/>
    <w:autoRedefine/>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77"/>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Signature"/>
    <w:basedOn w:val="1"/>
    <w:link w:val="78"/>
    <w:autoRedefine/>
    <w:qFormat/>
    <w:uiPriority w:val="0"/>
    <w:pPr>
      <w:adjustRightInd w:val="0"/>
      <w:spacing w:after="600" w:line="312" w:lineRule="atLeast"/>
      <w:jc w:val="center"/>
      <w:textAlignment w:val="baseline"/>
    </w:pPr>
    <w:rPr>
      <w:rFonts w:eastAsia="仿宋_GB2312"/>
      <w:kern w:val="0"/>
      <w:sz w:val="24"/>
      <w:szCs w:val="20"/>
      <w:lang w:val="zh-CN"/>
    </w:rPr>
  </w:style>
  <w:style w:type="paragraph" w:styleId="33">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4">
    <w:name w:val="toc 4"/>
    <w:basedOn w:val="1"/>
    <w:next w:val="1"/>
    <w:autoRedefine/>
    <w:qFormat/>
    <w:uiPriority w:val="0"/>
    <w:pPr>
      <w:ind w:left="1260" w:leftChars="600"/>
    </w:pPr>
  </w:style>
  <w:style w:type="paragraph" w:styleId="35">
    <w:name w:val="toc 6"/>
    <w:basedOn w:val="1"/>
    <w:next w:val="1"/>
    <w:autoRedefine/>
    <w:qFormat/>
    <w:uiPriority w:val="0"/>
    <w:pPr>
      <w:ind w:left="2100" w:leftChars="1000"/>
    </w:pPr>
  </w:style>
  <w:style w:type="paragraph" w:styleId="36">
    <w:name w:val="Body Text Indent 3"/>
    <w:basedOn w:val="1"/>
    <w:link w:val="79"/>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7">
    <w:name w:val="toc 2"/>
    <w:basedOn w:val="1"/>
    <w:next w:val="1"/>
    <w:autoRedefine/>
    <w:qFormat/>
    <w:uiPriority w:val="39"/>
    <w:pPr>
      <w:tabs>
        <w:tab w:val="right" w:leader="dot" w:pos="8937"/>
      </w:tabs>
      <w:spacing w:line="312" w:lineRule="auto"/>
      <w:ind w:left="420" w:leftChars="200"/>
    </w:pPr>
  </w:style>
  <w:style w:type="paragraph" w:styleId="38">
    <w:name w:val="toc 9"/>
    <w:basedOn w:val="1"/>
    <w:next w:val="1"/>
    <w:autoRedefine/>
    <w:qFormat/>
    <w:uiPriority w:val="0"/>
    <w:pPr>
      <w:ind w:left="3360" w:leftChars="1600"/>
    </w:pPr>
  </w:style>
  <w:style w:type="paragraph" w:styleId="39">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autoRedefine/>
    <w:qFormat/>
    <w:uiPriority w:val="0"/>
    <w:rPr>
      <w:szCs w:val="20"/>
    </w:rPr>
  </w:style>
  <w:style w:type="paragraph" w:styleId="42">
    <w:name w:val="Title"/>
    <w:basedOn w:val="1"/>
    <w:link w:val="81"/>
    <w:autoRedefine/>
    <w:qFormat/>
    <w:uiPriority w:val="0"/>
    <w:pPr>
      <w:jc w:val="center"/>
      <w:outlineLvl w:val="0"/>
    </w:pPr>
    <w:rPr>
      <w:b/>
      <w:sz w:val="32"/>
      <w:szCs w:val="20"/>
    </w:rPr>
  </w:style>
  <w:style w:type="paragraph" w:styleId="43">
    <w:name w:val="annotation subject"/>
    <w:basedOn w:val="16"/>
    <w:next w:val="16"/>
    <w:link w:val="82"/>
    <w:autoRedefine/>
    <w:qFormat/>
    <w:uiPriority w:val="0"/>
    <w:rPr>
      <w:b/>
      <w:bCs/>
    </w:rPr>
  </w:style>
  <w:style w:type="paragraph" w:styleId="44">
    <w:name w:val="Body Text First Indent 2"/>
    <w:basedOn w:val="20"/>
    <w:link w:val="83"/>
    <w:autoRedefine/>
    <w:qFormat/>
    <w:uiPriority w:val="0"/>
    <w:pPr>
      <w:spacing w:after="120" w:line="480" w:lineRule="exact"/>
      <w:ind w:left="420" w:leftChars="200" w:firstLine="420" w:firstLineChars="200"/>
    </w:pPr>
    <w:rPr>
      <w:szCs w:val="20"/>
    </w:rPr>
  </w:style>
  <w:style w:type="table" w:styleId="46">
    <w:name w:val="Table Grid"/>
    <w:basedOn w:val="45"/>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autoRedefine/>
    <w:qFormat/>
    <w:uiPriority w:val="0"/>
    <w:rPr>
      <w:b/>
      <w:bCs/>
    </w:rPr>
  </w:style>
  <w:style w:type="character" w:styleId="50">
    <w:name w:val="page number"/>
    <w:autoRedefine/>
    <w:qFormat/>
    <w:uiPriority w:val="0"/>
  </w:style>
  <w:style w:type="character" w:styleId="51">
    <w:name w:val="FollowedHyperlink"/>
    <w:autoRedefine/>
    <w:qFormat/>
    <w:uiPriority w:val="0"/>
    <w:rPr>
      <w:color w:val="800080"/>
      <w:u w:val="single"/>
    </w:rPr>
  </w:style>
  <w:style w:type="character" w:styleId="52">
    <w:name w:val="Emphasis"/>
    <w:autoRedefine/>
    <w:qFormat/>
    <w:uiPriority w:val="0"/>
    <w:rPr>
      <w:color w:val="CC0033"/>
    </w:rPr>
  </w:style>
  <w:style w:type="character" w:styleId="53">
    <w:name w:val="Hyperlink"/>
    <w:autoRedefine/>
    <w:qFormat/>
    <w:uiPriority w:val="99"/>
    <w:rPr>
      <w:color w:val="0000FF"/>
      <w:u w:val="single"/>
    </w:rPr>
  </w:style>
  <w:style w:type="character" w:styleId="54">
    <w:name w:val="annotation reference"/>
    <w:basedOn w:val="48"/>
    <w:autoRedefine/>
    <w:qFormat/>
    <w:uiPriority w:val="99"/>
    <w:rPr>
      <w:sz w:val="21"/>
      <w:szCs w:val="21"/>
    </w:rPr>
  </w:style>
  <w:style w:type="character" w:styleId="55">
    <w:name w:val="HTML Cite"/>
    <w:autoRedefine/>
    <w:qFormat/>
    <w:uiPriority w:val="0"/>
    <w:rPr>
      <w:i/>
      <w:iCs/>
    </w:rPr>
  </w:style>
  <w:style w:type="paragraph" w:customStyle="1" w:styleId="56">
    <w:name w:val="BodyText"/>
    <w:autoRedefine/>
    <w:qFormat/>
    <w:uiPriority w:val="0"/>
    <w:pPr>
      <w:widowControl w:val="0"/>
      <w:suppressAutoHyphens/>
      <w:autoSpaceDN w:val="0"/>
      <w:jc w:val="both"/>
      <w:textAlignment w:val="baseline"/>
    </w:pPr>
    <w:rPr>
      <w:rFonts w:ascii="Calibri" w:hAnsi="Calibri" w:eastAsia="宋体" w:cs="Times New Roman"/>
      <w:kern w:val="3"/>
      <w:sz w:val="21"/>
      <w:lang w:val="en-US" w:eastAsia="zh-CN" w:bidi="ar-SA"/>
    </w:rPr>
  </w:style>
  <w:style w:type="character" w:customStyle="1" w:styleId="57">
    <w:name w:val="标题 1 Char"/>
    <w:link w:val="2"/>
    <w:autoRedefine/>
    <w:qFormat/>
    <w:uiPriority w:val="0"/>
    <w:rPr>
      <w:rFonts w:ascii="宋体"/>
      <w:b/>
      <w:kern w:val="44"/>
      <w:sz w:val="32"/>
    </w:rPr>
  </w:style>
  <w:style w:type="character" w:customStyle="1" w:styleId="58">
    <w:name w:val="正文缩进 Char1"/>
    <w:link w:val="5"/>
    <w:autoRedefine/>
    <w:qFormat/>
    <w:uiPriority w:val="0"/>
    <w:rPr>
      <w:rFonts w:ascii="宋体" w:eastAsia="宋体"/>
      <w:kern w:val="2"/>
      <w:sz w:val="24"/>
      <w:szCs w:val="24"/>
      <w:lang w:val="en-US" w:eastAsia="zh-CN" w:bidi="ar-SA"/>
    </w:rPr>
  </w:style>
  <w:style w:type="character" w:customStyle="1" w:styleId="59">
    <w:name w:val="标题 2 Char1"/>
    <w:link w:val="3"/>
    <w:autoRedefine/>
    <w:qFormat/>
    <w:uiPriority w:val="0"/>
    <w:rPr>
      <w:rFonts w:ascii="Arial" w:hAnsi="Arial" w:eastAsia="黑体"/>
      <w:b/>
      <w:sz w:val="30"/>
      <w:lang w:val="en-US" w:eastAsia="zh-CN" w:bidi="ar-SA"/>
    </w:rPr>
  </w:style>
  <w:style w:type="character" w:customStyle="1" w:styleId="60">
    <w:name w:val="标题 3 Char1"/>
    <w:link w:val="4"/>
    <w:autoRedefine/>
    <w:qFormat/>
    <w:uiPriority w:val="0"/>
    <w:rPr>
      <w:rFonts w:ascii="宋体" w:eastAsia="宋体"/>
      <w:b/>
      <w:sz w:val="24"/>
      <w:u w:val="single"/>
      <w:lang w:val="en-US" w:eastAsia="zh-CN" w:bidi="ar-SA"/>
    </w:rPr>
  </w:style>
  <w:style w:type="character" w:customStyle="1" w:styleId="61">
    <w:name w:val="标题 4 Char"/>
    <w:link w:val="6"/>
    <w:autoRedefine/>
    <w:qFormat/>
    <w:uiPriority w:val="0"/>
    <w:rPr>
      <w:rFonts w:ascii="Arial" w:hAnsi="Arial" w:eastAsia="黑体"/>
      <w:b/>
      <w:sz w:val="28"/>
    </w:rPr>
  </w:style>
  <w:style w:type="character" w:customStyle="1" w:styleId="62">
    <w:name w:val="标题 5 Char"/>
    <w:link w:val="7"/>
    <w:autoRedefine/>
    <w:qFormat/>
    <w:uiPriority w:val="0"/>
    <w:rPr>
      <w:b/>
      <w:sz w:val="28"/>
    </w:rPr>
  </w:style>
  <w:style w:type="character" w:customStyle="1" w:styleId="63">
    <w:name w:val="标题 6 Char"/>
    <w:link w:val="8"/>
    <w:autoRedefine/>
    <w:qFormat/>
    <w:uiPriority w:val="0"/>
    <w:rPr>
      <w:rFonts w:ascii="Arial" w:hAnsi="Arial" w:eastAsia="黑体"/>
      <w:b/>
      <w:sz w:val="24"/>
    </w:rPr>
  </w:style>
  <w:style w:type="character" w:customStyle="1" w:styleId="64">
    <w:name w:val="标题 7 Char"/>
    <w:link w:val="9"/>
    <w:autoRedefine/>
    <w:qFormat/>
    <w:uiPriority w:val="0"/>
    <w:rPr>
      <w:b/>
      <w:sz w:val="24"/>
    </w:rPr>
  </w:style>
  <w:style w:type="character" w:customStyle="1" w:styleId="65">
    <w:name w:val="标题 8 Char"/>
    <w:link w:val="10"/>
    <w:autoRedefine/>
    <w:qFormat/>
    <w:uiPriority w:val="0"/>
    <w:rPr>
      <w:rFonts w:ascii="Arial" w:hAnsi="Arial" w:eastAsia="黑体"/>
      <w:sz w:val="24"/>
    </w:rPr>
  </w:style>
  <w:style w:type="character" w:customStyle="1" w:styleId="66">
    <w:name w:val="标题 9 Char"/>
    <w:link w:val="11"/>
    <w:autoRedefine/>
    <w:qFormat/>
    <w:uiPriority w:val="0"/>
    <w:rPr>
      <w:rFonts w:ascii="Arial" w:hAnsi="Arial" w:eastAsia="黑体"/>
      <w:sz w:val="21"/>
    </w:rPr>
  </w:style>
  <w:style w:type="character" w:customStyle="1" w:styleId="67">
    <w:name w:val="文档结构图 Char"/>
    <w:link w:val="14"/>
    <w:autoRedefine/>
    <w:qFormat/>
    <w:uiPriority w:val="0"/>
    <w:rPr>
      <w:kern w:val="2"/>
      <w:sz w:val="21"/>
      <w:szCs w:val="24"/>
      <w:shd w:val="clear" w:color="auto" w:fill="000080"/>
    </w:rPr>
  </w:style>
  <w:style w:type="character" w:customStyle="1" w:styleId="68">
    <w:name w:val="批注文字 Char1"/>
    <w:link w:val="16"/>
    <w:autoRedefine/>
    <w:qFormat/>
    <w:uiPriority w:val="99"/>
    <w:rPr>
      <w:kern w:val="2"/>
      <w:sz w:val="21"/>
      <w:szCs w:val="24"/>
    </w:rPr>
  </w:style>
  <w:style w:type="character" w:customStyle="1" w:styleId="69">
    <w:name w:val="正文文本 3 Char"/>
    <w:link w:val="17"/>
    <w:autoRedefine/>
    <w:qFormat/>
    <w:uiPriority w:val="0"/>
    <w:rPr>
      <w:kern w:val="2"/>
      <w:sz w:val="16"/>
      <w:szCs w:val="16"/>
    </w:rPr>
  </w:style>
  <w:style w:type="character" w:customStyle="1" w:styleId="70">
    <w:name w:val="正文文本 Char"/>
    <w:link w:val="19"/>
    <w:autoRedefine/>
    <w:qFormat/>
    <w:uiPriority w:val="0"/>
    <w:rPr>
      <w:rFonts w:ascii="宋体" w:hAnsi="宋体"/>
      <w:kern w:val="2"/>
      <w:sz w:val="24"/>
      <w:szCs w:val="24"/>
    </w:rPr>
  </w:style>
  <w:style w:type="character" w:customStyle="1" w:styleId="71">
    <w:name w:val="正文文本缩进 Char2"/>
    <w:link w:val="20"/>
    <w:autoRedefine/>
    <w:qFormat/>
    <w:uiPriority w:val="0"/>
    <w:rPr>
      <w:rFonts w:eastAsia="宋体"/>
      <w:kern w:val="2"/>
      <w:sz w:val="24"/>
      <w:szCs w:val="24"/>
      <w:lang w:val="en-US" w:eastAsia="zh-CN" w:bidi="ar-SA"/>
    </w:rPr>
  </w:style>
  <w:style w:type="character" w:customStyle="1" w:styleId="72">
    <w:name w:val="纯文本 Char"/>
    <w:link w:val="25"/>
    <w:autoRedefine/>
    <w:qFormat/>
    <w:uiPriority w:val="0"/>
    <w:rPr>
      <w:rFonts w:hint="eastAsia" w:ascii="宋体" w:hAnsi="Courier New" w:eastAsia="宋体" w:cs="宋体"/>
      <w:kern w:val="2"/>
      <w:sz w:val="21"/>
    </w:rPr>
  </w:style>
  <w:style w:type="character" w:customStyle="1" w:styleId="73">
    <w:name w:val="日期 Char"/>
    <w:link w:val="27"/>
    <w:autoRedefine/>
    <w:qFormat/>
    <w:uiPriority w:val="0"/>
    <w:rPr>
      <w:rFonts w:ascii="仿宋_GB2312" w:hAnsi="宋体" w:eastAsia="仿宋_GB2312"/>
      <w:color w:val="000000"/>
      <w:kern w:val="2"/>
      <w:sz w:val="24"/>
      <w:szCs w:val="24"/>
    </w:rPr>
  </w:style>
  <w:style w:type="character" w:customStyle="1" w:styleId="74">
    <w:name w:val="正文文本缩进 2 Char"/>
    <w:link w:val="28"/>
    <w:autoRedefine/>
    <w:qFormat/>
    <w:uiPriority w:val="0"/>
    <w:rPr>
      <w:rFonts w:ascii="仿宋_GB2312" w:eastAsia="仿宋_GB2312"/>
      <w:kern w:val="2"/>
      <w:sz w:val="24"/>
      <w:szCs w:val="24"/>
    </w:rPr>
  </w:style>
  <w:style w:type="character" w:customStyle="1" w:styleId="75">
    <w:name w:val="批注框文本 Char"/>
    <w:link w:val="29"/>
    <w:autoRedefine/>
    <w:qFormat/>
    <w:uiPriority w:val="0"/>
    <w:rPr>
      <w:kern w:val="2"/>
      <w:sz w:val="18"/>
      <w:szCs w:val="18"/>
    </w:rPr>
  </w:style>
  <w:style w:type="character" w:customStyle="1" w:styleId="76">
    <w:name w:val="页脚 Char1"/>
    <w:link w:val="30"/>
    <w:autoRedefine/>
    <w:qFormat/>
    <w:uiPriority w:val="0"/>
    <w:rPr>
      <w:rFonts w:ascii="宋体" w:eastAsia="宋体"/>
      <w:sz w:val="18"/>
      <w:lang w:val="en-US" w:eastAsia="zh-CN" w:bidi="ar-SA"/>
    </w:rPr>
  </w:style>
  <w:style w:type="character" w:customStyle="1" w:styleId="77">
    <w:name w:val="页眉 Char1"/>
    <w:link w:val="31"/>
    <w:autoRedefine/>
    <w:qFormat/>
    <w:uiPriority w:val="0"/>
    <w:rPr>
      <w:rFonts w:eastAsia="宋体"/>
      <w:kern w:val="2"/>
      <w:sz w:val="18"/>
      <w:szCs w:val="18"/>
      <w:lang w:val="en-US" w:eastAsia="zh-CN" w:bidi="ar-SA"/>
    </w:rPr>
  </w:style>
  <w:style w:type="character" w:customStyle="1" w:styleId="78">
    <w:name w:val="签名 Char"/>
    <w:link w:val="32"/>
    <w:autoRedefine/>
    <w:qFormat/>
    <w:uiPriority w:val="0"/>
    <w:rPr>
      <w:rFonts w:eastAsia="仿宋_GB2312"/>
      <w:sz w:val="24"/>
      <w:lang w:val="zh-CN"/>
    </w:rPr>
  </w:style>
  <w:style w:type="character" w:customStyle="1" w:styleId="79">
    <w:name w:val="正文文本缩进 3 Char"/>
    <w:link w:val="36"/>
    <w:autoRedefine/>
    <w:qFormat/>
    <w:uiPriority w:val="0"/>
    <w:rPr>
      <w:rFonts w:ascii="宋体"/>
      <w:sz w:val="24"/>
    </w:rPr>
  </w:style>
  <w:style w:type="character" w:customStyle="1" w:styleId="80">
    <w:name w:val="HTML 预设格式 Char"/>
    <w:link w:val="39"/>
    <w:autoRedefine/>
    <w:qFormat/>
    <w:uiPriority w:val="0"/>
    <w:rPr>
      <w:rFonts w:ascii="宋体" w:hAnsi="宋体" w:cs="宋体"/>
      <w:sz w:val="24"/>
      <w:szCs w:val="24"/>
    </w:rPr>
  </w:style>
  <w:style w:type="character" w:customStyle="1" w:styleId="81">
    <w:name w:val="标题 Char1"/>
    <w:link w:val="42"/>
    <w:autoRedefine/>
    <w:qFormat/>
    <w:uiPriority w:val="0"/>
    <w:rPr>
      <w:b/>
      <w:kern w:val="2"/>
      <w:sz w:val="32"/>
    </w:rPr>
  </w:style>
  <w:style w:type="character" w:customStyle="1" w:styleId="82">
    <w:name w:val="批注主题 Char"/>
    <w:link w:val="43"/>
    <w:autoRedefine/>
    <w:qFormat/>
    <w:uiPriority w:val="0"/>
    <w:rPr>
      <w:rFonts w:ascii="Times New Roman" w:hAnsi="Times New Roman" w:eastAsia="宋体" w:cs="Times New Roman"/>
      <w:b/>
      <w:bCs/>
      <w:kern w:val="2"/>
      <w:sz w:val="21"/>
      <w:szCs w:val="24"/>
      <w:lang w:val="en-US" w:eastAsia="zh-CN" w:bidi="ar-SA"/>
    </w:rPr>
  </w:style>
  <w:style w:type="character" w:customStyle="1" w:styleId="83">
    <w:name w:val="正文首行缩进 2 Char"/>
    <w:link w:val="44"/>
    <w:autoRedefine/>
    <w:qFormat/>
    <w:uiPriority w:val="0"/>
    <w:rPr>
      <w:rFonts w:eastAsia="宋体"/>
      <w:kern w:val="2"/>
      <w:sz w:val="24"/>
      <w:szCs w:val="24"/>
      <w:lang w:val="en-US" w:eastAsia="zh-CN" w:bidi="ar-SA"/>
    </w:rPr>
  </w:style>
  <w:style w:type="character" w:customStyle="1" w:styleId="84">
    <w:name w:val="标题 2 Char"/>
    <w:autoRedefine/>
    <w:qFormat/>
    <w:uiPriority w:val="0"/>
    <w:rPr>
      <w:rFonts w:ascii="Arial" w:hAnsi="Arial" w:eastAsia="黑体"/>
      <w:b/>
      <w:sz w:val="30"/>
      <w:lang w:val="en-US" w:eastAsia="zh-CN" w:bidi="ar-SA"/>
    </w:rPr>
  </w:style>
  <w:style w:type="character" w:customStyle="1" w:styleId="85">
    <w:name w:val="标题 3 Char"/>
    <w:autoRedefine/>
    <w:qFormat/>
    <w:uiPriority w:val="0"/>
    <w:rPr>
      <w:rFonts w:ascii="宋体" w:eastAsia="宋体"/>
      <w:b/>
      <w:sz w:val="24"/>
      <w:u w:val="single"/>
      <w:lang w:val="en-US" w:eastAsia="zh-CN" w:bidi="ar-SA"/>
    </w:rPr>
  </w:style>
  <w:style w:type="paragraph" w:customStyle="1" w:styleId="86">
    <w:name w:val="Default"/>
    <w:next w:val="1"/>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87">
    <w:name w:val="批注文字 字符"/>
    <w:autoRedefine/>
    <w:qFormat/>
    <w:uiPriority w:val="99"/>
    <w:rPr>
      <w:rFonts w:ascii="Times New Roman" w:hAnsi="Times New Roman" w:eastAsia="宋体" w:cs="Times New Roman"/>
      <w:sz w:val="24"/>
      <w:lang w:val="en-US" w:eastAsia="zh-CN" w:bidi="ar-SA"/>
    </w:rPr>
  </w:style>
  <w:style w:type="character" w:customStyle="1" w:styleId="88">
    <w:name w:val="c21"/>
    <w:autoRedefine/>
    <w:qFormat/>
    <w:uiPriority w:val="0"/>
    <w:rPr>
      <w:rFonts w:hint="default" w:ascii="ˎ̥" w:hAnsi="ˎ̥"/>
      <w:color w:val="000000"/>
      <w:sz w:val="20"/>
      <w:szCs w:val="20"/>
      <w:u w:val="none"/>
    </w:rPr>
  </w:style>
  <w:style w:type="character" w:customStyle="1" w:styleId="89">
    <w:name w:val="title4"/>
    <w:autoRedefine/>
    <w:qFormat/>
    <w:uiPriority w:val="0"/>
    <w:rPr>
      <w:b/>
      <w:bCs/>
      <w:color w:val="1D87B3"/>
      <w:sz w:val="15"/>
      <w:szCs w:val="15"/>
    </w:rPr>
  </w:style>
  <w:style w:type="character" w:customStyle="1" w:styleId="90">
    <w:name w:val="标题 2 Char Char"/>
    <w:autoRedefine/>
    <w:qFormat/>
    <w:uiPriority w:val="0"/>
    <w:rPr>
      <w:rFonts w:ascii="Arial" w:hAnsi="Arial" w:eastAsia="黑体"/>
      <w:b/>
      <w:bCs/>
      <w:kern w:val="2"/>
      <w:sz w:val="32"/>
      <w:szCs w:val="32"/>
      <w:lang w:val="en-US" w:eastAsia="zh-CN" w:bidi="ar-SA"/>
    </w:rPr>
  </w:style>
  <w:style w:type="character" w:customStyle="1" w:styleId="91">
    <w:name w:val="black1"/>
    <w:autoRedefine/>
    <w:qFormat/>
    <w:uiPriority w:val="0"/>
    <w:rPr>
      <w:color w:val="000000"/>
    </w:rPr>
  </w:style>
  <w:style w:type="character" w:customStyle="1" w:styleId="92">
    <w:name w:val="street-address"/>
    <w:autoRedefine/>
    <w:qFormat/>
    <w:uiPriority w:val="0"/>
  </w:style>
  <w:style w:type="character" w:customStyle="1" w:styleId="93">
    <w:name w:val="locality"/>
    <w:autoRedefine/>
    <w:qFormat/>
    <w:uiPriority w:val="0"/>
  </w:style>
  <w:style w:type="character" w:customStyle="1" w:styleId="94">
    <w:name w:val="正文文本缩进 Char1"/>
    <w:link w:val="95"/>
    <w:autoRedefine/>
    <w:qFormat/>
    <w:uiPriority w:val="0"/>
    <w:rPr>
      <w:rFonts w:ascii="宋体" w:hAnsi="宋体" w:eastAsia="宋体"/>
      <w:sz w:val="24"/>
      <w:szCs w:val="24"/>
      <w:lang w:bidi="ar-SA"/>
    </w:rPr>
  </w:style>
  <w:style w:type="paragraph" w:customStyle="1" w:styleId="95">
    <w:name w:val="正文文本缩进1"/>
    <w:basedOn w:val="1"/>
    <w:link w:val="94"/>
    <w:autoRedefine/>
    <w:qFormat/>
    <w:uiPriority w:val="0"/>
    <w:pPr>
      <w:spacing w:line="480" w:lineRule="exact"/>
      <w:ind w:firstLine="480" w:firstLineChars="200"/>
    </w:pPr>
    <w:rPr>
      <w:rFonts w:ascii="宋体" w:hAnsi="宋体"/>
      <w:kern w:val="0"/>
      <w:sz w:val="24"/>
    </w:rPr>
  </w:style>
  <w:style w:type="character" w:customStyle="1" w:styleId="96">
    <w:name w:val="Char Char11"/>
    <w:autoRedefine/>
    <w:qFormat/>
    <w:uiPriority w:val="0"/>
    <w:rPr>
      <w:rFonts w:ascii="宋体" w:eastAsia="宋体"/>
      <w:b/>
      <w:sz w:val="24"/>
      <w:u w:val="single"/>
      <w:lang w:val="en-US" w:eastAsia="zh-CN" w:bidi="ar-SA"/>
    </w:rPr>
  </w:style>
  <w:style w:type="character" w:customStyle="1" w:styleId="97">
    <w:name w:val="txt"/>
    <w:autoRedefine/>
    <w:qFormat/>
    <w:uiPriority w:val="0"/>
  </w:style>
  <w:style w:type="character" w:customStyle="1" w:styleId="98">
    <w:name w:val="正文缩进 Char Char"/>
    <w:link w:val="99"/>
    <w:autoRedefine/>
    <w:qFormat/>
    <w:uiPriority w:val="0"/>
    <w:rPr>
      <w:rFonts w:ascii="宋体" w:eastAsia="宋体"/>
      <w:snapToGrid w:val="0"/>
      <w:color w:val="000000"/>
      <w:kern w:val="28"/>
      <w:sz w:val="28"/>
      <w:lang w:bidi="ar-SA"/>
    </w:rPr>
  </w:style>
  <w:style w:type="paragraph" w:customStyle="1" w:styleId="99">
    <w:name w:val="正文缩进1"/>
    <w:basedOn w:val="1"/>
    <w:link w:val="98"/>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00">
    <w:name w:val="普通文字1 Char1"/>
    <w:autoRedefine/>
    <w:qFormat/>
    <w:uiPriority w:val="0"/>
    <w:rPr>
      <w:rFonts w:ascii="宋体" w:hAnsi="Courier New" w:eastAsia="宋体"/>
      <w:kern w:val="2"/>
      <w:sz w:val="21"/>
      <w:lang w:val="en-US" w:eastAsia="zh-CN" w:bidi="ar-SA"/>
    </w:rPr>
  </w:style>
  <w:style w:type="character" w:customStyle="1" w:styleId="101">
    <w:name w:val="chanpin1"/>
    <w:autoRedefine/>
    <w:qFormat/>
    <w:uiPriority w:val="0"/>
    <w:rPr>
      <w:rFonts w:hint="default" w:ascii="ˎ̥" w:hAnsi="ˎ̥"/>
      <w:color w:val="000000"/>
      <w:sz w:val="20"/>
      <w:szCs w:val="20"/>
      <w:u w:val="none"/>
    </w:rPr>
  </w:style>
  <w:style w:type="character" w:customStyle="1" w:styleId="102">
    <w:name w:val="列出段落 Char1"/>
    <w:link w:val="103"/>
    <w:autoRedefine/>
    <w:qFormat/>
    <w:uiPriority w:val="34"/>
    <w:rPr>
      <w:rFonts w:ascii="Calibri" w:hAnsi="Calibri" w:eastAsia="宋体"/>
      <w:kern w:val="2"/>
      <w:sz w:val="21"/>
      <w:szCs w:val="22"/>
      <w:lang w:val="en-US" w:eastAsia="zh-CN" w:bidi="ar-SA"/>
    </w:rPr>
  </w:style>
  <w:style w:type="paragraph" w:styleId="103">
    <w:name w:val="List Paragraph"/>
    <w:basedOn w:val="1"/>
    <w:link w:val="102"/>
    <w:autoRedefine/>
    <w:qFormat/>
    <w:uiPriority w:val="34"/>
    <w:pPr>
      <w:ind w:firstLine="420" w:firstLineChars="200"/>
    </w:pPr>
    <w:rPr>
      <w:rFonts w:ascii="Calibri" w:hAnsi="Calibri"/>
      <w:szCs w:val="22"/>
    </w:rPr>
  </w:style>
  <w:style w:type="character" w:customStyle="1" w:styleId="104">
    <w:name w:val="标题 3 Char Char"/>
    <w:autoRedefine/>
    <w:qFormat/>
    <w:uiPriority w:val="0"/>
    <w:rPr>
      <w:rFonts w:eastAsia="宋体"/>
      <w:b/>
      <w:bCs/>
      <w:kern w:val="2"/>
      <w:sz w:val="32"/>
      <w:szCs w:val="32"/>
      <w:lang w:val="en-US" w:eastAsia="zh-CN" w:bidi="ar-SA"/>
    </w:rPr>
  </w:style>
  <w:style w:type="character" w:customStyle="1" w:styleId="105">
    <w:name w:val="段1 Char"/>
    <w:autoRedefine/>
    <w:qFormat/>
    <w:uiPriority w:val="0"/>
    <w:rPr>
      <w:rFonts w:ascii="宋体" w:eastAsia="宋体"/>
      <w:sz w:val="24"/>
      <w:lang w:val="en-US" w:eastAsia="zh-CN" w:bidi="ar-SA"/>
    </w:rPr>
  </w:style>
  <w:style w:type="character" w:customStyle="1" w:styleId="106">
    <w:name w:val="chanpin拷贝"/>
    <w:autoRedefine/>
    <w:qFormat/>
    <w:uiPriority w:val="0"/>
  </w:style>
  <w:style w:type="character" w:customStyle="1" w:styleId="107">
    <w:name w:val="纯文本 Char1"/>
    <w:autoRedefine/>
    <w:qFormat/>
    <w:uiPriority w:val="0"/>
    <w:rPr>
      <w:rFonts w:ascii="宋体" w:hAnsi="Courier New" w:eastAsia="宋体"/>
      <w:kern w:val="2"/>
      <w:sz w:val="21"/>
      <w:lang w:val="en-US" w:eastAsia="zh-CN" w:bidi="ar-SA"/>
    </w:rPr>
  </w:style>
  <w:style w:type="character" w:customStyle="1" w:styleId="108">
    <w:name w:val="apple-style-span"/>
    <w:autoRedefine/>
    <w:qFormat/>
    <w:uiPriority w:val="0"/>
    <w:rPr>
      <w:rFonts w:cs="Times New Roman"/>
    </w:rPr>
  </w:style>
  <w:style w:type="paragraph" w:customStyle="1" w:styleId="109">
    <w:name w:val="二级条标题"/>
    <w:basedOn w:val="110"/>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10">
    <w:name w:val="一级条标题"/>
    <w:basedOn w:val="111"/>
    <w:next w:val="1"/>
    <w:autoRedefine/>
    <w:qFormat/>
    <w:uiPriority w:val="0"/>
    <w:pPr>
      <w:numPr>
        <w:ilvl w:val="1"/>
      </w:numPr>
      <w:tabs>
        <w:tab w:val="left" w:pos="360"/>
        <w:tab w:val="left" w:pos="840"/>
      </w:tabs>
      <w:ind w:left="0" w:hanging="840"/>
      <w:outlineLvl w:val="1"/>
    </w:pPr>
  </w:style>
  <w:style w:type="paragraph" w:customStyle="1" w:styleId="111">
    <w:name w:val="章标题"/>
    <w:next w:val="1"/>
    <w:autoRedefine/>
    <w:qFormat/>
    <w:uiPriority w:val="0"/>
    <w:pPr>
      <w:numPr>
        <w:ilvl w:val="0"/>
        <w:numId w:val="2"/>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2">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3">
    <w:name w:val="字元 字元"/>
    <w:basedOn w:val="1"/>
    <w:autoRedefine/>
    <w:qFormat/>
    <w:uiPriority w:val="0"/>
    <w:rPr>
      <w:rFonts w:ascii="Tahoma" w:hAnsi="Tahoma"/>
      <w:sz w:val="24"/>
      <w:szCs w:val="20"/>
    </w:rPr>
  </w:style>
  <w:style w:type="paragraph" w:customStyle="1" w:styleId="114">
    <w:name w:val="Char3 Char Char Char"/>
    <w:basedOn w:val="1"/>
    <w:autoRedefine/>
    <w:qFormat/>
    <w:uiPriority w:val="0"/>
    <w:rPr>
      <w:rFonts w:ascii="Tahoma" w:hAnsi="Tahoma"/>
      <w:sz w:val="24"/>
      <w:szCs w:val="20"/>
    </w:rPr>
  </w:style>
  <w:style w:type="paragraph" w:customStyle="1" w:styleId="115">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6">
    <w:name w:val="项目编号2"/>
    <w:basedOn w:val="117"/>
    <w:autoRedefine/>
    <w:qFormat/>
    <w:uiPriority w:val="0"/>
    <w:pPr>
      <w:numPr>
        <w:numId w:val="3"/>
      </w:numPr>
    </w:pPr>
  </w:style>
  <w:style w:type="paragraph" w:customStyle="1" w:styleId="117">
    <w:name w:val="项目编号1"/>
    <w:basedOn w:val="1"/>
    <w:autoRedefine/>
    <w:qFormat/>
    <w:uiPriority w:val="0"/>
    <w:pPr>
      <w:numPr>
        <w:ilvl w:val="0"/>
        <w:numId w:val="4"/>
      </w:numPr>
      <w:spacing w:before="100" w:beforeAutospacing="1" w:after="100" w:afterAutospacing="1" w:line="360" w:lineRule="auto"/>
    </w:pPr>
    <w:rPr>
      <w:sz w:val="24"/>
    </w:rPr>
  </w:style>
  <w:style w:type="paragraph" w:customStyle="1" w:styleId="118">
    <w:name w:val="图中文字"/>
    <w:basedOn w:val="1"/>
    <w:autoRedefine/>
    <w:qFormat/>
    <w:uiPriority w:val="0"/>
    <w:pPr>
      <w:adjustRightInd w:val="0"/>
      <w:snapToGrid w:val="0"/>
      <w:spacing w:line="0" w:lineRule="atLeast"/>
      <w:jc w:val="center"/>
    </w:pPr>
    <w:rPr>
      <w:sz w:val="24"/>
      <w:szCs w:val="20"/>
    </w:rPr>
  </w:style>
  <w:style w:type="paragraph" w:customStyle="1" w:styleId="119">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1">
    <w:name w:val="Char2"/>
    <w:basedOn w:val="1"/>
    <w:autoRedefine/>
    <w:qFormat/>
    <w:uiPriority w:val="0"/>
    <w:rPr>
      <w:rFonts w:ascii="Tahoma" w:hAnsi="Tahoma"/>
      <w:sz w:val="24"/>
      <w:szCs w:val="20"/>
    </w:rPr>
  </w:style>
  <w:style w:type="paragraph" w:customStyle="1" w:styleId="122">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5">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7">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9">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31">
    <w:name w:val="正文列项_数字"/>
    <w:basedOn w:val="1"/>
    <w:autoRedefine/>
    <w:qFormat/>
    <w:uiPriority w:val="0"/>
    <w:pPr>
      <w:numPr>
        <w:ilvl w:val="7"/>
        <w:numId w:val="2"/>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3">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4">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5">
    <w:name w:val="font8"/>
    <w:basedOn w:val="1"/>
    <w:autoRedefine/>
    <w:qFormat/>
    <w:uiPriority w:val="0"/>
    <w:pPr>
      <w:widowControl/>
      <w:spacing w:before="100" w:beforeAutospacing="1" w:after="100" w:afterAutospacing="1"/>
      <w:jc w:val="left"/>
    </w:pPr>
    <w:rPr>
      <w:kern w:val="0"/>
      <w:sz w:val="36"/>
      <w:szCs w:val="36"/>
    </w:rPr>
  </w:style>
  <w:style w:type="paragraph" w:customStyle="1" w:styleId="136">
    <w:name w:val="Char"/>
    <w:basedOn w:val="1"/>
    <w:autoRedefine/>
    <w:qFormat/>
    <w:uiPriority w:val="0"/>
    <w:pPr>
      <w:tabs>
        <w:tab w:val="left" w:pos="360"/>
      </w:tabs>
    </w:pPr>
    <w:rPr>
      <w:sz w:val="24"/>
    </w:rPr>
  </w:style>
  <w:style w:type="paragraph" w:customStyle="1" w:styleId="137">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8">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9">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0">
    <w:name w:val="Char Char1"/>
    <w:basedOn w:val="14"/>
    <w:autoRedefine/>
    <w:qFormat/>
    <w:uiPriority w:val="0"/>
    <w:rPr>
      <w:rFonts w:ascii="Tahoma" w:hAnsi="Tahoma"/>
      <w:sz w:val="24"/>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3">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4">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45">
    <w:name w:val="Char1 Char Char Char1"/>
    <w:basedOn w:val="1"/>
    <w:autoRedefine/>
    <w:qFormat/>
    <w:uiPriority w:val="0"/>
    <w:rPr>
      <w:rFonts w:ascii="Tahoma" w:hAnsi="Tahoma" w:cs="仿宋_GB2312"/>
      <w:sz w:val="24"/>
      <w:szCs w:val="28"/>
    </w:rPr>
  </w:style>
  <w:style w:type="paragraph" w:customStyle="1" w:styleId="146">
    <w:name w:val="四级条标题"/>
    <w:basedOn w:val="147"/>
    <w:next w:val="1"/>
    <w:autoRedefine/>
    <w:qFormat/>
    <w:uiPriority w:val="0"/>
    <w:pPr>
      <w:numPr>
        <w:ilvl w:val="4"/>
      </w:numPr>
      <w:tabs>
        <w:tab w:val="left" w:pos="360"/>
        <w:tab w:val="left" w:pos="840"/>
      </w:tabs>
      <w:ind w:left="0" w:hanging="840"/>
      <w:outlineLvl w:val="4"/>
    </w:pPr>
  </w:style>
  <w:style w:type="paragraph" w:customStyle="1" w:styleId="147">
    <w:name w:val="三级条标题"/>
    <w:basedOn w:val="109"/>
    <w:next w:val="1"/>
    <w:autoRedefine/>
    <w:qFormat/>
    <w:uiPriority w:val="0"/>
    <w:pPr>
      <w:numPr>
        <w:ilvl w:val="3"/>
        <w:numId w:val="2"/>
      </w:numPr>
      <w:ind w:left="0" w:hanging="840"/>
      <w:outlineLvl w:val="3"/>
    </w:pPr>
  </w:style>
  <w:style w:type="paragraph" w:customStyle="1" w:styleId="148">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9">
    <w:name w:val="样式 标题 2 + 宋体 五号 行距: 单倍行距"/>
    <w:basedOn w:val="3"/>
    <w:autoRedefine/>
    <w:qFormat/>
    <w:uiPriority w:val="0"/>
    <w:pPr>
      <w:numPr>
        <w:ilvl w:val="1"/>
        <w:numId w:val="5"/>
      </w:numPr>
      <w:autoSpaceDE/>
      <w:autoSpaceDN/>
      <w:spacing w:before="260" w:after="260" w:line="240" w:lineRule="auto"/>
      <w:jc w:val="left"/>
      <w:textAlignment w:val="baseline"/>
    </w:pPr>
    <w:rPr>
      <w:rFonts w:ascii="宋体" w:hAnsi="宋体" w:eastAsia="宋体"/>
      <w:bCs/>
      <w:sz w:val="21"/>
    </w:rPr>
  </w:style>
  <w:style w:type="paragraph" w:customStyle="1" w:styleId="150">
    <w:name w:val="List Paragraph1"/>
    <w:basedOn w:val="1"/>
    <w:autoRedefine/>
    <w:qFormat/>
    <w:uiPriority w:val="0"/>
    <w:pPr>
      <w:ind w:firstLine="420" w:firstLineChars="200"/>
    </w:pPr>
    <w:rPr>
      <w:rFonts w:ascii="Calibri" w:hAnsi="Calibri"/>
      <w:szCs w:val="22"/>
    </w:rPr>
  </w:style>
  <w:style w:type="paragraph" w:customStyle="1" w:styleId="151">
    <w:name w:val="项目符号1"/>
    <w:basedOn w:val="152"/>
    <w:autoRedefine/>
    <w:qFormat/>
    <w:uiPriority w:val="0"/>
    <w:pPr>
      <w:ind w:left="-25" w:firstLine="0"/>
    </w:pPr>
  </w:style>
  <w:style w:type="paragraph" w:customStyle="1" w:styleId="152">
    <w:name w:val="正文文本样式"/>
    <w:basedOn w:val="1"/>
    <w:autoRedefine/>
    <w:qFormat/>
    <w:uiPriority w:val="0"/>
    <w:pPr>
      <w:spacing w:line="360" w:lineRule="auto"/>
      <w:ind w:firstLine="482"/>
    </w:pPr>
    <w:rPr>
      <w:rFonts w:cs="宋体"/>
      <w:sz w:val="24"/>
      <w:szCs w:val="20"/>
    </w:rPr>
  </w:style>
  <w:style w:type="paragraph" w:customStyle="1" w:styleId="15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5">
    <w:name w:val="五级条标题"/>
    <w:basedOn w:val="146"/>
    <w:next w:val="1"/>
    <w:autoRedefine/>
    <w:qFormat/>
    <w:uiPriority w:val="0"/>
    <w:pPr>
      <w:numPr>
        <w:ilvl w:val="5"/>
      </w:numPr>
      <w:ind w:left="0" w:hanging="840"/>
      <w:outlineLvl w:val="5"/>
    </w:pPr>
  </w:style>
  <w:style w:type="paragraph" w:customStyle="1" w:styleId="156">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7">
    <w:name w:val="文档正文"/>
    <w:basedOn w:val="1"/>
    <w:autoRedefine/>
    <w:qFormat/>
    <w:uiPriority w:val="0"/>
    <w:pPr>
      <w:snapToGrid w:val="0"/>
      <w:spacing w:before="120" w:after="120" w:line="180" w:lineRule="auto"/>
    </w:pPr>
    <w:rPr>
      <w:rFonts w:ascii="Arial" w:hAnsi="Arial"/>
      <w:szCs w:val="20"/>
    </w:rPr>
  </w:style>
  <w:style w:type="paragraph" w:customStyle="1" w:styleId="15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0">
    <w:name w:val="Char Char Char1 Char"/>
    <w:basedOn w:val="1"/>
    <w:autoRedefine/>
    <w:qFormat/>
    <w:uiPriority w:val="0"/>
    <w:rPr>
      <w:rFonts w:ascii="Tahoma" w:hAnsi="Tahoma"/>
      <w:sz w:val="24"/>
      <w:szCs w:val="20"/>
    </w:rPr>
  </w:style>
  <w:style w:type="paragraph" w:customStyle="1" w:styleId="161">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2">
    <w:name w:val="1名"/>
    <w:basedOn w:val="1"/>
    <w:autoRedefine/>
    <w:qFormat/>
    <w:uiPriority w:val="0"/>
    <w:pPr>
      <w:numPr>
        <w:ilvl w:val="0"/>
        <w:numId w:val="6"/>
      </w:numPr>
      <w:spacing w:before="120"/>
    </w:pPr>
    <w:rPr>
      <w:rFonts w:ascii="宋体"/>
      <w:sz w:val="28"/>
      <w:szCs w:val="20"/>
    </w:rPr>
  </w:style>
  <w:style w:type="paragraph" w:customStyle="1" w:styleId="163">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4">
    <w:name w:val="Char Char Char1 Char1"/>
    <w:basedOn w:val="1"/>
    <w:autoRedefine/>
    <w:qFormat/>
    <w:uiPriority w:val="0"/>
    <w:rPr>
      <w:rFonts w:ascii="Tahoma" w:hAnsi="Tahoma"/>
      <w:sz w:val="24"/>
      <w:szCs w:val="20"/>
    </w:rPr>
  </w:style>
  <w:style w:type="paragraph" w:customStyle="1" w:styleId="165">
    <w:name w:val="Char Char Char Char Char Char Char Char Char Char"/>
    <w:basedOn w:val="1"/>
    <w:autoRedefine/>
    <w:qFormat/>
    <w:uiPriority w:val="0"/>
  </w:style>
  <w:style w:type="paragraph" w:customStyle="1" w:styleId="166">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7">
    <w:name w:val="Char1"/>
    <w:basedOn w:val="1"/>
    <w:autoRedefine/>
    <w:qFormat/>
    <w:uiPriority w:val="0"/>
    <w:pPr>
      <w:tabs>
        <w:tab w:val="left" w:pos="360"/>
      </w:tabs>
    </w:pPr>
    <w:rPr>
      <w:sz w:val="24"/>
    </w:rPr>
  </w:style>
  <w:style w:type="paragraph" w:customStyle="1" w:styleId="168">
    <w:name w:val="正文列项_字母"/>
    <w:basedOn w:val="1"/>
    <w:autoRedefine/>
    <w:qFormat/>
    <w:uiPriority w:val="0"/>
    <w:pPr>
      <w:numPr>
        <w:ilvl w:val="6"/>
        <w:numId w:val="2"/>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0">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1">
    <w:name w:val="默认段落字体 Para Char Char Char Char"/>
    <w:basedOn w:val="1"/>
    <w:autoRedefine/>
    <w:qFormat/>
    <w:uiPriority w:val="0"/>
    <w:rPr>
      <w:rFonts w:ascii="Arial" w:hAnsi="Arial" w:cs="Arial"/>
      <w:szCs w:val="21"/>
    </w:rPr>
  </w:style>
  <w:style w:type="paragraph" w:customStyle="1" w:styleId="172">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3">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4">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5">
    <w:name w:val="Char Char Char"/>
    <w:basedOn w:val="1"/>
    <w:autoRedefine/>
    <w:qFormat/>
    <w:uiPriority w:val="0"/>
    <w:rPr>
      <w:rFonts w:ascii="Tahoma" w:hAnsi="Tahoma"/>
      <w:sz w:val="24"/>
      <w:szCs w:val="20"/>
    </w:rPr>
  </w:style>
  <w:style w:type="paragraph" w:customStyle="1" w:styleId="176">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7">
    <w:name w:val="缺省文本"/>
    <w:basedOn w:val="1"/>
    <w:autoRedefine/>
    <w:qFormat/>
    <w:uiPriority w:val="0"/>
    <w:pPr>
      <w:autoSpaceDE w:val="0"/>
      <w:autoSpaceDN w:val="0"/>
      <w:adjustRightInd w:val="0"/>
      <w:jc w:val="left"/>
    </w:pPr>
    <w:rPr>
      <w:kern w:val="0"/>
      <w:sz w:val="24"/>
    </w:rPr>
  </w:style>
  <w:style w:type="paragraph" w:customStyle="1" w:styleId="178">
    <w:name w:val="Char Char Char1"/>
    <w:basedOn w:val="1"/>
    <w:autoRedefine/>
    <w:qFormat/>
    <w:uiPriority w:val="0"/>
    <w:rPr>
      <w:rFonts w:ascii="Tahoma" w:hAnsi="Tahoma"/>
      <w:sz w:val="24"/>
      <w:szCs w:val="20"/>
    </w:rPr>
  </w:style>
  <w:style w:type="paragraph" w:customStyle="1" w:styleId="179">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80">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1">
    <w:name w:val="样式2"/>
    <w:basedOn w:val="41"/>
    <w:autoRedefine/>
    <w:qFormat/>
    <w:uiPriority w:val="0"/>
    <w:pPr>
      <w:spacing w:line="360" w:lineRule="auto"/>
      <w:jc w:val="center"/>
    </w:pPr>
    <w:rPr>
      <w:sz w:val="24"/>
    </w:rPr>
  </w:style>
  <w:style w:type="paragraph" w:customStyle="1" w:styleId="18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3">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4">
    <w:name w:val="正文 + 楷体_GB2312"/>
    <w:basedOn w:val="1"/>
    <w:autoRedefine/>
    <w:qFormat/>
    <w:uiPriority w:val="0"/>
    <w:pPr>
      <w:widowControl/>
      <w:jc w:val="left"/>
    </w:pPr>
    <w:rPr>
      <w:rFonts w:ascii="楷体_GB2312" w:eastAsia="楷体_GB2312" w:cs="Arial"/>
      <w:kern w:val="0"/>
      <w:sz w:val="24"/>
    </w:rPr>
  </w:style>
  <w:style w:type="paragraph" w:customStyle="1" w:styleId="18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6">
    <w:name w:val="1 Char Char Char Char"/>
    <w:basedOn w:val="1"/>
    <w:autoRedefine/>
    <w:qFormat/>
    <w:uiPriority w:val="0"/>
    <w:rPr>
      <w:rFonts w:ascii="Tahoma" w:hAnsi="Tahoma"/>
      <w:sz w:val="24"/>
      <w:szCs w:val="20"/>
    </w:rPr>
  </w:style>
  <w:style w:type="paragraph" w:customStyle="1" w:styleId="187">
    <w:name w:val="列出段落1"/>
    <w:basedOn w:val="1"/>
    <w:autoRedefine/>
    <w:qFormat/>
    <w:uiPriority w:val="34"/>
    <w:pPr>
      <w:ind w:firstLine="420" w:firstLineChars="200"/>
    </w:pPr>
    <w:rPr>
      <w:rFonts w:ascii="Calibri" w:hAnsi="Calibri"/>
      <w:szCs w:val="22"/>
    </w:rPr>
  </w:style>
  <w:style w:type="paragraph" w:customStyle="1" w:styleId="188">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9">
    <w:name w:val="字元 字元1"/>
    <w:basedOn w:val="1"/>
    <w:autoRedefine/>
    <w:qFormat/>
    <w:uiPriority w:val="0"/>
    <w:rPr>
      <w:rFonts w:ascii="Tahoma" w:hAnsi="Tahoma"/>
      <w:sz w:val="24"/>
      <w:szCs w:val="20"/>
    </w:rPr>
  </w:style>
  <w:style w:type="paragraph" w:customStyle="1" w:styleId="190">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91">
    <w:name w:val="项目编号3"/>
    <w:basedOn w:val="152"/>
    <w:autoRedefine/>
    <w:qFormat/>
    <w:uiPriority w:val="0"/>
    <w:pPr>
      <w:numPr>
        <w:ilvl w:val="0"/>
        <w:numId w:val="7"/>
      </w:numPr>
    </w:pPr>
  </w:style>
  <w:style w:type="paragraph" w:customStyle="1" w:styleId="192">
    <w:name w:val="Char21"/>
    <w:basedOn w:val="1"/>
    <w:autoRedefine/>
    <w:qFormat/>
    <w:uiPriority w:val="0"/>
    <w:rPr>
      <w:rFonts w:ascii="Tahoma" w:hAnsi="Tahoma"/>
      <w:sz w:val="24"/>
      <w:szCs w:val="20"/>
    </w:rPr>
  </w:style>
  <w:style w:type="paragraph" w:customStyle="1" w:styleId="193">
    <w:name w:val="表格文字"/>
    <w:basedOn w:val="20"/>
    <w:autoRedefine/>
    <w:qFormat/>
    <w:uiPriority w:val="0"/>
    <w:pPr>
      <w:spacing w:before="20" w:after="20" w:line="240" w:lineRule="auto"/>
      <w:ind w:firstLine="0"/>
    </w:pPr>
    <w:rPr>
      <w:rFonts w:ascii="Century Gothic" w:hAnsi="Century Gothic"/>
      <w:sz w:val="20"/>
      <w:szCs w:val="20"/>
    </w:rPr>
  </w:style>
  <w:style w:type="paragraph" w:customStyle="1" w:styleId="194">
    <w:name w:val="Char Char Char Char Char Char Char Char Char Char1"/>
    <w:basedOn w:val="1"/>
    <w:autoRedefine/>
    <w:qFormat/>
    <w:uiPriority w:val="0"/>
    <w:rPr>
      <w:rFonts w:ascii="宋体" w:hAnsi="宋体" w:cs="Courier New"/>
      <w:sz w:val="32"/>
      <w:szCs w:val="32"/>
    </w:rPr>
  </w:style>
  <w:style w:type="paragraph" w:customStyle="1" w:styleId="195">
    <w:name w:val="正文文本样式 加粗"/>
    <w:basedOn w:val="152"/>
    <w:autoRedefine/>
    <w:qFormat/>
    <w:uiPriority w:val="0"/>
    <w:rPr>
      <w:b/>
    </w:rPr>
  </w:style>
  <w:style w:type="paragraph" w:customStyle="1" w:styleId="196">
    <w:name w:val="Char2 Char Char Char Char Char Char"/>
    <w:basedOn w:val="1"/>
    <w:autoRedefine/>
    <w:qFormat/>
    <w:uiPriority w:val="0"/>
    <w:pPr>
      <w:widowControl/>
      <w:spacing w:line="400" w:lineRule="exact"/>
      <w:jc w:val="center"/>
    </w:pPr>
  </w:style>
  <w:style w:type="paragraph" w:customStyle="1" w:styleId="197">
    <w:name w:val="Char Char4"/>
    <w:basedOn w:val="1"/>
    <w:autoRedefine/>
    <w:qFormat/>
    <w:uiPriority w:val="0"/>
    <w:pPr>
      <w:widowControl/>
      <w:spacing w:line="400" w:lineRule="exact"/>
      <w:jc w:val="center"/>
    </w:pPr>
  </w:style>
  <w:style w:type="paragraph" w:customStyle="1" w:styleId="198">
    <w:name w:val="Char3 Char Char Char1"/>
    <w:basedOn w:val="1"/>
    <w:autoRedefine/>
    <w:qFormat/>
    <w:uiPriority w:val="0"/>
    <w:rPr>
      <w:rFonts w:ascii="Tahoma" w:hAnsi="Tahoma"/>
      <w:sz w:val="24"/>
      <w:szCs w:val="20"/>
    </w:rPr>
  </w:style>
  <w:style w:type="paragraph" w:styleId="199">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201">
    <w:name w:val="中等深浅网格 1 - 强调文字颜色 2 Char"/>
    <w:link w:val="202"/>
    <w:autoRedefine/>
    <w:qFormat/>
    <w:uiPriority w:val="0"/>
    <w:rPr>
      <w:kern w:val="2"/>
      <w:sz w:val="21"/>
      <w:szCs w:val="24"/>
      <w:lang w:val="zh-CN" w:eastAsia="zh-CN"/>
    </w:rPr>
  </w:style>
  <w:style w:type="paragraph" w:customStyle="1" w:styleId="202">
    <w:name w:val="1"/>
    <w:link w:val="201"/>
    <w:autoRedefine/>
    <w:qFormat/>
    <w:uiPriority w:val="0"/>
    <w:rPr>
      <w:rFonts w:ascii="Times New Roman" w:hAnsi="Times New Roman" w:eastAsia="宋体" w:cs="Times New Roman"/>
      <w:kern w:val="2"/>
      <w:sz w:val="21"/>
      <w:szCs w:val="24"/>
      <w:lang w:val="zh-CN" w:eastAsia="zh-CN" w:bidi="ar-SA"/>
    </w:rPr>
  </w:style>
  <w:style w:type="paragraph" w:customStyle="1" w:styleId="203">
    <w:name w:val="图文"/>
    <w:basedOn w:val="1"/>
    <w:autoRedefine/>
    <w:qFormat/>
    <w:uiPriority w:val="0"/>
    <w:pPr>
      <w:adjustRightInd w:val="0"/>
      <w:snapToGrid w:val="0"/>
      <w:spacing w:after="50" w:line="360" w:lineRule="auto"/>
    </w:pPr>
    <w:rPr>
      <w:sz w:val="24"/>
    </w:rPr>
  </w:style>
  <w:style w:type="paragraph" w:customStyle="1" w:styleId="204">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5">
    <w:name w:val="正文表格"/>
    <w:basedOn w:val="1"/>
    <w:link w:val="206"/>
    <w:autoRedefine/>
    <w:qFormat/>
    <w:uiPriority w:val="0"/>
    <w:pPr>
      <w:adjustRightInd w:val="0"/>
      <w:snapToGrid w:val="0"/>
      <w:jc w:val="left"/>
    </w:pPr>
    <w:rPr>
      <w:rFonts w:ascii="宋体" w:hAnsi="宋体"/>
      <w:color w:val="000000"/>
      <w:szCs w:val="21"/>
    </w:rPr>
  </w:style>
  <w:style w:type="character" w:customStyle="1" w:styleId="206">
    <w:name w:val="正文表格 Char"/>
    <w:link w:val="205"/>
    <w:autoRedefine/>
    <w:qFormat/>
    <w:uiPriority w:val="0"/>
    <w:rPr>
      <w:rFonts w:ascii="宋体" w:hAnsi="宋体"/>
      <w:color w:val="000000"/>
      <w:kern w:val="2"/>
      <w:sz w:val="21"/>
      <w:szCs w:val="21"/>
    </w:rPr>
  </w:style>
  <w:style w:type="paragraph" w:customStyle="1" w:styleId="207">
    <w:name w:val="正文重点"/>
    <w:basedOn w:val="1"/>
    <w:link w:val="208"/>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8">
    <w:name w:val="正文重点 Char"/>
    <w:link w:val="207"/>
    <w:autoRedefine/>
    <w:qFormat/>
    <w:uiPriority w:val="0"/>
    <w:rPr>
      <w:b/>
      <w:sz w:val="24"/>
    </w:rPr>
  </w:style>
  <w:style w:type="paragraph" w:customStyle="1" w:styleId="209">
    <w:name w:val="标题1-附件"/>
    <w:basedOn w:val="2"/>
    <w:autoRedefine/>
    <w:qFormat/>
    <w:uiPriority w:val="0"/>
    <w:pPr>
      <w:jc w:val="left"/>
    </w:pPr>
    <w:rPr>
      <w:sz w:val="24"/>
      <w:szCs w:val="24"/>
    </w:rPr>
  </w:style>
  <w:style w:type="paragraph" w:customStyle="1" w:styleId="210">
    <w:name w:val="正文小标题"/>
    <w:basedOn w:val="1"/>
    <w:next w:val="5"/>
    <w:link w:val="211"/>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1">
    <w:name w:val="正文小标题 Char"/>
    <w:link w:val="210"/>
    <w:autoRedefine/>
    <w:qFormat/>
    <w:uiPriority w:val="0"/>
    <w:rPr>
      <w:rFonts w:ascii="宋体" w:hAnsi="宋体"/>
      <w:b/>
      <w:i/>
      <w:color w:val="FF0000"/>
      <w:kern w:val="2"/>
      <w:sz w:val="24"/>
    </w:rPr>
  </w:style>
  <w:style w:type="paragraph" w:customStyle="1" w:styleId="212">
    <w:name w:val="正文大标题"/>
    <w:basedOn w:val="210"/>
    <w:next w:val="5"/>
    <w:link w:val="213"/>
    <w:autoRedefine/>
    <w:qFormat/>
    <w:uiPriority w:val="0"/>
    <w:pPr>
      <w:jc w:val="center"/>
    </w:pPr>
    <w:rPr>
      <w:i w:val="0"/>
      <w:color w:val="000000"/>
      <w:sz w:val="28"/>
      <w:szCs w:val="21"/>
    </w:rPr>
  </w:style>
  <w:style w:type="character" w:customStyle="1" w:styleId="213">
    <w:name w:val="正文大标题 Char"/>
    <w:link w:val="212"/>
    <w:autoRedefine/>
    <w:qFormat/>
    <w:uiPriority w:val="0"/>
    <w:rPr>
      <w:rFonts w:ascii="宋体" w:hAnsi="宋体"/>
      <w:b/>
      <w:color w:val="000000"/>
      <w:kern w:val="2"/>
      <w:sz w:val="28"/>
      <w:szCs w:val="21"/>
    </w:rPr>
  </w:style>
  <w:style w:type="paragraph" w:customStyle="1" w:styleId="214">
    <w:name w:val="注释"/>
    <w:basedOn w:val="1"/>
    <w:link w:val="215"/>
    <w:autoRedefine/>
    <w:qFormat/>
    <w:uiPriority w:val="0"/>
    <w:pPr>
      <w:adjustRightInd w:val="0"/>
      <w:snapToGrid w:val="0"/>
      <w:ind w:left="420" w:hanging="420" w:hangingChars="200"/>
      <w:jc w:val="left"/>
    </w:pPr>
    <w:rPr>
      <w:rFonts w:ascii="宋体" w:hAnsi="宋体"/>
      <w:szCs w:val="21"/>
    </w:rPr>
  </w:style>
  <w:style w:type="character" w:customStyle="1" w:styleId="215">
    <w:name w:val="注释 Char"/>
    <w:link w:val="214"/>
    <w:autoRedefine/>
    <w:qFormat/>
    <w:uiPriority w:val="0"/>
    <w:rPr>
      <w:rFonts w:ascii="宋体" w:hAnsi="宋体"/>
      <w:kern w:val="2"/>
      <w:sz w:val="21"/>
      <w:szCs w:val="21"/>
    </w:rPr>
  </w:style>
  <w:style w:type="paragraph" w:customStyle="1" w:styleId="216">
    <w:name w:val="正文须知-1级"/>
    <w:basedOn w:val="1"/>
    <w:next w:val="1"/>
    <w:autoRedefine/>
    <w:qFormat/>
    <w:uiPriority w:val="0"/>
    <w:pPr>
      <w:numPr>
        <w:ilvl w:val="0"/>
        <w:numId w:val="8"/>
      </w:numPr>
      <w:adjustRightInd w:val="0"/>
      <w:snapToGrid w:val="0"/>
      <w:spacing w:line="300" w:lineRule="auto"/>
    </w:pPr>
    <w:rPr>
      <w:rFonts w:ascii="宋体" w:hAnsi="Calibri"/>
      <w:sz w:val="24"/>
      <w:szCs w:val="21"/>
    </w:rPr>
  </w:style>
  <w:style w:type="paragraph" w:customStyle="1" w:styleId="217">
    <w:name w:val="正文须知-2级"/>
    <w:basedOn w:val="1"/>
    <w:autoRedefine/>
    <w:qFormat/>
    <w:uiPriority w:val="0"/>
    <w:pPr>
      <w:numPr>
        <w:ilvl w:val="1"/>
        <w:numId w:val="8"/>
      </w:numPr>
      <w:adjustRightInd w:val="0"/>
      <w:snapToGrid w:val="0"/>
      <w:spacing w:line="300" w:lineRule="auto"/>
    </w:pPr>
    <w:rPr>
      <w:rFonts w:ascii="宋体" w:hAnsi="Calibri"/>
      <w:sz w:val="24"/>
      <w:szCs w:val="21"/>
    </w:rPr>
  </w:style>
  <w:style w:type="paragraph" w:customStyle="1" w:styleId="218">
    <w:name w:val="正文须知-3级"/>
    <w:basedOn w:val="1"/>
    <w:autoRedefine/>
    <w:qFormat/>
    <w:uiPriority w:val="0"/>
    <w:pPr>
      <w:numPr>
        <w:ilvl w:val="2"/>
        <w:numId w:val="8"/>
      </w:numPr>
      <w:adjustRightInd w:val="0"/>
      <w:snapToGrid w:val="0"/>
      <w:spacing w:line="300" w:lineRule="auto"/>
      <w:ind w:hanging="355" w:hangingChars="355"/>
    </w:pPr>
    <w:rPr>
      <w:rFonts w:ascii="宋体" w:hAnsi="Calibri"/>
      <w:sz w:val="24"/>
      <w:szCs w:val="21"/>
    </w:rPr>
  </w:style>
  <w:style w:type="character" w:customStyle="1" w:styleId="219">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20">
    <w:name w:val="表格1"/>
    <w:basedOn w:val="1"/>
    <w:autoRedefine/>
    <w:qFormat/>
    <w:uiPriority w:val="0"/>
    <w:pPr>
      <w:ind w:firstLine="480" w:firstLineChars="200"/>
      <w:jc w:val="center"/>
    </w:pPr>
    <w:rPr>
      <w:sz w:val="24"/>
      <w:szCs w:val="20"/>
    </w:rPr>
  </w:style>
  <w:style w:type="character" w:customStyle="1" w:styleId="221">
    <w:name w:val="纯文本 字符1"/>
    <w:autoRedefine/>
    <w:qFormat/>
    <w:uiPriority w:val="0"/>
    <w:rPr>
      <w:rFonts w:ascii="宋体" w:hAnsi="Courier New"/>
    </w:rPr>
  </w:style>
  <w:style w:type="character" w:customStyle="1" w:styleId="222">
    <w:name w:val="bjh-p"/>
    <w:autoRedefine/>
    <w:qFormat/>
    <w:uiPriority w:val="0"/>
  </w:style>
  <w:style w:type="paragraph" w:customStyle="1" w:styleId="223">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24">
    <w:name w:val="正文格式 Char"/>
    <w:link w:val="225"/>
    <w:autoRedefine/>
    <w:qFormat/>
    <w:locked/>
    <w:uiPriority w:val="0"/>
    <w:rPr>
      <w:rFonts w:ascii="宋体" w:hAnsi="宋体"/>
      <w:sz w:val="24"/>
      <w:szCs w:val="24"/>
      <w:lang w:val="en-GB"/>
    </w:rPr>
  </w:style>
  <w:style w:type="paragraph" w:customStyle="1" w:styleId="225">
    <w:name w:val="正文格式"/>
    <w:basedOn w:val="1"/>
    <w:link w:val="224"/>
    <w:autoRedefine/>
    <w:qFormat/>
    <w:uiPriority w:val="0"/>
    <w:pPr>
      <w:spacing w:beforeLines="50" w:line="360" w:lineRule="auto"/>
      <w:ind w:firstLine="480" w:firstLineChars="200"/>
    </w:pPr>
    <w:rPr>
      <w:rFonts w:ascii="宋体" w:hAnsi="宋体"/>
      <w:kern w:val="0"/>
      <w:sz w:val="24"/>
      <w:lang w:val="en-GB"/>
    </w:rPr>
  </w:style>
  <w:style w:type="character" w:customStyle="1" w:styleId="226">
    <w:name w:val="正文缩进 Char"/>
    <w:autoRedefine/>
    <w:qFormat/>
    <w:uiPriority w:val="99"/>
    <w:rPr>
      <w:rFonts w:ascii="宋体" w:eastAsia="宋体"/>
      <w:kern w:val="2"/>
      <w:sz w:val="24"/>
      <w:szCs w:val="24"/>
      <w:lang w:val="en-US" w:eastAsia="zh-CN" w:bidi="ar-SA"/>
    </w:rPr>
  </w:style>
  <w:style w:type="character" w:customStyle="1" w:styleId="227">
    <w:name w:val="Char Char111"/>
    <w:autoRedefine/>
    <w:qFormat/>
    <w:uiPriority w:val="0"/>
    <w:rPr>
      <w:rFonts w:ascii="宋体" w:eastAsia="宋体"/>
      <w:b/>
      <w:sz w:val="24"/>
      <w:u w:val="single"/>
      <w:lang w:val="en-US" w:eastAsia="zh-CN" w:bidi="ar-SA"/>
    </w:rPr>
  </w:style>
  <w:style w:type="character" w:customStyle="1" w:styleId="228">
    <w:name w:val="正文文本缩进 Char"/>
    <w:autoRedefine/>
    <w:qFormat/>
    <w:uiPriority w:val="0"/>
    <w:rPr>
      <w:rFonts w:eastAsia="宋体"/>
      <w:kern w:val="2"/>
      <w:sz w:val="24"/>
      <w:szCs w:val="24"/>
      <w:lang w:val="en-US" w:eastAsia="zh-CN" w:bidi="ar-SA"/>
    </w:rPr>
  </w:style>
  <w:style w:type="character" w:customStyle="1" w:styleId="229">
    <w:name w:val="列出段落 Char"/>
    <w:autoRedefine/>
    <w:qFormat/>
    <w:uiPriority w:val="0"/>
    <w:rPr>
      <w:rFonts w:ascii="Calibri" w:hAnsi="Calibri" w:eastAsia="宋体"/>
      <w:kern w:val="2"/>
      <w:sz w:val="21"/>
      <w:szCs w:val="22"/>
      <w:lang w:val="en-US" w:eastAsia="zh-CN" w:bidi="ar-SA"/>
    </w:rPr>
  </w:style>
  <w:style w:type="character" w:customStyle="1" w:styleId="230">
    <w:name w:val="页眉 Char"/>
    <w:autoRedefine/>
    <w:qFormat/>
    <w:uiPriority w:val="99"/>
    <w:rPr>
      <w:rFonts w:eastAsia="宋体"/>
      <w:kern w:val="2"/>
      <w:sz w:val="18"/>
      <w:szCs w:val="18"/>
      <w:lang w:val="en-US" w:eastAsia="zh-CN" w:bidi="ar-SA"/>
    </w:rPr>
  </w:style>
  <w:style w:type="paragraph" w:customStyle="1" w:styleId="231">
    <w:name w:val="字元 字元2"/>
    <w:basedOn w:val="1"/>
    <w:autoRedefine/>
    <w:qFormat/>
    <w:uiPriority w:val="0"/>
    <w:rPr>
      <w:rFonts w:ascii="Tahoma" w:hAnsi="Tahoma"/>
      <w:sz w:val="24"/>
      <w:szCs w:val="20"/>
    </w:rPr>
  </w:style>
  <w:style w:type="paragraph" w:customStyle="1" w:styleId="232">
    <w:name w:val="Char3 Char Char Char2"/>
    <w:basedOn w:val="1"/>
    <w:autoRedefine/>
    <w:qFormat/>
    <w:uiPriority w:val="0"/>
    <w:rPr>
      <w:rFonts w:ascii="Tahoma" w:hAnsi="Tahoma"/>
      <w:sz w:val="24"/>
      <w:szCs w:val="20"/>
    </w:rPr>
  </w:style>
  <w:style w:type="paragraph" w:customStyle="1" w:styleId="233">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34">
    <w:name w:val="Char3"/>
    <w:basedOn w:val="1"/>
    <w:autoRedefine/>
    <w:qFormat/>
    <w:uiPriority w:val="0"/>
    <w:pPr>
      <w:tabs>
        <w:tab w:val="left" w:pos="360"/>
      </w:tabs>
    </w:pPr>
    <w:rPr>
      <w:sz w:val="24"/>
    </w:rPr>
  </w:style>
  <w:style w:type="paragraph" w:customStyle="1" w:styleId="235">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6">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7">
    <w:name w:val="列出段落2"/>
    <w:basedOn w:val="1"/>
    <w:autoRedefine/>
    <w:qFormat/>
    <w:uiPriority w:val="0"/>
    <w:pPr>
      <w:ind w:firstLine="420" w:firstLineChars="200"/>
    </w:pPr>
    <w:rPr>
      <w:rFonts w:ascii="Calibri" w:hAnsi="Calibri"/>
      <w:szCs w:val="22"/>
    </w:rPr>
  </w:style>
  <w:style w:type="paragraph" w:customStyle="1" w:styleId="238">
    <w:name w:val="Char Char Char1 Char2"/>
    <w:basedOn w:val="1"/>
    <w:autoRedefine/>
    <w:qFormat/>
    <w:uiPriority w:val="0"/>
    <w:rPr>
      <w:rFonts w:ascii="Tahoma" w:hAnsi="Tahoma"/>
      <w:sz w:val="24"/>
      <w:szCs w:val="20"/>
    </w:rPr>
  </w:style>
  <w:style w:type="paragraph" w:customStyle="1" w:styleId="239">
    <w:name w:val="Char Char Char2"/>
    <w:basedOn w:val="1"/>
    <w:autoRedefine/>
    <w:qFormat/>
    <w:uiPriority w:val="0"/>
    <w:rPr>
      <w:rFonts w:ascii="Tahoma" w:hAnsi="Tahoma"/>
      <w:sz w:val="24"/>
      <w:szCs w:val="20"/>
    </w:rPr>
  </w:style>
  <w:style w:type="paragraph" w:customStyle="1" w:styleId="240">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41">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43">
    <w:name w:val="Char22"/>
    <w:basedOn w:val="1"/>
    <w:autoRedefine/>
    <w:qFormat/>
    <w:uiPriority w:val="0"/>
    <w:rPr>
      <w:rFonts w:ascii="Tahoma" w:hAnsi="Tahoma"/>
      <w:sz w:val="24"/>
      <w:szCs w:val="20"/>
    </w:rPr>
  </w:style>
  <w:style w:type="paragraph" w:customStyle="1" w:styleId="244">
    <w:name w:val="Char Char Char Char Char Char Char Char Char Char2"/>
    <w:basedOn w:val="1"/>
    <w:autoRedefine/>
    <w:qFormat/>
    <w:uiPriority w:val="0"/>
    <w:rPr>
      <w:rFonts w:ascii="宋体" w:hAnsi="宋体" w:cs="Courier New"/>
      <w:sz w:val="32"/>
      <w:szCs w:val="32"/>
    </w:rPr>
  </w:style>
  <w:style w:type="paragraph" w:customStyle="1" w:styleId="245">
    <w:name w:val="Char2 Char Char Char Char Char Char1"/>
    <w:basedOn w:val="1"/>
    <w:autoRedefine/>
    <w:qFormat/>
    <w:uiPriority w:val="0"/>
    <w:pPr>
      <w:widowControl/>
      <w:spacing w:line="400" w:lineRule="exact"/>
      <w:jc w:val="center"/>
    </w:pPr>
  </w:style>
  <w:style w:type="character" w:customStyle="1" w:styleId="246">
    <w:name w:val="页脚 Char"/>
    <w:autoRedefine/>
    <w:qFormat/>
    <w:uiPriority w:val="0"/>
    <w:rPr>
      <w:rFonts w:ascii="宋体" w:eastAsia="宋体"/>
      <w:sz w:val="18"/>
      <w:lang w:val="en-US" w:eastAsia="zh-CN" w:bidi="ar-SA"/>
    </w:rPr>
  </w:style>
  <w:style w:type="paragraph" w:customStyle="1" w:styleId="247">
    <w:name w:val="Char Char41"/>
    <w:basedOn w:val="1"/>
    <w:autoRedefine/>
    <w:qFormat/>
    <w:uiPriority w:val="0"/>
    <w:pPr>
      <w:widowControl/>
      <w:spacing w:line="400" w:lineRule="exact"/>
      <w:jc w:val="center"/>
    </w:pPr>
  </w:style>
  <w:style w:type="character" w:customStyle="1" w:styleId="248">
    <w:name w:val="批注文字 Char"/>
    <w:autoRedefine/>
    <w:qFormat/>
    <w:uiPriority w:val="99"/>
    <w:rPr>
      <w:kern w:val="2"/>
      <w:sz w:val="21"/>
      <w:szCs w:val="24"/>
    </w:rPr>
  </w:style>
  <w:style w:type="character" w:customStyle="1" w:styleId="249">
    <w:name w:val="标题 Char"/>
    <w:autoRedefine/>
    <w:qFormat/>
    <w:uiPriority w:val="0"/>
    <w:rPr>
      <w:b/>
      <w:kern w:val="2"/>
      <w:sz w:val="32"/>
    </w:rPr>
  </w:style>
  <w:style w:type="paragraph" w:customStyle="1" w:styleId="250">
    <w:name w:val="图例"/>
    <w:basedOn w:val="1"/>
    <w:autoRedefine/>
    <w:qFormat/>
    <w:uiPriority w:val="0"/>
    <w:pPr>
      <w:spacing w:before="120" w:after="120" w:line="360" w:lineRule="auto"/>
      <w:jc w:val="center"/>
    </w:pPr>
    <w:rPr>
      <w:rFonts w:eastAsia="仿宋_GB2312"/>
      <w:b/>
      <w:sz w:val="24"/>
      <w:szCs w:val="20"/>
    </w:rPr>
  </w:style>
  <w:style w:type="table" w:customStyle="1" w:styleId="251">
    <w:name w:val="Table Normal"/>
    <w:autoRedefine/>
    <w:unhideWhenUsed/>
    <w:qFormat/>
    <w:uiPriority w:val="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2">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253">
    <w:name w:val="+正文"/>
    <w:basedOn w:val="1"/>
    <w:link w:val="254"/>
    <w:autoRedefine/>
    <w:qFormat/>
    <w:uiPriority w:val="0"/>
    <w:pPr>
      <w:spacing w:line="360" w:lineRule="auto"/>
      <w:ind w:firstLine="200" w:firstLineChars="200"/>
    </w:pPr>
    <w:rPr>
      <w:rFonts w:ascii="Calibri" w:hAnsi="Calibri"/>
      <w:kern w:val="0"/>
      <w:sz w:val="24"/>
      <w:szCs w:val="28"/>
    </w:rPr>
  </w:style>
  <w:style w:type="character" w:customStyle="1" w:styleId="254">
    <w:name w:val="+正文 Char4"/>
    <w:link w:val="253"/>
    <w:autoRedefine/>
    <w:qFormat/>
    <w:uiPriority w:val="0"/>
    <w:rPr>
      <w:rFonts w:ascii="Calibri" w:hAnsi="Calibri"/>
      <w:sz w:val="24"/>
      <w:szCs w:val="28"/>
    </w:rPr>
  </w:style>
  <w:style w:type="character" w:customStyle="1" w:styleId="255">
    <w:name w:val="标准文本 Char Char"/>
    <w:link w:val="256"/>
    <w:autoRedefine/>
    <w:qFormat/>
    <w:uiPriority w:val="0"/>
    <w:rPr>
      <w:rFonts w:cs="宋体"/>
      <w:sz w:val="24"/>
    </w:rPr>
  </w:style>
  <w:style w:type="paragraph" w:customStyle="1" w:styleId="256">
    <w:name w:val="标准文本"/>
    <w:basedOn w:val="1"/>
    <w:link w:val="255"/>
    <w:autoRedefine/>
    <w:qFormat/>
    <w:uiPriority w:val="0"/>
    <w:pPr>
      <w:spacing w:line="360" w:lineRule="auto"/>
      <w:ind w:firstLine="480" w:firstLineChars="200"/>
    </w:pPr>
    <w:rPr>
      <w:rFonts w:cs="宋体"/>
      <w:kern w:val="0"/>
      <w:sz w:val="24"/>
      <w:szCs w:val="20"/>
    </w:rPr>
  </w:style>
  <w:style w:type="paragraph" w:customStyle="1" w:styleId="257">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58">
    <w:name w:val="Table Text"/>
    <w:basedOn w:val="1"/>
    <w:autoRedefine/>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customStyle="1" w:styleId="259">
    <w:name w:val="样式 小四"/>
    <w:autoRedefine/>
    <w:qFormat/>
    <w:uiPriority w:val="0"/>
    <w:pPr>
      <w:widowControl w:val="0"/>
      <w:adjustRightInd w:val="0"/>
      <w:spacing w:line="360" w:lineRule="atLeast"/>
      <w:textAlignment w:val="baseline"/>
    </w:pPr>
    <w:rPr>
      <w:rFonts w:ascii="Calibri" w:hAnsi="Calibri" w:eastAsia="宋体" w:cs="Arial"/>
      <w:sz w:val="24"/>
      <w:szCs w:val="22"/>
      <w:lang w:val="en-US" w:eastAsia="zh-CN" w:bidi="ar-SA"/>
    </w:rPr>
  </w:style>
  <w:style w:type="paragraph" w:customStyle="1" w:styleId="260">
    <w:name w:val="段"/>
    <w:next w:val="1"/>
    <w:autoRedefine/>
    <w:qFormat/>
    <w:uiPriority w:val="0"/>
    <w:pPr>
      <w:tabs>
        <w:tab w:val="left" w:pos="1389"/>
      </w:tabs>
      <w:autoSpaceDE w:val="0"/>
      <w:autoSpaceDN w:val="0"/>
      <w:ind w:firstLine="425"/>
      <w:jc w:val="both"/>
    </w:pPr>
    <w:rPr>
      <w:rFonts w:ascii="宋体" w:hAnsi="Times New Roman" w:eastAsia="宋体" w:cs="Times New Roman"/>
      <w:sz w:val="21"/>
      <w:lang w:val="en-US" w:eastAsia="zh-CN" w:bidi="ar-SA"/>
    </w:rPr>
  </w:style>
  <w:style w:type="character" w:customStyle="1" w:styleId="261">
    <w:name w:val="font71"/>
    <w:basedOn w:val="48"/>
    <w:autoRedefine/>
    <w:qFormat/>
    <w:uiPriority w:val="0"/>
    <w:rPr>
      <w:rFonts w:ascii="Arial" w:hAnsi="Arial" w:cs="Arial"/>
      <w:color w:val="000000"/>
      <w:sz w:val="24"/>
      <w:szCs w:val="24"/>
      <w:u w:val="none"/>
    </w:rPr>
  </w:style>
  <w:style w:type="character" w:customStyle="1" w:styleId="262">
    <w:name w:val="font61"/>
    <w:basedOn w:val="48"/>
    <w:autoRedefine/>
    <w:qFormat/>
    <w:uiPriority w:val="0"/>
    <w:rPr>
      <w:rFonts w:hint="eastAsia" w:ascii="方正仿宋_GB2312" w:hAnsi="方正仿宋_GB2312" w:eastAsia="方正仿宋_GB2312" w:cs="方正仿宋_GB2312"/>
      <w:color w:val="000000"/>
      <w:sz w:val="24"/>
      <w:szCs w:val="24"/>
      <w:u w:val="none"/>
    </w:rPr>
  </w:style>
  <w:style w:type="paragraph" w:customStyle="1" w:styleId="263">
    <w:name w:val="图表"/>
    <w:qFormat/>
    <w:uiPriority w:val="10"/>
    <w:pPr>
      <w:spacing w:after="160" w:line="360" w:lineRule="auto"/>
      <w:jc w:val="center"/>
    </w:pPr>
    <w:rPr>
      <w:rFonts w:ascii="Times New Roman" w:hAnsi="Times New Roman" w:eastAsia="宋体" w:cstheme="minorBidi"/>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90</Pages>
  <Words>14729</Words>
  <Characters>15482</Characters>
  <Lines>251</Lines>
  <Paragraphs>70</Paragraphs>
  <TotalTime>9</TotalTime>
  <ScaleCrop>false</ScaleCrop>
  <LinksUpToDate>false</LinksUpToDate>
  <CharactersWithSpaces>15694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2024-03-22T03:24:00Z</dcterms:created>
  <dc:creator>PHILIPS</dc:creator>
  <cp:lastModifiedBy>明明</cp:lastModifiedBy>
  <cp:lastPrinted>2024-12-02T02:09:00Z</cp:lastPrinted>
  <dcterms:modified xsi:type="dcterms:W3CDTF">2024-12-03T08:42:07Z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CA5935C04FF549EB834F9084670C9398_13</vt:lpwstr>
  </property>
</Properties>
</file>