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BC" w:rsidRPr="00B62D40" w:rsidRDefault="008F4EBC" w:rsidP="008F4EBC">
      <w:pPr>
        <w:pStyle w:val="11"/>
        <w:adjustRightInd w:val="0"/>
        <w:snapToGrid w:val="0"/>
        <w:spacing w:before="0" w:after="0" w:line="400" w:lineRule="atLeast"/>
        <w:ind w:firstLineChars="0" w:firstLine="0"/>
        <w:jc w:val="center"/>
        <w:outlineLvl w:val="1"/>
        <w:rPr>
          <w:rFonts w:hint="eastAsia"/>
        </w:rPr>
      </w:pPr>
      <w:r w:rsidRPr="00B62D40">
        <w:rPr>
          <w:rFonts w:ascii="仿宋" w:eastAsia="仿宋" w:hAnsi="仿宋" w:cs="宋体" w:hint="eastAsia"/>
          <w:b/>
          <w:bCs/>
          <w:color w:val="auto"/>
          <w:sz w:val="28"/>
          <w:szCs w:val="28"/>
        </w:rPr>
        <w:t>第2包：外文类知识产权数据库账号采购</w:t>
      </w:r>
    </w:p>
    <w:p w:rsidR="008F4EBC" w:rsidRPr="00B62D40" w:rsidRDefault="008F4EBC" w:rsidP="008F4EBC">
      <w:pPr>
        <w:adjustRightInd w:val="0"/>
        <w:snapToGrid w:val="0"/>
        <w:spacing w:line="400" w:lineRule="exact"/>
        <w:ind w:firstLineChars="200" w:firstLine="482"/>
        <w:jc w:val="left"/>
        <w:textAlignment w:val="baseline"/>
        <w:rPr>
          <w:rFonts w:ascii="仿宋" w:eastAsia="仿宋" w:hAnsi="仿宋" w:cs="宋体" w:hint="eastAsia"/>
          <w:b/>
          <w:bCs/>
          <w:kern w:val="0"/>
          <w:sz w:val="24"/>
        </w:rPr>
      </w:pPr>
      <w:r w:rsidRPr="00B62D40">
        <w:rPr>
          <w:rFonts w:ascii="仿宋" w:eastAsia="仿宋" w:hAnsi="仿宋" w:cs="宋体" w:hint="eastAsia"/>
          <w:b/>
          <w:bCs/>
          <w:kern w:val="0"/>
          <w:sz w:val="24"/>
        </w:rPr>
        <w:t>一、项目背景</w:t>
      </w:r>
    </w:p>
    <w:p w:rsidR="008F4EBC" w:rsidRPr="00B62D40" w:rsidRDefault="008F4EBC" w:rsidP="008F4EBC">
      <w:pPr>
        <w:widowControl/>
        <w:spacing w:line="360" w:lineRule="auto"/>
        <w:ind w:firstLine="482"/>
        <w:rPr>
          <w:rFonts w:ascii="仿宋" w:eastAsia="仿宋" w:hAnsi="仿宋" w:cs="宋体"/>
          <w:bCs/>
          <w:sz w:val="24"/>
        </w:rPr>
      </w:pPr>
      <w:r w:rsidRPr="00B62D40">
        <w:rPr>
          <w:rFonts w:ascii="仿宋" w:eastAsia="仿宋" w:hAnsi="仿宋" w:cs="宋体" w:hint="eastAsia"/>
          <w:bCs/>
          <w:sz w:val="24"/>
        </w:rPr>
        <w:t>1.贯彻落实《北京市人民政府关于加快知识产权首善之区建设的实施意见》和《中共北京市委、北京市人民政府关于印发加快科技创新构建高精尖经济结构系列文件的通知》精神，提高知识产权国际服务质量，</w:t>
      </w:r>
      <w:r w:rsidRPr="00B62D40">
        <w:rPr>
          <w:rFonts w:ascii="仿宋" w:eastAsia="仿宋" w:hAnsi="仿宋" w:cs="宋体"/>
          <w:bCs/>
          <w:sz w:val="24"/>
        </w:rPr>
        <w:t>以政府采购提供公共服务形式，购买主要发达市场国专利数据库和知识产权信息资源库，为中小企业发展提供全面、及时的知识产权信息检索平台的</w:t>
      </w:r>
      <w:r w:rsidRPr="00B62D40">
        <w:rPr>
          <w:rFonts w:ascii="仿宋" w:eastAsia="仿宋" w:hAnsi="仿宋" w:cs="宋体" w:hint="eastAsia"/>
          <w:bCs/>
          <w:sz w:val="24"/>
        </w:rPr>
        <w:t>工作</w:t>
      </w:r>
      <w:r w:rsidRPr="00B62D40">
        <w:rPr>
          <w:rFonts w:ascii="仿宋" w:eastAsia="仿宋" w:hAnsi="仿宋" w:cs="宋体"/>
          <w:bCs/>
          <w:sz w:val="24"/>
        </w:rPr>
        <w:t>目标</w:t>
      </w:r>
      <w:r w:rsidRPr="00B62D40">
        <w:rPr>
          <w:rFonts w:ascii="仿宋" w:eastAsia="仿宋" w:hAnsi="仿宋" w:cs="宋体" w:hint="eastAsia"/>
          <w:bCs/>
          <w:sz w:val="24"/>
        </w:rPr>
        <w:t>。</w:t>
      </w:r>
    </w:p>
    <w:p w:rsidR="008F4EBC" w:rsidRPr="00B62D40" w:rsidRDefault="008F4EBC" w:rsidP="008F4EBC">
      <w:pPr>
        <w:adjustRightInd w:val="0"/>
        <w:snapToGrid w:val="0"/>
        <w:spacing w:line="400" w:lineRule="exact"/>
        <w:ind w:firstLineChars="200" w:firstLine="482"/>
        <w:jc w:val="left"/>
        <w:textAlignment w:val="baseline"/>
        <w:rPr>
          <w:rFonts w:ascii="仿宋" w:eastAsia="仿宋" w:hAnsi="仿宋" w:cs="宋体" w:hint="eastAsia"/>
          <w:b/>
          <w:bCs/>
          <w:kern w:val="0"/>
          <w:sz w:val="24"/>
        </w:rPr>
      </w:pPr>
      <w:r w:rsidRPr="00B62D40">
        <w:rPr>
          <w:rFonts w:ascii="仿宋" w:eastAsia="仿宋" w:hAnsi="仿宋" w:cs="宋体" w:hint="eastAsia"/>
          <w:b/>
          <w:bCs/>
          <w:kern w:val="0"/>
          <w:sz w:val="24"/>
        </w:rPr>
        <w:t>二、2021年项目情况</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bCs/>
          <w:sz w:val="24"/>
        </w:rPr>
        <w:t>1.</w:t>
      </w:r>
      <w:r w:rsidRPr="00B62D40">
        <w:rPr>
          <w:rFonts w:ascii="仿宋" w:eastAsia="仿宋" w:hAnsi="仿宋" w:cs="宋体" w:hint="eastAsia"/>
          <w:bCs/>
          <w:sz w:val="24"/>
        </w:rPr>
        <w:t>项目内容：</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采购外文类知识产权数据库账号，在指定的场所，向不特定企业、知识产权服务机构提供检索查询等服务。具体内容如下：</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(1)数据库应能支持知识产权查询、检索等服务；</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(2)负责数据库使用培训；</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(3)负责数据库更新和维护，确保数据库正常运行；</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(4)提供来源合法、完整、更新及时的数据库账号；</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(5)提供其他知识产权数据库服务。</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2.成果</w:t>
      </w:r>
    </w:p>
    <w:p w:rsidR="008F4EBC" w:rsidRPr="00B62D40" w:rsidRDefault="008F4EBC" w:rsidP="008F4EBC">
      <w:pPr>
        <w:widowControl/>
        <w:spacing w:line="360" w:lineRule="auto"/>
        <w:ind w:firstLine="480"/>
        <w:rPr>
          <w:rFonts w:ascii="仿宋" w:eastAsia="仿宋" w:hAnsi="仿宋" w:cs="宋体"/>
          <w:bCs/>
          <w:sz w:val="24"/>
        </w:rPr>
      </w:pPr>
      <w:r w:rsidRPr="00B62D40">
        <w:rPr>
          <w:rFonts w:ascii="仿宋" w:eastAsia="仿宋" w:hAnsi="仿宋" w:cs="宋体" w:hint="eastAsia"/>
          <w:bCs/>
          <w:sz w:val="24"/>
        </w:rPr>
        <w:t>(1)外文知识产权数据库账号用户名和密码；</w:t>
      </w:r>
    </w:p>
    <w:p w:rsidR="008F4EBC" w:rsidRPr="00B62D40" w:rsidRDefault="008F4EBC" w:rsidP="008F4EBC">
      <w:pPr>
        <w:widowControl/>
        <w:spacing w:line="360" w:lineRule="auto"/>
        <w:ind w:firstLine="480"/>
        <w:rPr>
          <w:rFonts w:ascii="仿宋" w:eastAsia="仿宋" w:hAnsi="仿宋" w:cs="宋体" w:hint="eastAsia"/>
          <w:bCs/>
          <w:sz w:val="24"/>
        </w:rPr>
      </w:pPr>
      <w:r w:rsidRPr="00B62D40">
        <w:rPr>
          <w:rFonts w:ascii="仿宋" w:eastAsia="仿宋" w:hAnsi="仿宋" w:cs="宋体" w:hint="eastAsia"/>
          <w:bCs/>
          <w:sz w:val="24"/>
        </w:rPr>
        <w:t>(2)数据库使用培训记录。</w:t>
      </w:r>
    </w:p>
    <w:p w:rsidR="008F4EBC" w:rsidRPr="00B62D40" w:rsidRDefault="008F4EBC" w:rsidP="008F4EBC">
      <w:pPr>
        <w:widowControl/>
        <w:spacing w:line="360" w:lineRule="auto"/>
        <w:ind w:firstLine="480"/>
        <w:rPr>
          <w:rFonts w:ascii="仿宋" w:eastAsia="仿宋" w:hAnsi="仿宋" w:cs="宋体" w:hint="eastAsia"/>
          <w:bCs/>
          <w:sz w:val="24"/>
        </w:rPr>
      </w:pPr>
      <w:r w:rsidRPr="00B62D40">
        <w:rPr>
          <w:rFonts w:ascii="仿宋" w:eastAsia="仿宋" w:hAnsi="仿宋" w:cs="宋体" w:hint="eastAsia"/>
          <w:bCs/>
          <w:sz w:val="24"/>
        </w:rPr>
        <w:t>3.账号要求：账号有效期一年；可提供不同数据库的账号或同一数据库的多个账号。</w:t>
      </w:r>
    </w:p>
    <w:p w:rsidR="008F4EBC" w:rsidRPr="00B62D40" w:rsidRDefault="008F4EBC" w:rsidP="008F4EBC">
      <w:pPr>
        <w:widowControl/>
        <w:spacing w:line="360" w:lineRule="auto"/>
        <w:ind w:firstLine="482"/>
        <w:rPr>
          <w:rFonts w:ascii="仿宋" w:eastAsia="仿宋" w:hAnsi="仿宋" w:cs="宋体" w:hint="eastAsia"/>
          <w:bCs/>
          <w:sz w:val="24"/>
        </w:rPr>
      </w:pPr>
      <w:r w:rsidRPr="00B62D40">
        <w:rPr>
          <w:rFonts w:ascii="仿宋" w:eastAsia="仿宋" w:hAnsi="仿宋" w:cs="宋体" w:hint="eastAsia"/>
          <w:bCs/>
          <w:sz w:val="24"/>
        </w:rPr>
        <w:t>4.验收标准</w:t>
      </w:r>
    </w:p>
    <w:p w:rsidR="008F4EBC" w:rsidRPr="00B62D40" w:rsidRDefault="008F4EBC" w:rsidP="008F4EBC">
      <w:pPr>
        <w:pStyle w:val="a0"/>
        <w:ind w:firstLine="480"/>
        <w:rPr>
          <w:rFonts w:ascii="仿宋" w:eastAsia="仿宋" w:hAnsi="仿宋" w:cs="宋体" w:hint="eastAsia"/>
          <w:bCs/>
          <w:sz w:val="24"/>
        </w:rPr>
      </w:pPr>
      <w:r w:rsidRPr="00B62D40">
        <w:rPr>
          <w:rFonts w:ascii="仿宋" w:eastAsia="仿宋" w:hAnsi="仿宋" w:cs="宋体" w:hint="eastAsia"/>
          <w:bCs/>
          <w:sz w:val="24"/>
        </w:rPr>
        <w:t>(1)数据：专利基本数据收录120个国家/地区/组织超过一亿件的专利数据；</w:t>
      </w:r>
    </w:p>
    <w:p w:rsidR="008F4EBC" w:rsidRPr="00B62D40" w:rsidRDefault="008F4EBC" w:rsidP="008F4EBC">
      <w:pPr>
        <w:pStyle w:val="a0"/>
        <w:ind w:firstLineChars="200" w:firstLine="480"/>
        <w:rPr>
          <w:rFonts w:ascii="仿宋" w:eastAsia="仿宋" w:hAnsi="仿宋" w:cs="宋体"/>
          <w:bCs/>
          <w:sz w:val="24"/>
        </w:rPr>
      </w:pPr>
      <w:r w:rsidRPr="00B62D40">
        <w:rPr>
          <w:rFonts w:ascii="仿宋" w:eastAsia="仿宋" w:hAnsi="仿宋" w:cs="宋体" w:hint="eastAsia"/>
          <w:bCs/>
          <w:sz w:val="24"/>
        </w:rPr>
        <w:t>(2)检索方式：分为简单检索、表格检索、指令检索、批量检索、引证检索、法律信息检索等。</w:t>
      </w:r>
    </w:p>
    <w:p w:rsidR="008F4EBC" w:rsidRPr="00B62D40" w:rsidRDefault="008F4EBC" w:rsidP="008F4EBC">
      <w:pPr>
        <w:pStyle w:val="a0"/>
        <w:ind w:firstLine="480"/>
        <w:rPr>
          <w:rFonts w:ascii="仿宋" w:eastAsia="仿宋" w:hAnsi="仿宋" w:cs="宋体" w:hint="eastAsia"/>
          <w:bCs/>
          <w:sz w:val="24"/>
        </w:rPr>
      </w:pPr>
      <w:r w:rsidRPr="00B62D40">
        <w:rPr>
          <w:rFonts w:ascii="仿宋" w:eastAsia="仿宋" w:hAnsi="仿宋" w:cs="宋体" w:hint="eastAsia"/>
          <w:bCs/>
          <w:sz w:val="24"/>
        </w:rPr>
        <w:t>(3)检索辅助工具：提供国别代码查询、省市代码查询、号码格式说明等辅助查询工具。</w:t>
      </w:r>
    </w:p>
    <w:p w:rsidR="008F4EBC" w:rsidRPr="00B62D40" w:rsidRDefault="008F4EBC" w:rsidP="008F4EBC">
      <w:pPr>
        <w:pStyle w:val="a0"/>
        <w:ind w:firstLine="480"/>
        <w:rPr>
          <w:rFonts w:ascii="仿宋" w:eastAsia="仿宋" w:hAnsi="仿宋" w:cs="宋体" w:hint="eastAsia"/>
          <w:bCs/>
          <w:sz w:val="24"/>
        </w:rPr>
      </w:pPr>
      <w:r w:rsidRPr="00B62D40">
        <w:rPr>
          <w:rFonts w:ascii="仿宋" w:eastAsia="仿宋" w:hAnsi="仿宋" w:cs="宋体" w:hint="eastAsia"/>
          <w:bCs/>
          <w:sz w:val="24"/>
        </w:rPr>
        <w:t>(4)分析：分析统计提供常用分析模板。</w:t>
      </w:r>
    </w:p>
    <w:p w:rsidR="008F4EBC" w:rsidRPr="00B62D40" w:rsidRDefault="008F4EBC" w:rsidP="008F4EBC">
      <w:pPr>
        <w:pStyle w:val="a0"/>
        <w:ind w:firstLine="480"/>
        <w:rPr>
          <w:rFonts w:ascii="仿宋" w:eastAsia="仿宋" w:hAnsi="仿宋" w:cs="宋体" w:hint="eastAsia"/>
          <w:bCs/>
          <w:sz w:val="24"/>
        </w:rPr>
      </w:pPr>
      <w:r w:rsidRPr="00B62D40">
        <w:rPr>
          <w:rFonts w:ascii="仿宋" w:eastAsia="仿宋" w:hAnsi="仿宋" w:cs="宋体" w:hint="eastAsia"/>
          <w:bCs/>
          <w:sz w:val="24"/>
        </w:rPr>
        <w:t>(5)支持在线保存和导出。</w:t>
      </w:r>
    </w:p>
    <w:p w:rsidR="00211CB5" w:rsidRDefault="00211CB5">
      <w:bookmarkStart w:id="0" w:name="_GoBack"/>
      <w:bookmarkEnd w:id="0"/>
    </w:p>
    <w:sectPr w:rsidR="00211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C5" w:rsidRDefault="00512BC5" w:rsidP="008F4EBC">
      <w:r>
        <w:separator/>
      </w:r>
    </w:p>
  </w:endnote>
  <w:endnote w:type="continuationSeparator" w:id="0">
    <w:p w:rsidR="00512BC5" w:rsidRDefault="00512BC5" w:rsidP="008F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C5" w:rsidRDefault="00512BC5" w:rsidP="008F4EBC">
      <w:r>
        <w:separator/>
      </w:r>
    </w:p>
  </w:footnote>
  <w:footnote w:type="continuationSeparator" w:id="0">
    <w:p w:rsidR="00512BC5" w:rsidRDefault="00512BC5" w:rsidP="008F4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75"/>
    <w:rsid w:val="00211CB5"/>
    <w:rsid w:val="00512BC5"/>
    <w:rsid w:val="006F07BB"/>
    <w:rsid w:val="008F4EBC"/>
    <w:rsid w:val="00C3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4EB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6F07BB"/>
    <w:pPr>
      <w:keepNext/>
      <w:keepLines/>
      <w:adjustRightInd w:val="0"/>
      <w:spacing w:before="340" w:after="330" w:line="578" w:lineRule="atLeast"/>
      <w:jc w:val="left"/>
      <w:textAlignment w:val="baseline"/>
      <w:outlineLvl w:val="0"/>
    </w:pPr>
    <w:rPr>
      <w:rFonts w:cs="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spacing w:after="100" w:line="276" w:lineRule="auto"/>
      <w:jc w:val="left"/>
    </w:pPr>
    <w:rPr>
      <w:rFonts w:asciiTheme="minorHAnsi" w:eastAsiaTheme="minorEastAsia" w:hAnsiTheme="minorHAnsi" w:cstheme="minorBidi"/>
      <w:kern w:val="0"/>
      <w:sz w:val="22"/>
      <w:szCs w:val="22"/>
    </w:rPr>
  </w:style>
  <w:style w:type="paragraph" w:styleId="2">
    <w:name w:val="toc 2"/>
    <w:basedOn w:val="a"/>
    <w:next w:val="a"/>
    <w:autoRedefine/>
    <w:uiPriority w:val="39"/>
    <w:semiHidden/>
    <w:unhideWhenUsed/>
    <w:qFormat/>
    <w:rsid w:val="006F07BB"/>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6F07BB"/>
    <w:pPr>
      <w:widowControl/>
      <w:spacing w:after="100" w:line="276" w:lineRule="auto"/>
      <w:ind w:left="440"/>
      <w:jc w:val="left"/>
    </w:pPr>
    <w:rPr>
      <w:rFonts w:asciiTheme="minorHAnsi" w:eastAsiaTheme="minorEastAsia" w:hAnsiTheme="minorHAnsi" w:cstheme="minorBidi"/>
      <w:kern w:val="0"/>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4">
    <w:name w:val="header"/>
    <w:basedOn w:val="a"/>
    <w:link w:val="Char"/>
    <w:uiPriority w:val="99"/>
    <w:unhideWhenUsed/>
    <w:rsid w:val="008F4EBC"/>
    <w:pPr>
      <w:pBdr>
        <w:bottom w:val="single" w:sz="6" w:space="1" w:color="auto"/>
      </w:pBdr>
      <w:tabs>
        <w:tab w:val="center" w:pos="4153"/>
        <w:tab w:val="right" w:pos="8306"/>
      </w:tabs>
      <w:adjustRightInd w:val="0"/>
      <w:snapToGrid w:val="0"/>
      <w:spacing w:line="240" w:lineRule="atLeast"/>
      <w:jc w:val="center"/>
      <w:textAlignment w:val="baseline"/>
    </w:pPr>
    <w:rPr>
      <w:rFonts w:cs="Calibri"/>
      <w:kern w:val="0"/>
      <w:sz w:val="18"/>
      <w:szCs w:val="18"/>
    </w:rPr>
  </w:style>
  <w:style w:type="character" w:customStyle="1" w:styleId="Char">
    <w:name w:val="页眉 Char"/>
    <w:basedOn w:val="a1"/>
    <w:link w:val="a4"/>
    <w:uiPriority w:val="99"/>
    <w:rsid w:val="008F4EBC"/>
    <w:rPr>
      <w:rFonts w:ascii="Calibri" w:eastAsia="宋体" w:hAnsi="Calibri" w:cs="Calibri"/>
      <w:kern w:val="0"/>
      <w:sz w:val="18"/>
      <w:szCs w:val="18"/>
    </w:rPr>
  </w:style>
  <w:style w:type="paragraph" w:styleId="a5">
    <w:name w:val="footer"/>
    <w:basedOn w:val="a"/>
    <w:link w:val="Char0"/>
    <w:uiPriority w:val="99"/>
    <w:unhideWhenUsed/>
    <w:rsid w:val="008F4EBC"/>
    <w:pPr>
      <w:tabs>
        <w:tab w:val="center" w:pos="4153"/>
        <w:tab w:val="right" w:pos="8306"/>
      </w:tabs>
      <w:adjustRightInd w:val="0"/>
      <w:snapToGrid w:val="0"/>
      <w:spacing w:line="240" w:lineRule="atLeast"/>
      <w:jc w:val="left"/>
      <w:textAlignment w:val="baseline"/>
    </w:pPr>
    <w:rPr>
      <w:rFonts w:cs="Calibri"/>
      <w:kern w:val="0"/>
      <w:sz w:val="18"/>
      <w:szCs w:val="18"/>
    </w:rPr>
  </w:style>
  <w:style w:type="character" w:customStyle="1" w:styleId="Char0">
    <w:name w:val="页脚 Char"/>
    <w:basedOn w:val="a1"/>
    <w:link w:val="a5"/>
    <w:uiPriority w:val="99"/>
    <w:rsid w:val="008F4EBC"/>
    <w:rPr>
      <w:rFonts w:ascii="Calibri" w:eastAsia="宋体" w:hAnsi="Calibri" w:cs="Calibri"/>
      <w:kern w:val="0"/>
      <w:sz w:val="18"/>
      <w:szCs w:val="18"/>
    </w:rPr>
  </w:style>
  <w:style w:type="paragraph" w:styleId="a0">
    <w:name w:val="Body Text"/>
    <w:basedOn w:val="a"/>
    <w:link w:val="Char1"/>
    <w:rsid w:val="008F4EBC"/>
    <w:pPr>
      <w:spacing w:after="120"/>
    </w:pPr>
  </w:style>
  <w:style w:type="character" w:customStyle="1" w:styleId="Char1">
    <w:name w:val="正文文本 Char"/>
    <w:basedOn w:val="a1"/>
    <w:link w:val="a0"/>
    <w:rsid w:val="008F4EBC"/>
    <w:rPr>
      <w:rFonts w:ascii="Calibri" w:eastAsia="宋体" w:hAnsi="Calibri" w:cs="Times New Roman"/>
      <w:szCs w:val="24"/>
    </w:rPr>
  </w:style>
  <w:style w:type="paragraph" w:customStyle="1" w:styleId="11">
    <w:name w:val="列出段落11"/>
    <w:basedOn w:val="a"/>
    <w:uiPriority w:val="99"/>
    <w:qFormat/>
    <w:rsid w:val="008F4EBC"/>
    <w:pPr>
      <w:widowControl/>
      <w:spacing w:before="40" w:after="160"/>
      <w:ind w:firstLineChars="200" w:firstLine="420"/>
    </w:pPr>
    <w:rPr>
      <w:rFonts w:ascii="Cambria" w:eastAsia="微软雅黑" w:hAnsi="Cambria" w:cs="Cambria"/>
      <w:color w:val="565656"/>
      <w:kern w:val="20"/>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4EB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6F07BB"/>
    <w:pPr>
      <w:keepNext/>
      <w:keepLines/>
      <w:adjustRightInd w:val="0"/>
      <w:spacing w:before="340" w:after="330" w:line="578" w:lineRule="atLeast"/>
      <w:jc w:val="left"/>
      <w:textAlignment w:val="baseline"/>
      <w:outlineLvl w:val="0"/>
    </w:pPr>
    <w:rPr>
      <w:rFonts w:cs="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07BB"/>
    <w:rPr>
      <w:rFonts w:ascii="Calibri" w:eastAsia="宋体" w:hAnsi="Calibri" w:cs="Calibri"/>
      <w:b/>
      <w:bCs/>
      <w:kern w:val="44"/>
      <w:sz w:val="44"/>
      <w:szCs w:val="44"/>
    </w:rPr>
  </w:style>
  <w:style w:type="paragraph" w:styleId="10">
    <w:name w:val="toc 1"/>
    <w:basedOn w:val="a"/>
    <w:next w:val="a"/>
    <w:autoRedefine/>
    <w:uiPriority w:val="39"/>
    <w:semiHidden/>
    <w:unhideWhenUsed/>
    <w:qFormat/>
    <w:rsid w:val="006F07BB"/>
    <w:pPr>
      <w:widowControl/>
      <w:spacing w:after="100" w:line="276" w:lineRule="auto"/>
      <w:jc w:val="left"/>
    </w:pPr>
    <w:rPr>
      <w:rFonts w:asciiTheme="minorHAnsi" w:eastAsiaTheme="minorEastAsia" w:hAnsiTheme="minorHAnsi" w:cstheme="minorBidi"/>
      <w:kern w:val="0"/>
      <w:sz w:val="22"/>
      <w:szCs w:val="22"/>
    </w:rPr>
  </w:style>
  <w:style w:type="paragraph" w:styleId="2">
    <w:name w:val="toc 2"/>
    <w:basedOn w:val="a"/>
    <w:next w:val="a"/>
    <w:autoRedefine/>
    <w:uiPriority w:val="39"/>
    <w:semiHidden/>
    <w:unhideWhenUsed/>
    <w:qFormat/>
    <w:rsid w:val="006F07BB"/>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6F07BB"/>
    <w:pPr>
      <w:widowControl/>
      <w:spacing w:after="100" w:line="276" w:lineRule="auto"/>
      <w:ind w:left="440"/>
      <w:jc w:val="left"/>
    </w:pPr>
    <w:rPr>
      <w:rFonts w:asciiTheme="minorHAnsi" w:eastAsiaTheme="minorEastAsia" w:hAnsiTheme="minorHAnsi" w:cstheme="minorBidi"/>
      <w:kern w:val="0"/>
      <w:sz w:val="22"/>
      <w:szCs w:val="22"/>
    </w:rPr>
  </w:style>
  <w:style w:type="paragraph" w:styleId="TOC">
    <w:name w:val="TOC Heading"/>
    <w:basedOn w:val="1"/>
    <w:next w:val="a"/>
    <w:uiPriority w:val="39"/>
    <w:unhideWhenUsed/>
    <w:qFormat/>
    <w:rsid w:val="006F07BB"/>
    <w:pPr>
      <w:widowControl/>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a4">
    <w:name w:val="header"/>
    <w:basedOn w:val="a"/>
    <w:link w:val="Char"/>
    <w:uiPriority w:val="99"/>
    <w:unhideWhenUsed/>
    <w:rsid w:val="008F4EBC"/>
    <w:pPr>
      <w:pBdr>
        <w:bottom w:val="single" w:sz="6" w:space="1" w:color="auto"/>
      </w:pBdr>
      <w:tabs>
        <w:tab w:val="center" w:pos="4153"/>
        <w:tab w:val="right" w:pos="8306"/>
      </w:tabs>
      <w:adjustRightInd w:val="0"/>
      <w:snapToGrid w:val="0"/>
      <w:spacing w:line="240" w:lineRule="atLeast"/>
      <w:jc w:val="center"/>
      <w:textAlignment w:val="baseline"/>
    </w:pPr>
    <w:rPr>
      <w:rFonts w:cs="Calibri"/>
      <w:kern w:val="0"/>
      <w:sz w:val="18"/>
      <w:szCs w:val="18"/>
    </w:rPr>
  </w:style>
  <w:style w:type="character" w:customStyle="1" w:styleId="Char">
    <w:name w:val="页眉 Char"/>
    <w:basedOn w:val="a1"/>
    <w:link w:val="a4"/>
    <w:uiPriority w:val="99"/>
    <w:rsid w:val="008F4EBC"/>
    <w:rPr>
      <w:rFonts w:ascii="Calibri" w:eastAsia="宋体" w:hAnsi="Calibri" w:cs="Calibri"/>
      <w:kern w:val="0"/>
      <w:sz w:val="18"/>
      <w:szCs w:val="18"/>
    </w:rPr>
  </w:style>
  <w:style w:type="paragraph" w:styleId="a5">
    <w:name w:val="footer"/>
    <w:basedOn w:val="a"/>
    <w:link w:val="Char0"/>
    <w:uiPriority w:val="99"/>
    <w:unhideWhenUsed/>
    <w:rsid w:val="008F4EBC"/>
    <w:pPr>
      <w:tabs>
        <w:tab w:val="center" w:pos="4153"/>
        <w:tab w:val="right" w:pos="8306"/>
      </w:tabs>
      <w:adjustRightInd w:val="0"/>
      <w:snapToGrid w:val="0"/>
      <w:spacing w:line="240" w:lineRule="atLeast"/>
      <w:jc w:val="left"/>
      <w:textAlignment w:val="baseline"/>
    </w:pPr>
    <w:rPr>
      <w:rFonts w:cs="Calibri"/>
      <w:kern w:val="0"/>
      <w:sz w:val="18"/>
      <w:szCs w:val="18"/>
    </w:rPr>
  </w:style>
  <w:style w:type="character" w:customStyle="1" w:styleId="Char0">
    <w:name w:val="页脚 Char"/>
    <w:basedOn w:val="a1"/>
    <w:link w:val="a5"/>
    <w:uiPriority w:val="99"/>
    <w:rsid w:val="008F4EBC"/>
    <w:rPr>
      <w:rFonts w:ascii="Calibri" w:eastAsia="宋体" w:hAnsi="Calibri" w:cs="Calibri"/>
      <w:kern w:val="0"/>
      <w:sz w:val="18"/>
      <w:szCs w:val="18"/>
    </w:rPr>
  </w:style>
  <w:style w:type="paragraph" w:styleId="a0">
    <w:name w:val="Body Text"/>
    <w:basedOn w:val="a"/>
    <w:link w:val="Char1"/>
    <w:rsid w:val="008F4EBC"/>
    <w:pPr>
      <w:spacing w:after="120"/>
    </w:pPr>
  </w:style>
  <w:style w:type="character" w:customStyle="1" w:styleId="Char1">
    <w:name w:val="正文文本 Char"/>
    <w:basedOn w:val="a1"/>
    <w:link w:val="a0"/>
    <w:rsid w:val="008F4EBC"/>
    <w:rPr>
      <w:rFonts w:ascii="Calibri" w:eastAsia="宋体" w:hAnsi="Calibri" w:cs="Times New Roman"/>
      <w:szCs w:val="24"/>
    </w:rPr>
  </w:style>
  <w:style w:type="paragraph" w:customStyle="1" w:styleId="11">
    <w:name w:val="列出段落11"/>
    <w:basedOn w:val="a"/>
    <w:uiPriority w:val="99"/>
    <w:qFormat/>
    <w:rsid w:val="008F4EBC"/>
    <w:pPr>
      <w:widowControl/>
      <w:spacing w:before="40" w:after="160"/>
      <w:ind w:firstLineChars="200" w:firstLine="420"/>
    </w:pPr>
    <w:rPr>
      <w:rFonts w:ascii="Cambria" w:eastAsia="微软雅黑" w:hAnsi="Cambria" w:cs="Cambria"/>
      <w:color w:val="565656"/>
      <w:kern w:val="20"/>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Hewlett-Packard Company</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2021-05-10T04:41:00Z</dcterms:created>
  <dcterms:modified xsi:type="dcterms:W3CDTF">2021-05-10T04:41:00Z</dcterms:modified>
</cp:coreProperties>
</file>