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80" w:lineRule="auto"/>
        <w:ind w:firstLine="0" w:firstLineChars="0"/>
        <w:rPr>
          <w:rFonts w:hint="eastAsia" w:ascii="宋体" w:hAnsi="宋体" w:cs="宋体"/>
          <w:sz w:val="32"/>
          <w:highlight w:val="none"/>
        </w:rPr>
      </w:pPr>
      <w:bookmarkStart w:id="0" w:name="_Toc76104006"/>
      <w:bookmarkStart w:id="1" w:name="_Toc28528"/>
      <w:bookmarkStart w:id="2" w:name="_Toc428462048"/>
      <w:bookmarkStart w:id="3" w:name="_Toc448335970"/>
      <w:bookmarkStart w:id="4" w:name="_Toc27946"/>
      <w:bookmarkStart w:id="5" w:name="_Toc13709"/>
      <w:bookmarkStart w:id="6" w:name="_Toc15140_WPSOffice_Level1"/>
      <w:bookmarkStart w:id="7" w:name="_Toc8065"/>
      <w:r>
        <w:rPr>
          <w:rFonts w:hint="eastAsia" w:ascii="宋体" w:hAnsi="宋体" w:cs="宋体"/>
          <w:sz w:val="32"/>
          <w:highlight w:val="none"/>
        </w:rPr>
        <w:t>北京市房山区农村污水治理工程（处理站一片区）PPP项目</w:t>
      </w:r>
    </w:p>
    <w:p>
      <w:pPr>
        <w:pStyle w:val="3"/>
        <w:spacing w:line="480" w:lineRule="auto"/>
        <w:ind w:firstLine="0" w:firstLineChars="0"/>
        <w:rPr>
          <w:rFonts w:ascii="宋体" w:hAnsi="宋体" w:cs="宋体"/>
          <w:sz w:val="32"/>
          <w:highlight w:val="none"/>
        </w:rPr>
      </w:pPr>
      <w:r>
        <w:rPr>
          <w:rFonts w:hint="eastAsia" w:ascii="宋体" w:hAnsi="宋体" w:cs="宋体"/>
          <w:sz w:val="32"/>
          <w:highlight w:val="none"/>
        </w:rPr>
        <w:t>资格预审</w:t>
      </w:r>
      <w:bookmarkEnd w:id="0"/>
      <w:r>
        <w:rPr>
          <w:rFonts w:hint="eastAsia" w:ascii="宋体" w:hAnsi="宋体" w:cs="宋体"/>
          <w:sz w:val="32"/>
          <w:highlight w:val="none"/>
        </w:rPr>
        <w:t>公告</w:t>
      </w:r>
      <w:bookmarkEnd w:id="1"/>
      <w:bookmarkEnd w:id="2"/>
      <w:bookmarkEnd w:id="3"/>
      <w:bookmarkEnd w:id="4"/>
      <w:bookmarkEnd w:id="5"/>
      <w:r>
        <w:rPr>
          <w:rFonts w:hint="eastAsia" w:ascii="宋体" w:hAnsi="宋体" w:cs="宋体"/>
          <w:sz w:val="32"/>
          <w:highlight w:val="none"/>
        </w:rPr>
        <w:t>（招标公告）</w:t>
      </w:r>
      <w:bookmarkEnd w:id="6"/>
      <w:bookmarkEnd w:id="7"/>
    </w:p>
    <w:p>
      <w:pPr>
        <w:widowControl/>
        <w:spacing w:before="120" w:line="480" w:lineRule="auto"/>
        <w:ind w:firstLine="480" w:firstLineChars="200"/>
        <w:jc w:val="left"/>
        <w:rPr>
          <w:rFonts w:ascii="宋体" w:hAnsi="宋体" w:cs="宋体"/>
          <w:color w:val="000000"/>
          <w:kern w:val="0"/>
          <w:sz w:val="24"/>
          <w:highlight w:val="none"/>
        </w:rPr>
      </w:pPr>
      <w:bookmarkStart w:id="8" w:name="_Toc428462049"/>
      <w:bookmarkStart w:id="9" w:name="_Toc76104007"/>
      <w:r>
        <w:rPr>
          <w:rFonts w:hint="eastAsia" w:ascii="宋体" w:hAnsi="宋体" w:cs="宋体"/>
          <w:color w:val="000000"/>
          <w:kern w:val="0"/>
          <w:sz w:val="24"/>
          <w:highlight w:val="none"/>
        </w:rPr>
        <w:t>房山区人民政府授权房山区水务局作为本项目实施机构，负责本项目的实施工作。项目已具备采购条件，现通过公开招标方式选择社会资本,并成立项目公司，负责承担北京市房山区农村污水治理工程（处理站一片区）PPP项目的实施。本项目新建部分采用建设-运营-移交模式（BOT），改扩建部分采用改建-运营-移交模式（ROT）实施,现邀请有意向的潜在申请人（以下简称“申请人”）提出资格预审申请。</w:t>
      </w:r>
    </w:p>
    <w:p>
      <w:pPr>
        <w:pStyle w:val="4"/>
        <w:spacing w:before="120" w:line="480" w:lineRule="auto"/>
        <w:ind w:firstLine="0" w:firstLineChars="0"/>
        <w:jc w:val="both"/>
        <w:rPr>
          <w:rFonts w:ascii="宋体" w:hAnsi="宋体" w:cs="宋体"/>
          <w:highlight w:val="none"/>
        </w:rPr>
      </w:pPr>
      <w:r>
        <w:rPr>
          <w:rFonts w:hint="eastAsia" w:ascii="宋体" w:hAnsi="宋体" w:cs="宋体"/>
          <w:highlight w:val="none"/>
        </w:rPr>
        <w:t>一、项目编号：</w:t>
      </w:r>
      <w:r>
        <w:rPr>
          <w:rFonts w:hint="eastAsia" w:ascii="宋体" w:hAnsi="宋体" w:cs="宋体"/>
          <w:b w:val="0"/>
          <w:bCs/>
          <w:color w:val="000000"/>
          <w:kern w:val="0"/>
          <w:highlight w:val="none"/>
        </w:rPr>
        <w:t>GXTC-A-1961004</w:t>
      </w:r>
    </w:p>
    <w:p>
      <w:pPr>
        <w:pStyle w:val="4"/>
        <w:spacing w:before="120" w:line="480" w:lineRule="auto"/>
        <w:ind w:firstLine="0" w:firstLineChars="0"/>
        <w:jc w:val="both"/>
        <w:rPr>
          <w:rFonts w:ascii="宋体" w:hAnsi="宋体" w:cs="宋体"/>
          <w:highlight w:val="none"/>
        </w:rPr>
      </w:pPr>
      <w:r>
        <w:rPr>
          <w:rFonts w:hint="eastAsia" w:ascii="宋体" w:hAnsi="宋体" w:cs="宋体"/>
          <w:highlight w:val="none"/>
        </w:rPr>
        <w:t>二、项目名称：</w:t>
      </w:r>
      <w:r>
        <w:rPr>
          <w:rFonts w:hint="eastAsia" w:ascii="宋体" w:hAnsi="宋体" w:cs="宋体"/>
          <w:b w:val="0"/>
          <w:bCs/>
          <w:highlight w:val="none"/>
        </w:rPr>
        <w:t>北京市房山区农村污水治理工程（处理站一片区）PPP项目</w:t>
      </w:r>
    </w:p>
    <w:p>
      <w:pPr>
        <w:pStyle w:val="4"/>
        <w:spacing w:before="120" w:line="480" w:lineRule="auto"/>
        <w:ind w:firstLine="0" w:firstLineChars="0"/>
        <w:jc w:val="both"/>
        <w:rPr>
          <w:rFonts w:ascii="宋体" w:hAnsi="宋体" w:cs="宋体"/>
          <w:highlight w:val="none"/>
        </w:rPr>
      </w:pPr>
      <w:r>
        <w:rPr>
          <w:rFonts w:hint="eastAsia" w:ascii="宋体" w:hAnsi="宋体" w:cs="宋体"/>
          <w:highlight w:val="none"/>
        </w:rPr>
        <w:t>三、项目总投资：</w:t>
      </w:r>
      <w:r>
        <w:rPr>
          <w:rFonts w:hint="eastAsia" w:ascii="宋体" w:hAnsi="宋体" w:cs="宋体"/>
          <w:b w:val="0"/>
          <w:highlight w:val="none"/>
        </w:rPr>
        <w:t>概算</w:t>
      </w:r>
      <w:r>
        <w:rPr>
          <w:rFonts w:hint="eastAsia" w:ascii="宋体" w:hAnsi="宋体" w:cs="宋体"/>
          <w:b w:val="0"/>
          <w:bCs/>
          <w:highlight w:val="none"/>
        </w:rPr>
        <w:t>32264.41万元人民币</w:t>
      </w:r>
    </w:p>
    <w:p>
      <w:pPr>
        <w:pStyle w:val="4"/>
        <w:spacing w:before="120" w:line="480" w:lineRule="auto"/>
        <w:ind w:firstLine="0" w:firstLineChars="0"/>
        <w:jc w:val="both"/>
        <w:rPr>
          <w:rFonts w:hint="eastAsia" w:ascii="宋体" w:hAnsi="宋体" w:cs="宋体"/>
          <w:highlight w:val="none"/>
        </w:rPr>
      </w:pPr>
      <w:r>
        <w:rPr>
          <w:rFonts w:hint="eastAsia" w:ascii="宋体" w:hAnsi="宋体" w:cs="宋体"/>
          <w:highlight w:val="none"/>
        </w:rPr>
        <w:t>四、项目概况：</w:t>
      </w:r>
    </w:p>
    <w:p>
      <w:pPr>
        <w:pStyle w:val="2"/>
        <w:spacing w:line="480" w:lineRule="auto"/>
        <w:rPr>
          <w:highlight w:val="none"/>
        </w:rPr>
      </w:pPr>
      <w:r>
        <w:rPr>
          <w:rFonts w:hint="eastAsia" w:ascii="宋体" w:hAnsi="宋体" w:eastAsia="宋体" w:cs="宋体"/>
          <w:sz w:val="24"/>
          <w:szCs w:val="24"/>
          <w:highlight w:val="none"/>
        </w:rPr>
        <w:t>本项目政府方不出资入股，由通过公开招标方式确定的社会资本独资组建项目公司。房山区水务局作为签约主体，与成立的项目公司签订PPP项目合同。</w:t>
      </w:r>
    </w:p>
    <w:p>
      <w:pPr>
        <w:spacing w:line="48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(1)建设规模</w:t>
      </w:r>
    </w:p>
    <w:p>
      <w:pPr>
        <w:spacing w:line="48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本项目为农村污水处理站工程，污水处理规模为17850m³/d。</w:t>
      </w:r>
    </w:p>
    <w:p>
      <w:pPr>
        <w:spacing w:line="48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(2）建设内容</w:t>
      </w:r>
    </w:p>
    <w:p>
      <w:pPr>
        <w:spacing w:line="48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本项目为新建+改扩建项目，属于水利建设行业</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拟对155个村庄实施污水处理工程，按照未建站村、已建站村、单户等情况分为3大类，总共涉及污水处理站134座。其中：</w:t>
      </w:r>
    </w:p>
    <w:p>
      <w:pPr>
        <w:spacing w:line="48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1）125个未建污水处理站村庄</w:t>
      </w:r>
    </w:p>
    <w:p>
      <w:pPr>
        <w:spacing w:line="48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新建污水处理站89座，其中：永久处理站86座，临时污水处理站3座，共设计处理规模15295m</w:t>
      </w:r>
      <w:r>
        <w:rPr>
          <w:rFonts w:hint="eastAsia" w:ascii="宋体" w:hAnsi="宋体" w:cs="宋体"/>
          <w:color w:val="000000"/>
          <w:kern w:val="0"/>
          <w:sz w:val="24"/>
          <w:highlight w:val="none"/>
          <w:vertAlign w:val="superscript"/>
        </w:rPr>
        <w:t>3</w:t>
      </w:r>
      <w:r>
        <w:rPr>
          <w:rFonts w:hint="eastAsia" w:ascii="宋体" w:hAnsi="宋体" w:cs="宋体"/>
          <w:color w:val="000000"/>
          <w:kern w:val="0"/>
          <w:sz w:val="24"/>
          <w:highlight w:val="none"/>
        </w:rPr>
        <w:t>/d；配合污水收集系统新建集污池8座，总容积650m</w:t>
      </w:r>
      <w:r>
        <w:rPr>
          <w:rFonts w:hint="eastAsia" w:ascii="宋体" w:hAnsi="宋体" w:cs="宋体"/>
          <w:color w:val="000000"/>
          <w:kern w:val="0"/>
          <w:sz w:val="24"/>
          <w:highlight w:val="none"/>
          <w:vertAlign w:val="superscript"/>
        </w:rPr>
        <w:t>3</w:t>
      </w:r>
      <w:r>
        <w:rPr>
          <w:rFonts w:hint="eastAsia" w:ascii="宋体" w:hAnsi="宋体" w:cs="宋体"/>
          <w:color w:val="000000"/>
          <w:kern w:val="0"/>
          <w:sz w:val="24"/>
          <w:highlight w:val="none"/>
        </w:rPr>
        <w:t>。</w:t>
      </w:r>
    </w:p>
    <w:p>
      <w:pPr>
        <w:spacing w:line="48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2）29个已建污水处理站村庄</w:t>
      </w:r>
    </w:p>
    <w:p>
      <w:pPr>
        <w:spacing w:line="48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新（增）建污水处理站6座、改扩建处理站3座、提标改造污水处理站36座，同时新建厂站配套建设200m</w:t>
      </w:r>
      <w:r>
        <w:rPr>
          <w:rFonts w:hint="eastAsia" w:ascii="宋体" w:hAnsi="宋体" w:cs="宋体"/>
          <w:color w:val="000000"/>
          <w:kern w:val="0"/>
          <w:sz w:val="24"/>
          <w:highlight w:val="none"/>
          <w:vertAlign w:val="superscript"/>
        </w:rPr>
        <w:t>3</w:t>
      </w:r>
      <w:r>
        <w:rPr>
          <w:rFonts w:hint="eastAsia" w:ascii="宋体" w:hAnsi="宋体" w:cs="宋体"/>
          <w:color w:val="000000"/>
          <w:kern w:val="0"/>
          <w:sz w:val="24"/>
          <w:highlight w:val="none"/>
        </w:rPr>
        <w:t>集污池1座。整体改扩建后，处理能力达到2555 m</w:t>
      </w:r>
      <w:r>
        <w:rPr>
          <w:rFonts w:hint="eastAsia" w:ascii="宋体" w:hAnsi="宋体" w:cs="宋体"/>
          <w:color w:val="000000"/>
          <w:kern w:val="0"/>
          <w:sz w:val="24"/>
          <w:highlight w:val="none"/>
          <w:vertAlign w:val="superscript"/>
        </w:rPr>
        <w:t>3</w:t>
      </w:r>
      <w:r>
        <w:rPr>
          <w:rFonts w:hint="eastAsia" w:ascii="宋体" w:hAnsi="宋体" w:cs="宋体"/>
          <w:color w:val="000000"/>
          <w:kern w:val="0"/>
          <w:sz w:val="24"/>
          <w:highlight w:val="none"/>
        </w:rPr>
        <w:t>/d。</w:t>
      </w:r>
    </w:p>
    <w:p>
      <w:pPr>
        <w:spacing w:line="48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3）1个村庄（周口店镇泗马沟村）为单户新建净化设施，建设单户一体化污水处理设施65套。</w:t>
      </w:r>
    </w:p>
    <w:p>
      <w:pPr>
        <w:spacing w:line="48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4）在新建、改扩建污水处理站（包括永久处理站和临时处理站）安装在线监测设施98套。</w:t>
      </w:r>
    </w:p>
    <w:p>
      <w:pPr>
        <w:spacing w:line="48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 (3）项目合作期</w:t>
      </w:r>
    </w:p>
    <w:p>
      <w:pPr>
        <w:spacing w:line="48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本项目合作期包含建设期和运营期，合作期25年（含建设期3年）。</w:t>
      </w:r>
    </w:p>
    <w:p>
      <w:pPr>
        <w:pStyle w:val="17"/>
        <w:spacing w:line="480" w:lineRule="auto"/>
        <w:jc w:val="both"/>
        <w:rPr>
          <w:rFonts w:cs="宋体"/>
          <w:b w:val="0"/>
          <w:color w:val="000000"/>
          <w:kern w:val="0"/>
          <w:sz w:val="24"/>
          <w:highlight w:val="none"/>
        </w:rPr>
      </w:pPr>
      <w:r>
        <w:rPr>
          <w:rFonts w:hint="eastAsia" w:cs="宋体"/>
          <w:b w:val="0"/>
          <w:color w:val="000000"/>
          <w:kern w:val="0"/>
          <w:sz w:val="24"/>
          <w:highlight w:val="none"/>
        </w:rPr>
        <w:t>（4）运营服务范围</w:t>
      </w:r>
    </w:p>
    <w:p>
      <w:pPr>
        <w:spacing w:line="480" w:lineRule="auto"/>
        <w:ind w:firstLine="480" w:firstLineChars="200"/>
        <w:jc w:val="left"/>
        <w:rPr>
          <w:rFonts w:cs="宋体"/>
          <w:b/>
          <w:bCs/>
          <w:color w:val="000000"/>
          <w:kern w:val="0"/>
          <w:sz w:val="24"/>
          <w:highlight w:val="none"/>
        </w:rPr>
      </w:pPr>
      <w:r>
        <w:rPr>
          <w:rFonts w:hint="eastAsia" w:ascii="宋体" w:hAnsi="宋体" w:cs="宋体"/>
          <w:bCs/>
          <w:color w:val="000000"/>
          <w:kern w:val="0"/>
          <w:sz w:val="24"/>
          <w:highlight w:val="none"/>
        </w:rPr>
        <w:t>本项目运营服务范围包括房山区农村污水治理工程（处理站一片区）涵盖的城关街道、拱辰街道、阎村镇、青龙湖镇、河北镇、佛子庄乡、大安山乡、良乡镇、周口店镇、南窖乡、霞云岭乡、石楼镇及史家营乡13个乡镇的总计处理规模为17850m³/d的所有污水处理站的运营维护。</w:t>
      </w:r>
    </w:p>
    <w:p>
      <w:pPr>
        <w:pStyle w:val="4"/>
        <w:spacing w:before="120" w:line="480" w:lineRule="auto"/>
        <w:ind w:firstLine="0" w:firstLineChars="0"/>
        <w:jc w:val="both"/>
        <w:rPr>
          <w:rFonts w:ascii="宋体" w:hAnsi="宋体" w:cs="宋体"/>
          <w:highlight w:val="none"/>
        </w:rPr>
      </w:pPr>
      <w:r>
        <w:rPr>
          <w:rFonts w:hint="eastAsia" w:ascii="宋体" w:hAnsi="宋体" w:cs="宋体"/>
          <w:highlight w:val="none"/>
        </w:rPr>
        <w:t>五、污水处理工艺：</w:t>
      </w:r>
    </w:p>
    <w:p>
      <w:pPr>
        <w:spacing w:line="480" w:lineRule="auto"/>
        <w:ind w:firstLine="480" w:firstLineChars="200"/>
        <w:jc w:val="left"/>
        <w:rPr>
          <w:rFonts w:cs="宋体"/>
          <w:b/>
          <w:bCs/>
          <w:color w:val="000000"/>
          <w:kern w:val="0"/>
          <w:sz w:val="24"/>
          <w:highlight w:val="none"/>
        </w:rPr>
      </w:pPr>
      <w:r>
        <w:rPr>
          <w:rFonts w:hint="eastAsia" w:ascii="宋体" w:hAnsi="宋体" w:cs="宋体"/>
          <w:bCs/>
          <w:color w:val="000000"/>
          <w:kern w:val="0"/>
          <w:sz w:val="24"/>
          <w:highlight w:val="none"/>
        </w:rPr>
        <w:t>本项目涉及到的污水处理站数量多，规模范围广，出水指标分类多。通过认真的分析论证，确定污水处理站采用“生化+ MBR工艺”，“多级A/O工艺”两种主体工艺。若在采购阶段社会资本方提供的工艺方案更符合项目的实际情况，经区水务局论证认可后，按照社会资本方的工艺方案处理污水。</w:t>
      </w:r>
    </w:p>
    <w:p>
      <w:pPr>
        <w:pStyle w:val="4"/>
        <w:spacing w:before="120" w:line="480" w:lineRule="auto"/>
        <w:ind w:firstLine="0" w:firstLineChars="0"/>
        <w:jc w:val="both"/>
        <w:rPr>
          <w:rFonts w:ascii="宋体" w:hAnsi="宋体" w:cs="宋体"/>
          <w:highlight w:val="none"/>
        </w:rPr>
      </w:pPr>
      <w:r>
        <w:rPr>
          <w:rFonts w:hint="eastAsia" w:ascii="宋体" w:hAnsi="宋体" w:cs="宋体"/>
          <w:highlight w:val="none"/>
        </w:rPr>
        <w:t>六、水质要求：</w:t>
      </w:r>
    </w:p>
    <w:p>
      <w:pPr>
        <w:spacing w:line="480" w:lineRule="auto"/>
        <w:rPr>
          <w:rFonts w:ascii="宋体" w:hAnsi="宋体" w:cs="宋体"/>
          <w:sz w:val="24"/>
          <w:highlight w:val="none"/>
        </w:rPr>
      </w:pPr>
      <w:r>
        <w:rPr>
          <w:rFonts w:hint="eastAsia" w:ascii="宋体" w:hAnsi="宋体" w:cs="宋体"/>
          <w:sz w:val="24"/>
          <w:highlight w:val="none"/>
        </w:rPr>
        <w:t>（1）进水水质</w:t>
      </w:r>
    </w:p>
    <w:p>
      <w:pPr>
        <w:spacing w:line="480" w:lineRule="auto"/>
        <w:ind w:firstLine="480" w:firstLineChars="200"/>
        <w:jc w:val="left"/>
        <w:rPr>
          <w:rFonts w:ascii="宋体" w:hAnsi="宋体" w:cs="宋体"/>
          <w:sz w:val="24"/>
          <w:highlight w:val="none"/>
        </w:rPr>
      </w:pPr>
      <w:r>
        <w:rPr>
          <w:rFonts w:hint="eastAsia" w:ascii="宋体" w:hAnsi="宋体" w:cs="宋体"/>
          <w:sz w:val="24"/>
          <w:highlight w:val="none"/>
        </w:rPr>
        <w:t>考虑污水处理站进水指标的不确定性，本工程设计污染物排放指标按照《污水排入城镇下水道水质标准》（GB T 31962-2015）表一中的A级标准选取。</w:t>
      </w:r>
    </w:p>
    <w:p>
      <w:pPr>
        <w:spacing w:line="480" w:lineRule="auto"/>
        <w:rPr>
          <w:rFonts w:ascii="宋体" w:hAnsi="宋体" w:cs="宋体"/>
          <w:sz w:val="24"/>
          <w:highlight w:val="none"/>
        </w:rPr>
      </w:pPr>
      <w:r>
        <w:rPr>
          <w:rFonts w:hint="eastAsia" w:ascii="宋体" w:hAnsi="宋体" w:cs="宋体"/>
          <w:sz w:val="24"/>
          <w:highlight w:val="none"/>
        </w:rPr>
        <w:t>（2）出水水质</w:t>
      </w:r>
    </w:p>
    <w:p>
      <w:pPr>
        <w:spacing w:line="480" w:lineRule="auto"/>
        <w:ind w:firstLine="480" w:firstLineChars="200"/>
        <w:jc w:val="left"/>
        <w:rPr>
          <w:rFonts w:cs="宋体"/>
          <w:b/>
          <w:bCs/>
          <w:highlight w:val="none"/>
        </w:rPr>
      </w:pPr>
      <w:r>
        <w:rPr>
          <w:rFonts w:hint="eastAsia" w:ascii="宋体" w:hAnsi="宋体" w:cs="宋体"/>
          <w:bCs/>
          <w:sz w:val="24"/>
          <w:highlight w:val="none"/>
        </w:rPr>
        <w:t>按照《北京市农村污水收集处理和再生水利用工程项目实施暂行办法》第九条规定，农村污水处理站的排放标准按照北京市发布的《农村生活污水处理设施水污染物排放标准》执行。根据新建污水处理站出水拟排入附近水体的水质分类及污水处理站拟建设规模，确定规模≥500 m³/d的污水处理站，水污染物排放执行《城镇污水处理厂水污染物排放标准》（DB11/890-2012）中的相关规定；规模＜500 m³/d的污水处理站，水污染物排放执行《农村生活污水处理设施水污染物排放标准》中的相关规定。</w:t>
      </w:r>
    </w:p>
    <w:p>
      <w:pPr>
        <w:pStyle w:val="4"/>
        <w:spacing w:before="120" w:line="480" w:lineRule="auto"/>
        <w:ind w:firstLine="0" w:firstLineChars="0"/>
        <w:jc w:val="both"/>
        <w:rPr>
          <w:rFonts w:ascii="宋体" w:hAnsi="宋体" w:cs="宋体"/>
          <w:highlight w:val="none"/>
        </w:rPr>
      </w:pPr>
      <w:r>
        <w:rPr>
          <w:rFonts w:hint="eastAsia" w:ascii="宋体" w:hAnsi="宋体" w:cs="宋体"/>
          <w:highlight w:val="none"/>
        </w:rPr>
        <w:t>七、申请人资格要求：</w:t>
      </w:r>
    </w:p>
    <w:p>
      <w:pPr>
        <w:spacing w:line="480" w:lineRule="auto"/>
        <w:rPr>
          <w:rFonts w:ascii="宋体" w:hAnsi="宋体" w:cs="宋体"/>
          <w:b/>
          <w:bCs/>
          <w:color w:val="000000"/>
          <w:kern w:val="0"/>
          <w:sz w:val="24"/>
          <w:highlight w:val="none"/>
        </w:rPr>
      </w:pPr>
      <w:r>
        <w:rPr>
          <w:rFonts w:hint="eastAsia" w:ascii="宋体" w:hAnsi="宋体" w:cs="宋体"/>
          <w:b/>
          <w:bCs/>
          <w:color w:val="000000"/>
          <w:kern w:val="0"/>
          <w:sz w:val="24"/>
          <w:highlight w:val="none"/>
        </w:rPr>
        <w:t>1、申请人基本要求（以联合体形式申请资格预审的，联合体成员均需满足）：</w:t>
      </w:r>
    </w:p>
    <w:p>
      <w:pPr>
        <w:pStyle w:val="2"/>
        <w:spacing w:line="480" w:lineRule="auto"/>
        <w:ind w:firstLine="480"/>
        <w:rPr>
          <w:rFonts w:ascii="宋体" w:hAnsi="宋体" w:cs="宋体"/>
          <w:sz w:val="24"/>
          <w:highlight w:val="none"/>
        </w:rPr>
      </w:pPr>
      <w:r>
        <w:rPr>
          <w:rFonts w:hint="eastAsia" w:ascii="宋体" w:hAnsi="宋体" w:cs="宋体"/>
          <w:sz w:val="24"/>
          <w:highlight w:val="none"/>
        </w:rPr>
        <w:t>1)具有独立承担民事责任的能力；</w:t>
      </w:r>
    </w:p>
    <w:p>
      <w:pPr>
        <w:pStyle w:val="2"/>
        <w:spacing w:line="480" w:lineRule="auto"/>
        <w:ind w:firstLine="480"/>
        <w:rPr>
          <w:rFonts w:ascii="宋体" w:hAnsi="宋体" w:cs="宋体"/>
          <w:sz w:val="24"/>
          <w:highlight w:val="none"/>
        </w:rPr>
      </w:pPr>
      <w:r>
        <w:rPr>
          <w:rFonts w:hint="eastAsia" w:ascii="宋体" w:hAnsi="宋体" w:cs="宋体"/>
          <w:sz w:val="24"/>
          <w:highlight w:val="none"/>
        </w:rPr>
        <w:t>2)具有良好的商业信誉和健全的财务会计制度；</w:t>
      </w:r>
    </w:p>
    <w:p>
      <w:pPr>
        <w:pStyle w:val="2"/>
        <w:spacing w:line="480" w:lineRule="auto"/>
        <w:ind w:firstLine="480"/>
        <w:rPr>
          <w:rFonts w:ascii="宋体" w:hAnsi="宋体" w:cs="宋体"/>
          <w:sz w:val="24"/>
          <w:highlight w:val="none"/>
        </w:rPr>
      </w:pPr>
      <w:r>
        <w:rPr>
          <w:rFonts w:hint="eastAsia" w:ascii="宋体" w:hAnsi="宋体" w:cs="宋体"/>
          <w:sz w:val="24"/>
          <w:highlight w:val="none"/>
        </w:rPr>
        <w:t>3)具有履行合同所必需的设备和专业技术能力；</w:t>
      </w:r>
    </w:p>
    <w:p>
      <w:pPr>
        <w:pStyle w:val="2"/>
        <w:spacing w:line="480" w:lineRule="auto"/>
        <w:ind w:firstLine="480"/>
        <w:rPr>
          <w:rFonts w:ascii="宋体" w:hAnsi="宋体" w:cs="宋体"/>
          <w:sz w:val="24"/>
          <w:highlight w:val="none"/>
        </w:rPr>
      </w:pPr>
      <w:r>
        <w:rPr>
          <w:rFonts w:hint="eastAsia" w:ascii="宋体" w:hAnsi="宋体" w:cs="宋体"/>
          <w:sz w:val="24"/>
          <w:highlight w:val="none"/>
        </w:rPr>
        <w:t>4)有依法缴纳税收和社会保障资金的良好记录；</w:t>
      </w:r>
    </w:p>
    <w:p>
      <w:pPr>
        <w:pStyle w:val="2"/>
        <w:spacing w:line="480" w:lineRule="auto"/>
        <w:ind w:firstLine="48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pPr>
        <w:pStyle w:val="2"/>
        <w:spacing w:line="480" w:lineRule="auto"/>
        <w:ind w:firstLine="480"/>
        <w:rPr>
          <w:rFonts w:ascii="宋体" w:hAnsi="宋体" w:cs="宋体"/>
          <w:sz w:val="24"/>
          <w:highlight w:val="none"/>
        </w:rPr>
      </w:pPr>
      <w:r>
        <w:rPr>
          <w:rFonts w:hint="eastAsia" w:ascii="宋体" w:hAnsi="宋体" w:cs="宋体"/>
          <w:sz w:val="24"/>
          <w:highlight w:val="none"/>
        </w:rPr>
        <w:t>6)未被“信用中国网站（www.creditchina.gov.cn）</w:t>
      </w:r>
      <w:r>
        <w:rPr>
          <w:rFonts w:hint="eastAsia" w:ascii="宋体" w:hAnsi="宋体" w:cs="宋体"/>
          <w:sz w:val="24"/>
          <w:highlight w:val="none"/>
          <w:lang w:eastAsia="zh-CN"/>
        </w:rPr>
        <w:t>”</w:t>
      </w:r>
      <w:r>
        <w:rPr>
          <w:rFonts w:hint="eastAsia" w:ascii="宋体" w:hAnsi="宋体" w:cs="宋体"/>
          <w:sz w:val="24"/>
          <w:highlight w:val="none"/>
        </w:rPr>
        <w:t>列入失信被执行人、重大税收违法案件当事人名单</w:t>
      </w:r>
      <w:r>
        <w:rPr>
          <w:rFonts w:hint="eastAsia" w:ascii="宋体" w:hAnsi="宋体" w:cs="宋体"/>
          <w:sz w:val="24"/>
          <w:highlight w:val="none"/>
          <w:lang w:val="en-US" w:eastAsia="zh-CN"/>
        </w:rPr>
        <w:t>,未被</w:t>
      </w:r>
      <w:r>
        <w:rPr>
          <w:rFonts w:hint="eastAsia" w:ascii="宋体" w:hAnsi="宋体" w:cs="宋体"/>
          <w:sz w:val="24"/>
          <w:highlight w:val="none"/>
          <w:lang w:eastAsia="zh-CN"/>
        </w:rPr>
        <w:t>“</w:t>
      </w:r>
      <w:r>
        <w:rPr>
          <w:rFonts w:hint="eastAsia" w:ascii="宋体" w:hAnsi="宋体" w:cs="宋体"/>
          <w:sz w:val="24"/>
          <w:highlight w:val="none"/>
          <w:lang w:val="en-US" w:eastAsia="zh-CN"/>
        </w:rPr>
        <w:t>中国政府采购网（www.ccgp.gov.cn）</w:t>
      </w:r>
      <w:r>
        <w:rPr>
          <w:rFonts w:hint="eastAsia" w:ascii="宋体" w:hAnsi="宋体" w:cs="宋体"/>
          <w:sz w:val="24"/>
          <w:highlight w:val="none"/>
          <w:lang w:eastAsia="zh-CN"/>
        </w:rPr>
        <w:t>”</w:t>
      </w:r>
      <w:r>
        <w:rPr>
          <w:rFonts w:hint="eastAsia" w:ascii="宋体" w:hAnsi="宋体" w:cs="宋体"/>
          <w:sz w:val="24"/>
          <w:highlight w:val="none"/>
          <w:lang w:val="en-US" w:eastAsia="zh-CN"/>
        </w:rPr>
        <w:t>列入</w:t>
      </w:r>
      <w:r>
        <w:rPr>
          <w:rFonts w:hint="eastAsia" w:ascii="宋体" w:hAnsi="宋体" w:cs="宋体"/>
          <w:sz w:val="24"/>
          <w:highlight w:val="none"/>
        </w:rPr>
        <w:t>政府采购严重违法失信名单；</w:t>
      </w:r>
    </w:p>
    <w:p>
      <w:pPr>
        <w:pStyle w:val="2"/>
        <w:spacing w:line="480" w:lineRule="auto"/>
        <w:ind w:firstLine="480"/>
        <w:rPr>
          <w:rFonts w:hint="eastAsia" w:ascii="宋体" w:hAnsi="宋体" w:eastAsia="宋体" w:cs="宋体"/>
          <w:sz w:val="24"/>
          <w:highlight w:val="none"/>
          <w:lang w:val="en-US" w:eastAsia="zh-CN"/>
        </w:rPr>
      </w:pPr>
      <w:r>
        <w:rPr>
          <w:rFonts w:hint="eastAsia" w:ascii="宋体" w:hAnsi="宋体" w:cs="宋体"/>
          <w:sz w:val="24"/>
          <w:highlight w:val="none"/>
        </w:rPr>
        <w:t>7)申请人法定代表人为同一人或者存在直接控股、管理关系的不同申请人，不得同时参加本项目的资格预审</w:t>
      </w:r>
      <w:r>
        <w:rPr>
          <w:rFonts w:hint="eastAsia" w:ascii="宋体" w:hAnsi="宋体" w:cs="宋体"/>
          <w:sz w:val="24"/>
          <w:highlight w:val="none"/>
          <w:lang w:val="en-US" w:eastAsia="zh-CN"/>
        </w:rPr>
        <w:t>；</w:t>
      </w:r>
    </w:p>
    <w:p>
      <w:pPr>
        <w:pStyle w:val="2"/>
        <w:spacing w:line="480" w:lineRule="auto"/>
        <w:ind w:firstLine="480"/>
        <w:rPr>
          <w:rFonts w:ascii="宋体" w:hAnsi="宋体" w:cs="宋体"/>
          <w:sz w:val="24"/>
          <w:highlight w:val="none"/>
        </w:rPr>
      </w:pPr>
      <w:r>
        <w:rPr>
          <w:rFonts w:hint="eastAsia" w:ascii="宋体" w:hAnsi="宋体" w:cs="宋体"/>
          <w:sz w:val="24"/>
          <w:highlight w:val="none"/>
          <w:lang w:val="en-US" w:eastAsia="zh-CN"/>
        </w:rPr>
        <w:t>8）</w:t>
      </w:r>
      <w:r>
        <w:rPr>
          <w:rFonts w:hint="eastAsia" w:ascii="宋体" w:hAnsi="宋体" w:cs="宋体"/>
          <w:sz w:val="24"/>
          <w:highlight w:val="none"/>
        </w:rPr>
        <w:t>法律、行政法规规定的其他条件。</w:t>
      </w:r>
    </w:p>
    <w:p>
      <w:pPr>
        <w:pStyle w:val="2"/>
        <w:spacing w:line="480" w:lineRule="auto"/>
        <w:ind w:firstLine="0" w:firstLineChars="0"/>
        <w:rPr>
          <w:rFonts w:ascii="宋体" w:hAnsi="宋体" w:cs="宋体"/>
          <w:b/>
          <w:bCs/>
          <w:color w:val="000000"/>
          <w:kern w:val="0"/>
          <w:sz w:val="24"/>
          <w:highlight w:val="none"/>
        </w:rPr>
      </w:pPr>
      <w:r>
        <w:rPr>
          <w:rFonts w:hint="eastAsia" w:ascii="宋体" w:hAnsi="宋体" w:cs="宋体"/>
          <w:b/>
          <w:bCs/>
          <w:color w:val="000000"/>
          <w:kern w:val="0"/>
          <w:sz w:val="24"/>
          <w:highlight w:val="none"/>
        </w:rPr>
        <w:t>2、申请人</w:t>
      </w:r>
      <w:r>
        <w:rPr>
          <w:rFonts w:hint="eastAsia" w:ascii="宋体" w:hAnsi="宋体" w:cs="宋体"/>
          <w:b/>
          <w:bCs/>
          <w:color w:val="000000"/>
          <w:kern w:val="0"/>
          <w:sz w:val="24"/>
          <w:highlight w:val="none"/>
          <w:lang w:val="en-US" w:eastAsia="zh-CN"/>
        </w:rPr>
        <w:t>其他</w:t>
      </w:r>
      <w:r>
        <w:rPr>
          <w:rFonts w:hint="eastAsia" w:ascii="宋体" w:hAnsi="宋体" w:cs="宋体"/>
          <w:b/>
          <w:bCs/>
          <w:color w:val="000000"/>
          <w:kern w:val="0"/>
          <w:sz w:val="24"/>
          <w:highlight w:val="none"/>
        </w:rPr>
        <w:t>要求（以联合体形式申请资格预审的，联合体成员有一方满足即可）：</w:t>
      </w:r>
    </w:p>
    <w:p>
      <w:pPr>
        <w:pStyle w:val="2"/>
        <w:spacing w:line="48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1)截止2018年12月31日企业资产负债率不高于85% 。</w:t>
      </w:r>
    </w:p>
    <w:p>
      <w:pPr>
        <w:pStyle w:val="2"/>
        <w:spacing w:line="48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2)投融资能力：申请人投融资能力不低于24000万元人民币（或等值货币）有效的银行授信额度证明（证明材料：银行存款或银行授信额度证明或金融机构出具的贷款意向书或与银行签订的融资合作协议或针对本项目的其他融资方案包括但不限于：产业基金、私募基金等）；</w:t>
      </w:r>
    </w:p>
    <w:p>
      <w:pPr>
        <w:pStyle w:val="2"/>
        <w:spacing w:line="48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3)近三年(2016年1月1日至2018年12月31日)财务状况表：每年均为盈利，且年度财务报告应当经具有法定资格的中介机构审计；没有处于财产被接管、冻结、破产或其他不良状态、无重大不良资产或不良投资项目。</w:t>
      </w:r>
    </w:p>
    <w:p>
      <w:pPr>
        <w:pStyle w:val="2"/>
        <w:spacing w:line="48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4)近五年(2014年9月至2019年9月)至少有一项国内投资建设并自行运营1项2万m</w:t>
      </w:r>
      <w:r>
        <w:rPr>
          <w:rFonts w:hint="eastAsia" w:ascii="宋体" w:hAnsi="宋体" w:cs="宋体"/>
          <w:color w:val="000000"/>
          <w:kern w:val="0"/>
          <w:sz w:val="24"/>
          <w:highlight w:val="none"/>
          <w:vertAlign w:val="superscript"/>
        </w:rPr>
        <w:t>3</w:t>
      </w:r>
      <w:r>
        <w:rPr>
          <w:rFonts w:hint="eastAsia" w:ascii="宋体" w:hAnsi="宋体" w:cs="宋体"/>
          <w:color w:val="000000"/>
          <w:kern w:val="0"/>
          <w:sz w:val="24"/>
          <w:highlight w:val="none"/>
        </w:rPr>
        <w:t>/d及以上规模的污水处理厂项目业绩；或申请人至少有一项在国内投资改造并自行运营1项2万m</w:t>
      </w:r>
      <w:r>
        <w:rPr>
          <w:rFonts w:hint="eastAsia" w:ascii="宋体" w:hAnsi="宋体" w:cs="宋体"/>
          <w:color w:val="000000"/>
          <w:kern w:val="0"/>
          <w:sz w:val="24"/>
          <w:highlight w:val="none"/>
          <w:vertAlign w:val="superscript"/>
        </w:rPr>
        <w:t>3</w:t>
      </w:r>
      <w:r>
        <w:rPr>
          <w:rFonts w:hint="eastAsia" w:ascii="宋体" w:hAnsi="宋体" w:cs="宋体"/>
          <w:color w:val="000000"/>
          <w:kern w:val="0"/>
          <w:sz w:val="24"/>
          <w:highlight w:val="none"/>
        </w:rPr>
        <w:t>/d及以上规模的污水处理厂项目业绩（提供中标通知书、合同等业绩材料）；</w:t>
      </w:r>
    </w:p>
    <w:p>
      <w:pPr>
        <w:pStyle w:val="2"/>
        <w:spacing w:line="48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5）具有建设行政主管部门颁发的水利水电施工总承包二级（含）以上资质，且具备有效的安全生产许可证；</w:t>
      </w:r>
    </w:p>
    <w:p>
      <w:pPr>
        <w:pStyle w:val="2"/>
        <w:spacing w:line="48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6）拟派项目经理在本项目建设期内不得担任其他项目的负责人，并须具备水利水电工程专业一级注册建造师执业资格，并同时具有有效的安全生产考核合格证书(B本)；</w:t>
      </w:r>
    </w:p>
    <w:p>
      <w:pPr>
        <w:pStyle w:val="2"/>
        <w:spacing w:line="48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7）外地企业需提供企业进京备案信息资料（适用于施工企业）。</w:t>
      </w:r>
    </w:p>
    <w:p>
      <w:pPr>
        <w:pStyle w:val="2"/>
        <w:spacing w:line="480" w:lineRule="auto"/>
        <w:ind w:firstLine="0" w:firstLineChars="0"/>
        <w:rPr>
          <w:rFonts w:ascii="宋体" w:hAnsi="宋体" w:cs="宋体"/>
          <w:b/>
          <w:bCs/>
          <w:color w:val="000000"/>
          <w:kern w:val="0"/>
          <w:sz w:val="24"/>
          <w:highlight w:val="none"/>
        </w:rPr>
      </w:pPr>
      <w:r>
        <w:rPr>
          <w:rFonts w:hint="eastAsia" w:ascii="宋体" w:hAnsi="宋体" w:cs="宋体"/>
          <w:b/>
          <w:bCs/>
          <w:color w:val="000000"/>
          <w:kern w:val="0"/>
          <w:sz w:val="24"/>
          <w:highlight w:val="none"/>
        </w:rPr>
        <w:t>3、</w:t>
      </w:r>
      <w:r>
        <w:rPr>
          <w:rFonts w:hint="eastAsia" w:ascii="宋体" w:hAnsi="宋体" w:cs="宋体"/>
          <w:b/>
          <w:bCs/>
          <w:color w:val="000000"/>
          <w:kern w:val="0"/>
          <w:sz w:val="24"/>
          <w:highlight w:val="none"/>
          <w:lang w:eastAsia="zh-CN"/>
        </w:rPr>
        <w:t>联合体还应同时满足以下要求</w:t>
      </w:r>
      <w:r>
        <w:rPr>
          <w:rFonts w:hint="eastAsia" w:ascii="宋体" w:hAnsi="宋体" w:cs="宋体"/>
          <w:b/>
          <w:bCs/>
          <w:color w:val="000000"/>
          <w:kern w:val="0"/>
          <w:sz w:val="24"/>
          <w:highlight w:val="none"/>
        </w:rPr>
        <w:t>：</w:t>
      </w:r>
    </w:p>
    <w:p>
      <w:pPr>
        <w:pStyle w:val="2"/>
        <w:spacing w:line="48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1)本项目允许联合体投标，联合体各成员均应具备独立法人资格，且联合体成员单位数量不能超过三家；</w:t>
      </w:r>
    </w:p>
    <w:p>
      <w:pPr>
        <w:pStyle w:val="2"/>
        <w:spacing w:line="48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2)已作为联合体成员参与投标的社会资本，不得在原联合体或其承继主体尚有效存续的情况下另行单独或通过加入其他联合体参加本项目的投标竞争；</w:t>
      </w:r>
    </w:p>
    <w:p>
      <w:pPr>
        <w:pStyle w:val="2"/>
        <w:spacing w:line="48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3)联合体在提交资格预审申请文件和投标文件的同时，应附上由所有成员签署的具有法律约束力的联合体协议，否则投标无效；</w:t>
      </w:r>
    </w:p>
    <w:p>
      <w:pPr>
        <w:pStyle w:val="4"/>
        <w:spacing w:before="120" w:line="480" w:lineRule="auto"/>
        <w:ind w:firstLine="0" w:firstLineChars="0"/>
        <w:jc w:val="both"/>
        <w:rPr>
          <w:rFonts w:ascii="宋体" w:hAnsi="宋体" w:cs="宋体"/>
          <w:highlight w:val="none"/>
        </w:rPr>
      </w:pPr>
      <w:r>
        <w:rPr>
          <w:rFonts w:hint="eastAsia" w:ascii="宋体" w:hAnsi="宋体" w:cs="宋体"/>
          <w:highlight w:val="none"/>
        </w:rPr>
        <w:t>八、领取资格预审文件的时间及地点</w:t>
      </w:r>
      <w:r>
        <w:rPr>
          <w:rFonts w:hint="eastAsia" w:ascii="宋体" w:hAnsi="宋体" w:cs="宋体"/>
          <w:highlight w:val="none"/>
          <w:lang w:eastAsia="zh-CN"/>
        </w:rPr>
        <w:t>（</w:t>
      </w:r>
      <w:r>
        <w:rPr>
          <w:rFonts w:hint="eastAsia" w:ascii="宋体" w:hAnsi="宋体" w:cs="宋体"/>
          <w:highlight w:val="none"/>
          <w:lang w:val="en-US" w:eastAsia="zh-CN"/>
        </w:rPr>
        <w:t>免费领取</w:t>
      </w:r>
      <w:r>
        <w:rPr>
          <w:rFonts w:hint="eastAsia" w:ascii="宋体" w:hAnsi="宋体" w:cs="宋体"/>
          <w:highlight w:val="none"/>
          <w:lang w:eastAsia="zh-CN"/>
        </w:rPr>
        <w:t>）</w:t>
      </w:r>
      <w:r>
        <w:rPr>
          <w:rFonts w:hint="eastAsia" w:ascii="宋体" w:hAnsi="宋体" w:cs="宋体"/>
          <w:highlight w:val="none"/>
        </w:rPr>
        <w:t>：</w:t>
      </w:r>
    </w:p>
    <w:p>
      <w:pPr>
        <w:widowControl/>
        <w:spacing w:line="480" w:lineRule="auto"/>
        <w:ind w:firstLine="420" w:firstLineChars="175"/>
        <w:jc w:val="left"/>
        <w:rPr>
          <w:rFonts w:ascii="宋体" w:hAnsi="宋体" w:cs="宋体"/>
          <w:sz w:val="24"/>
          <w:highlight w:val="none"/>
        </w:rPr>
      </w:pPr>
      <w:r>
        <w:rPr>
          <w:rFonts w:hint="eastAsia" w:ascii="宋体" w:hAnsi="宋体" w:cs="宋体"/>
          <w:sz w:val="24"/>
          <w:highlight w:val="none"/>
        </w:rPr>
        <w:t>领取时间：</w:t>
      </w:r>
      <w:r>
        <w:rPr>
          <w:rFonts w:hint="eastAsia" w:ascii="宋体" w:hAnsi="宋体" w:cs="宋体"/>
          <w:sz w:val="24"/>
          <w:highlight w:val="none"/>
          <w:u w:val="single"/>
          <w:lang w:eastAsia="zh-CN"/>
        </w:rPr>
        <w:t>2019年10月10日</w:t>
      </w:r>
      <w:r>
        <w:rPr>
          <w:rFonts w:hint="eastAsia" w:ascii="宋体" w:hAnsi="宋体" w:cs="宋体"/>
          <w:sz w:val="24"/>
          <w:highlight w:val="none"/>
          <w:u w:val="single"/>
        </w:rPr>
        <w:t>至</w:t>
      </w:r>
      <w:r>
        <w:rPr>
          <w:rFonts w:hint="eastAsia" w:ascii="宋体" w:hAnsi="宋体" w:cs="宋体"/>
          <w:sz w:val="24"/>
          <w:highlight w:val="none"/>
          <w:u w:val="single"/>
          <w:lang w:eastAsia="zh-CN"/>
        </w:rPr>
        <w:t>2019年10月18日</w:t>
      </w:r>
      <w:r>
        <w:rPr>
          <w:rFonts w:hint="eastAsia" w:ascii="宋体" w:hAnsi="宋体" w:cs="宋体"/>
          <w:sz w:val="24"/>
          <w:highlight w:val="none"/>
        </w:rPr>
        <w:t>，上午9:00-11:00，下午13:30-16:30（节假日除外）</w:t>
      </w:r>
    </w:p>
    <w:p>
      <w:pPr>
        <w:widowControl/>
        <w:spacing w:line="480" w:lineRule="auto"/>
        <w:ind w:firstLine="420" w:firstLineChars="175"/>
        <w:jc w:val="left"/>
        <w:rPr>
          <w:rFonts w:ascii="宋体" w:hAnsi="宋体" w:cs="宋体"/>
          <w:sz w:val="24"/>
          <w:highlight w:val="none"/>
        </w:rPr>
      </w:pPr>
      <w:r>
        <w:rPr>
          <w:rFonts w:hint="eastAsia" w:ascii="宋体" w:hAnsi="宋体" w:cs="宋体"/>
          <w:sz w:val="24"/>
          <w:highlight w:val="none"/>
        </w:rPr>
        <w:t>领取地点：国信招标集团股份有限公司（北京市海淀区车公庄西路乙19号华通大厦B座北塔4层428室）。</w:t>
      </w:r>
    </w:p>
    <w:p>
      <w:pPr>
        <w:widowControl/>
        <w:spacing w:line="480" w:lineRule="auto"/>
        <w:ind w:firstLine="420" w:firstLineChars="175"/>
        <w:jc w:val="left"/>
        <w:rPr>
          <w:rFonts w:ascii="宋体" w:hAnsi="宋体" w:cs="宋体"/>
          <w:sz w:val="24"/>
          <w:highlight w:val="none"/>
        </w:rPr>
      </w:pPr>
      <w:r>
        <w:rPr>
          <w:rFonts w:hint="eastAsia" w:ascii="宋体" w:hAnsi="宋体" w:cs="宋体"/>
          <w:sz w:val="24"/>
          <w:highlight w:val="none"/>
        </w:rPr>
        <w:t>报名时请携带以下资料：</w:t>
      </w:r>
      <w:r>
        <w:rPr>
          <w:rFonts w:hint="eastAsia" w:ascii="宋体" w:hAnsi="宋体" w:cs="宋体"/>
          <w:b/>
          <w:bCs/>
          <w:sz w:val="24"/>
          <w:highlight w:val="none"/>
        </w:rPr>
        <w:t>公司营业执照副本复印件、授权委托书或单位介绍信原件、被授权人身份证复印件（以上三份文件均需加盖公章），联合体形式的，联合体各成员均需提供</w:t>
      </w:r>
      <w:r>
        <w:rPr>
          <w:rFonts w:hint="eastAsia" w:ascii="宋体" w:hAnsi="宋体" w:cs="宋体"/>
          <w:sz w:val="24"/>
          <w:highlight w:val="none"/>
        </w:rPr>
        <w:t>。</w:t>
      </w:r>
    </w:p>
    <w:p>
      <w:pPr>
        <w:pStyle w:val="4"/>
        <w:spacing w:before="120" w:line="480" w:lineRule="auto"/>
        <w:ind w:firstLine="0" w:firstLineChars="0"/>
        <w:jc w:val="both"/>
        <w:rPr>
          <w:rFonts w:ascii="宋体" w:hAnsi="宋体" w:cs="宋体"/>
          <w:highlight w:val="none"/>
        </w:rPr>
      </w:pPr>
      <w:r>
        <w:rPr>
          <w:rFonts w:hint="eastAsia" w:ascii="宋体" w:hAnsi="宋体" w:cs="宋体"/>
          <w:highlight w:val="none"/>
        </w:rPr>
        <w:t>九、资格预审申请文件的递交:</w:t>
      </w:r>
    </w:p>
    <w:p>
      <w:pPr>
        <w:widowControl/>
        <w:spacing w:line="48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资格预审申请文件递交截止时间：</w:t>
      </w:r>
      <w:r>
        <w:rPr>
          <w:rFonts w:hint="eastAsia" w:ascii="宋体" w:hAnsi="宋体" w:cs="宋体"/>
          <w:b/>
          <w:bCs/>
          <w:color w:val="000000"/>
          <w:kern w:val="0"/>
          <w:sz w:val="24"/>
          <w:highlight w:val="none"/>
          <w:u w:val="single"/>
          <w:lang w:eastAsia="zh-CN"/>
        </w:rPr>
        <w:t>2019年10月31日 09:30:00</w:t>
      </w:r>
      <w:r>
        <w:rPr>
          <w:rFonts w:hint="eastAsia" w:ascii="宋体" w:hAnsi="宋体" w:cs="宋体"/>
          <w:color w:val="000000"/>
          <w:kern w:val="0"/>
          <w:sz w:val="24"/>
          <w:highlight w:val="none"/>
        </w:rPr>
        <w:t>（北京时间）；</w:t>
      </w:r>
    </w:p>
    <w:p>
      <w:pPr>
        <w:widowControl/>
        <w:spacing w:line="48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资格预审申请文件递交地点：</w:t>
      </w:r>
      <w:r>
        <w:rPr>
          <w:rFonts w:hint="eastAsia" w:ascii="宋体" w:hAnsi="宋体" w:cs="宋体"/>
          <w:b/>
          <w:bCs/>
          <w:color w:val="000000"/>
          <w:sz w:val="24"/>
          <w:highlight w:val="none"/>
          <w:u w:val="single"/>
          <w:lang w:eastAsia="zh-CN"/>
        </w:rPr>
        <w:t>北京市房山区长阳镇北广阳城村北芭蕾雨悦都西侧房山区水务局213会议室</w:t>
      </w:r>
      <w:r>
        <w:rPr>
          <w:rFonts w:hint="eastAsia" w:ascii="宋体" w:hAnsi="宋体" w:cs="宋体"/>
          <w:color w:val="000000"/>
          <w:kern w:val="0"/>
          <w:sz w:val="24"/>
          <w:highlight w:val="none"/>
        </w:rPr>
        <w:t>。</w:t>
      </w:r>
    </w:p>
    <w:p>
      <w:pPr>
        <w:widowControl/>
        <w:spacing w:line="480" w:lineRule="auto"/>
        <w:ind w:firstLine="482" w:firstLineChars="200"/>
        <w:jc w:val="left"/>
        <w:rPr>
          <w:rFonts w:ascii="宋体" w:hAnsi="宋体" w:cs="宋体"/>
          <w:color w:val="000000"/>
          <w:kern w:val="0"/>
          <w:sz w:val="24"/>
          <w:highlight w:val="none"/>
        </w:rPr>
      </w:pPr>
      <w:r>
        <w:rPr>
          <w:rFonts w:hint="eastAsia" w:ascii="宋体" w:hAnsi="宋体" w:cs="宋体"/>
          <w:b/>
          <w:bCs/>
          <w:color w:val="000000"/>
          <w:kern w:val="0"/>
          <w:sz w:val="24"/>
          <w:highlight w:val="none"/>
        </w:rPr>
        <w:t>申请人的法定代表人或者授权代表（须携带法人授权委托书及被授权人的身份证原件及复印件）递交资格预审申请文件</w:t>
      </w:r>
      <w:r>
        <w:rPr>
          <w:rFonts w:hint="eastAsia" w:ascii="宋体" w:hAnsi="宋体" w:cs="宋体"/>
          <w:color w:val="000000"/>
          <w:kern w:val="0"/>
          <w:sz w:val="24"/>
          <w:highlight w:val="none"/>
        </w:rPr>
        <w:t>。</w:t>
      </w:r>
    </w:p>
    <w:p>
      <w:pPr>
        <w:pStyle w:val="4"/>
        <w:spacing w:before="120" w:line="480" w:lineRule="auto"/>
        <w:ind w:firstLine="0" w:firstLineChars="0"/>
        <w:jc w:val="both"/>
        <w:rPr>
          <w:rFonts w:ascii="宋体" w:hAnsi="宋体" w:cs="宋体"/>
          <w:highlight w:val="none"/>
        </w:rPr>
      </w:pPr>
      <w:r>
        <w:rPr>
          <w:rFonts w:hint="eastAsia" w:ascii="宋体" w:hAnsi="宋体" w:cs="宋体"/>
          <w:highlight w:val="none"/>
        </w:rPr>
        <w:t>十、资格审查及确定潜在社会资本的方法:</w:t>
      </w:r>
    </w:p>
    <w:p>
      <w:pPr>
        <w:widowControl/>
        <w:spacing w:line="48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ab/>
      </w:r>
      <w:r>
        <w:rPr>
          <w:rFonts w:hint="eastAsia" w:ascii="宋体" w:hAnsi="宋体" w:cs="宋体"/>
          <w:color w:val="000000"/>
          <w:kern w:val="0"/>
          <w:sz w:val="24"/>
          <w:highlight w:val="none"/>
        </w:rPr>
        <w:t>本次资格预审采用合格制。</w:t>
      </w:r>
    </w:p>
    <w:p>
      <w:pPr>
        <w:widowControl/>
        <w:spacing w:line="48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ab/>
      </w:r>
      <w:r>
        <w:rPr>
          <w:rFonts w:hint="eastAsia" w:ascii="宋体" w:hAnsi="宋体" w:cs="宋体"/>
          <w:color w:val="000000"/>
          <w:kern w:val="0"/>
          <w:sz w:val="24"/>
          <w:highlight w:val="none"/>
        </w:rPr>
        <w:t>所有通过资格预审的社会资本均可参与本项目投标。资格预审合格的申请人少于3名时，则按《政府和社会资本合作项目政府采购管理办法》（财库〔2014〕215号）第八条规定执行。</w:t>
      </w:r>
    </w:p>
    <w:p>
      <w:pPr>
        <w:widowControl/>
        <w:spacing w:line="48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ab/>
      </w:r>
      <w:r>
        <w:rPr>
          <w:rFonts w:hint="eastAsia" w:ascii="宋体" w:hAnsi="宋体" w:cs="宋体"/>
          <w:color w:val="000000"/>
          <w:kern w:val="0"/>
          <w:sz w:val="24"/>
          <w:highlight w:val="none"/>
        </w:rPr>
        <w:t>招标代理机构将在资格预审结束后向资格预审合格的申请人发出书面的资格预审结果，未参加本项目资格预审的社会资本及未通过本次资格预审的申请单位均不可参与本项目投标。</w:t>
      </w:r>
    </w:p>
    <w:p>
      <w:pPr>
        <w:pStyle w:val="4"/>
        <w:spacing w:before="120" w:line="480" w:lineRule="auto"/>
        <w:ind w:firstLine="0" w:firstLineChars="0"/>
        <w:rPr>
          <w:rFonts w:ascii="宋体" w:hAnsi="宋体" w:cs="宋体"/>
          <w:highlight w:val="none"/>
        </w:rPr>
      </w:pPr>
      <w:r>
        <w:rPr>
          <w:rFonts w:hint="eastAsia" w:ascii="宋体" w:hAnsi="宋体" w:cs="宋体"/>
          <w:highlight w:val="none"/>
        </w:rPr>
        <w:t>十一、本公告同时发布于“中国政府采购网”、“北京市政府采购网”、“</w:t>
      </w:r>
      <w:bookmarkStart w:id="10" w:name="_GoBack"/>
      <w:bookmarkEnd w:id="10"/>
      <w:r>
        <w:rPr>
          <w:rFonts w:hint="eastAsia" w:ascii="宋体" w:hAnsi="宋体" w:cs="宋体"/>
          <w:highlight w:val="none"/>
          <w:lang w:eastAsia="zh-CN"/>
        </w:rPr>
        <w:t>北京市公共资源交易服务平台</w:t>
      </w:r>
      <w:r>
        <w:rPr>
          <w:rFonts w:hint="eastAsia" w:ascii="宋体" w:hAnsi="宋体" w:cs="宋体"/>
          <w:highlight w:val="none"/>
        </w:rPr>
        <w:t>”。</w:t>
      </w:r>
    </w:p>
    <w:p>
      <w:pPr>
        <w:pStyle w:val="4"/>
        <w:spacing w:before="120" w:line="480" w:lineRule="auto"/>
        <w:ind w:left="-1" w:firstLine="0" w:firstLineChars="0"/>
        <w:rPr>
          <w:rFonts w:ascii="宋体" w:hAnsi="宋体" w:cs="宋体"/>
          <w:highlight w:val="none"/>
        </w:rPr>
      </w:pPr>
      <w:r>
        <w:rPr>
          <w:rFonts w:hint="eastAsia" w:ascii="宋体" w:hAnsi="宋体" w:cs="宋体"/>
          <w:highlight w:val="none"/>
        </w:rPr>
        <w:t>十二、联系方式</w:t>
      </w:r>
    </w:p>
    <w:p>
      <w:pPr>
        <w:widowControl/>
        <w:spacing w:line="48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招 标 人：</w:t>
      </w:r>
      <w:r>
        <w:rPr>
          <w:rFonts w:hint="eastAsia" w:ascii="宋体" w:hAnsi="宋体" w:cs="宋体"/>
          <w:sz w:val="24"/>
          <w:highlight w:val="none"/>
        </w:rPr>
        <w:t>北京市房山区水务局</w:t>
      </w:r>
    </w:p>
    <w:p>
      <w:pPr>
        <w:widowControl/>
        <w:spacing w:line="48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联 系 人：钱新磊</w:t>
      </w:r>
    </w:p>
    <w:p>
      <w:pPr>
        <w:widowControl/>
        <w:spacing w:line="48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联系方式：01080365928</w:t>
      </w:r>
    </w:p>
    <w:p>
      <w:pPr>
        <w:spacing w:line="480" w:lineRule="auto"/>
        <w:rPr>
          <w:rFonts w:ascii="宋体" w:hAnsi="宋体" w:cs="宋体"/>
          <w:sz w:val="24"/>
          <w:highlight w:val="none"/>
        </w:rPr>
      </w:pPr>
      <w:r>
        <w:rPr>
          <w:rFonts w:hint="eastAsia" w:ascii="宋体" w:hAnsi="宋体" w:cs="宋体"/>
          <w:sz w:val="24"/>
          <w:highlight w:val="none"/>
        </w:rPr>
        <w:t>招标代理机构：国信招标集团股份有限公司</w:t>
      </w:r>
    </w:p>
    <w:p>
      <w:pPr>
        <w:spacing w:line="480" w:lineRule="auto"/>
        <w:rPr>
          <w:rFonts w:ascii="宋体" w:hAnsi="宋体" w:cs="宋体"/>
          <w:sz w:val="24"/>
          <w:highlight w:val="none"/>
        </w:rPr>
      </w:pPr>
      <w:r>
        <w:rPr>
          <w:rFonts w:hint="eastAsia" w:ascii="宋体" w:hAnsi="宋体" w:cs="宋体"/>
          <w:sz w:val="24"/>
          <w:highlight w:val="none"/>
        </w:rPr>
        <w:t>执 行  机 构：国信招标集团股份有限公司北京第一招标分公司</w:t>
      </w:r>
    </w:p>
    <w:p>
      <w:pPr>
        <w:spacing w:line="480" w:lineRule="auto"/>
        <w:rPr>
          <w:rFonts w:ascii="宋体" w:hAnsi="宋体" w:cs="宋体"/>
          <w:sz w:val="24"/>
          <w:highlight w:val="none"/>
        </w:rPr>
      </w:pPr>
      <w:r>
        <w:rPr>
          <w:rFonts w:hint="eastAsia" w:ascii="宋体" w:hAnsi="宋体" w:cs="宋体"/>
          <w:sz w:val="24"/>
          <w:highlight w:val="none"/>
        </w:rPr>
        <w:t>地    址：北京市海淀区车公庄西路乙19号华通大厦B座北塔428室</w:t>
      </w:r>
    </w:p>
    <w:p>
      <w:pPr>
        <w:spacing w:line="480" w:lineRule="auto"/>
        <w:rPr>
          <w:rFonts w:ascii="宋体" w:hAnsi="宋体" w:cs="宋体"/>
          <w:sz w:val="24"/>
          <w:highlight w:val="none"/>
        </w:rPr>
      </w:pPr>
      <w:r>
        <w:rPr>
          <w:rFonts w:hint="eastAsia" w:ascii="宋体" w:hAnsi="宋体" w:cs="宋体"/>
          <w:sz w:val="24"/>
          <w:highlight w:val="none"/>
        </w:rPr>
        <w:t>邮    编：100048</w:t>
      </w:r>
    </w:p>
    <w:p>
      <w:pPr>
        <w:spacing w:line="480" w:lineRule="auto"/>
        <w:rPr>
          <w:rFonts w:ascii="宋体" w:hAnsi="宋体" w:cs="宋体"/>
          <w:sz w:val="24"/>
          <w:highlight w:val="none"/>
        </w:rPr>
      </w:pPr>
      <w:r>
        <w:rPr>
          <w:rFonts w:hint="eastAsia" w:ascii="宋体" w:hAnsi="宋体" w:cs="宋体"/>
          <w:sz w:val="24"/>
          <w:highlight w:val="none"/>
        </w:rPr>
        <w:t>联 系 人：田云江、王</w:t>
      </w:r>
      <w:r>
        <w:rPr>
          <w:rFonts w:ascii="宋体" w:hAnsi="宋体" w:cs="宋体"/>
          <w:sz w:val="24"/>
          <w:highlight w:val="none"/>
        </w:rPr>
        <w:t>广远</w:t>
      </w:r>
    </w:p>
    <w:p>
      <w:pPr>
        <w:spacing w:line="480" w:lineRule="auto"/>
        <w:rPr>
          <w:rFonts w:ascii="宋体" w:hAnsi="宋体" w:cs="宋体"/>
          <w:sz w:val="24"/>
          <w:highlight w:val="none"/>
        </w:rPr>
      </w:pPr>
      <w:r>
        <w:rPr>
          <w:rFonts w:hint="eastAsia" w:ascii="宋体" w:hAnsi="宋体" w:cs="宋体"/>
          <w:sz w:val="24"/>
          <w:highlight w:val="none"/>
        </w:rPr>
        <w:t>电    话：010-88019358-822          传    真：010-88357518</w:t>
      </w:r>
    </w:p>
    <w:p>
      <w:pPr>
        <w:spacing w:line="480" w:lineRule="auto"/>
        <w:rPr>
          <w:rStyle w:val="48"/>
          <w:rFonts w:ascii="宋体" w:hAnsi="宋体" w:cs="宋体"/>
          <w:sz w:val="24"/>
          <w:highlight w:val="none"/>
        </w:rPr>
      </w:pPr>
      <w:r>
        <w:rPr>
          <w:rFonts w:hint="eastAsia" w:ascii="宋体" w:hAnsi="宋体" w:cs="宋体"/>
          <w:sz w:val="24"/>
          <w:highlight w:val="none"/>
        </w:rPr>
        <w:t>邮    箱：</w:t>
      </w:r>
      <w:r>
        <w:rPr>
          <w:highlight w:val="none"/>
        </w:rPr>
        <w:fldChar w:fldCharType="begin"/>
      </w:r>
      <w:r>
        <w:rPr>
          <w:highlight w:val="none"/>
        </w:rPr>
        <w:instrText xml:space="preserve"> HYPERLINK "mailto:gxzbtyj@sina.com" </w:instrText>
      </w:r>
      <w:r>
        <w:rPr>
          <w:highlight w:val="none"/>
        </w:rPr>
        <w:fldChar w:fldCharType="separate"/>
      </w:r>
      <w:r>
        <w:rPr>
          <w:rStyle w:val="48"/>
          <w:rFonts w:hint="eastAsia" w:ascii="宋体" w:hAnsi="宋体" w:cs="宋体"/>
          <w:sz w:val="24"/>
          <w:highlight w:val="none"/>
        </w:rPr>
        <w:t>gxzbtyj@sina.com</w:t>
      </w:r>
      <w:r>
        <w:rPr>
          <w:rStyle w:val="48"/>
          <w:rFonts w:hint="eastAsia" w:ascii="宋体" w:hAnsi="宋体" w:cs="宋体"/>
          <w:sz w:val="24"/>
          <w:highlight w:val="none"/>
        </w:rPr>
        <w:fldChar w:fldCharType="end"/>
      </w:r>
    </w:p>
    <w:p>
      <w:pPr>
        <w:pStyle w:val="2"/>
        <w:ind w:firstLine="0" w:firstLineChars="0"/>
        <w:rPr>
          <w:rStyle w:val="48"/>
          <w:rFonts w:ascii="宋体" w:hAnsi="宋体" w:cs="宋体"/>
          <w:sz w:val="24"/>
          <w:highlight w:val="none"/>
        </w:rPr>
      </w:pPr>
    </w:p>
    <w:p>
      <w:pPr>
        <w:pStyle w:val="2"/>
        <w:ind w:firstLine="0" w:firstLineChars="0"/>
        <w:rPr>
          <w:rStyle w:val="48"/>
          <w:rFonts w:ascii="宋体" w:hAnsi="宋体" w:cs="宋体"/>
          <w:sz w:val="24"/>
          <w:highlight w:val="none"/>
        </w:rPr>
      </w:pPr>
    </w:p>
    <w:p>
      <w:pPr>
        <w:tabs>
          <w:tab w:val="left" w:pos="4255"/>
          <w:tab w:val="right" w:pos="7746"/>
        </w:tabs>
        <w:snapToGrid w:val="0"/>
        <w:spacing w:line="480" w:lineRule="auto"/>
        <w:ind w:right="280"/>
        <w:jc w:val="right"/>
        <w:rPr>
          <w:rFonts w:ascii="宋体" w:hAnsi="宋体" w:cs="宋体"/>
          <w:bCs/>
          <w:sz w:val="24"/>
          <w:highlight w:val="none"/>
        </w:rPr>
      </w:pPr>
      <w:r>
        <w:rPr>
          <w:rFonts w:hint="eastAsia" w:ascii="宋体" w:hAnsi="宋体" w:cs="宋体"/>
          <w:bCs/>
          <w:sz w:val="24"/>
          <w:highlight w:val="none"/>
        </w:rPr>
        <w:t>国信招标集团股份有限公司</w:t>
      </w:r>
    </w:p>
    <w:p>
      <w:pPr>
        <w:snapToGrid w:val="0"/>
        <w:spacing w:line="480" w:lineRule="auto"/>
        <w:ind w:right="106"/>
        <w:jc w:val="center"/>
        <w:rPr>
          <w:rFonts w:ascii="宋体" w:hAnsi="宋体" w:cs="宋体"/>
          <w:highlight w:val="none"/>
        </w:rPr>
      </w:pPr>
      <w:r>
        <w:rPr>
          <w:rFonts w:hint="eastAsia" w:ascii="宋体" w:hAnsi="宋体" w:cs="宋体"/>
          <w:bCs/>
          <w:sz w:val="24"/>
          <w:highlight w:val="none"/>
        </w:rPr>
        <w:t xml:space="preserve">                                             </w:t>
      </w:r>
      <w:r>
        <w:rPr>
          <w:rFonts w:hint="eastAsia" w:ascii="宋体" w:hAnsi="宋体" w:cs="宋体"/>
          <w:bCs/>
          <w:sz w:val="24"/>
          <w:highlight w:val="none"/>
          <w:lang w:eastAsia="zh-CN"/>
        </w:rPr>
        <w:t>2019年10月10日</w:t>
      </w:r>
      <w:bookmarkEnd w:id="8"/>
      <w:bookmarkEnd w:id="9"/>
    </w:p>
    <w:sectPr>
      <w:headerReference r:id="rId3" w:type="default"/>
      <w:footerReference r:id="rId4" w:type="default"/>
      <w:pgSz w:w="11907" w:h="16840"/>
      <w:pgMar w:top="1304" w:right="1418" w:bottom="1140" w:left="1701" w:header="851" w:footer="992" w:gutter="0"/>
      <w:cols w:space="720" w:num="1"/>
      <w:docGrid w:linePitch="381"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0BE"/>
    <w:rsid w:val="00000C6A"/>
    <w:rsid w:val="000111F7"/>
    <w:rsid w:val="00012858"/>
    <w:rsid w:val="00017DBF"/>
    <w:rsid w:val="000508B5"/>
    <w:rsid w:val="00052A3B"/>
    <w:rsid w:val="000765D9"/>
    <w:rsid w:val="000B6076"/>
    <w:rsid w:val="000B667C"/>
    <w:rsid w:val="000C5F46"/>
    <w:rsid w:val="000C66AD"/>
    <w:rsid w:val="000D2FA4"/>
    <w:rsid w:val="000D41AD"/>
    <w:rsid w:val="00103250"/>
    <w:rsid w:val="00106BD8"/>
    <w:rsid w:val="00124A97"/>
    <w:rsid w:val="00143A39"/>
    <w:rsid w:val="00150524"/>
    <w:rsid w:val="00151634"/>
    <w:rsid w:val="00162338"/>
    <w:rsid w:val="00162A65"/>
    <w:rsid w:val="00195426"/>
    <w:rsid w:val="00195B2D"/>
    <w:rsid w:val="00197C68"/>
    <w:rsid w:val="001B056F"/>
    <w:rsid w:val="0020217D"/>
    <w:rsid w:val="00203826"/>
    <w:rsid w:val="00204C9F"/>
    <w:rsid w:val="0022075E"/>
    <w:rsid w:val="00224955"/>
    <w:rsid w:val="00225BEB"/>
    <w:rsid w:val="00226CD6"/>
    <w:rsid w:val="0022744F"/>
    <w:rsid w:val="00254DD5"/>
    <w:rsid w:val="00257F09"/>
    <w:rsid w:val="002610E7"/>
    <w:rsid w:val="00271069"/>
    <w:rsid w:val="0027129C"/>
    <w:rsid w:val="00284514"/>
    <w:rsid w:val="0028766B"/>
    <w:rsid w:val="002B4CD1"/>
    <w:rsid w:val="002D1423"/>
    <w:rsid w:val="002D3AE1"/>
    <w:rsid w:val="002E13A3"/>
    <w:rsid w:val="002E1583"/>
    <w:rsid w:val="002F3AA9"/>
    <w:rsid w:val="002F43F7"/>
    <w:rsid w:val="003011EE"/>
    <w:rsid w:val="003028ED"/>
    <w:rsid w:val="003040CF"/>
    <w:rsid w:val="00306B91"/>
    <w:rsid w:val="003079F1"/>
    <w:rsid w:val="00314709"/>
    <w:rsid w:val="0032295B"/>
    <w:rsid w:val="00347A85"/>
    <w:rsid w:val="00361FCE"/>
    <w:rsid w:val="00366407"/>
    <w:rsid w:val="00372061"/>
    <w:rsid w:val="0038487E"/>
    <w:rsid w:val="003925E2"/>
    <w:rsid w:val="00395028"/>
    <w:rsid w:val="0039768E"/>
    <w:rsid w:val="003A0129"/>
    <w:rsid w:val="003B0461"/>
    <w:rsid w:val="003B2390"/>
    <w:rsid w:val="003C3D9E"/>
    <w:rsid w:val="003C6D51"/>
    <w:rsid w:val="003D110B"/>
    <w:rsid w:val="003D754E"/>
    <w:rsid w:val="003E0A9D"/>
    <w:rsid w:val="003F2D34"/>
    <w:rsid w:val="00407D74"/>
    <w:rsid w:val="00412DF8"/>
    <w:rsid w:val="00416040"/>
    <w:rsid w:val="00422A04"/>
    <w:rsid w:val="00431D6C"/>
    <w:rsid w:val="00447E78"/>
    <w:rsid w:val="004764F2"/>
    <w:rsid w:val="00477121"/>
    <w:rsid w:val="00485C27"/>
    <w:rsid w:val="00486E7C"/>
    <w:rsid w:val="00497A2B"/>
    <w:rsid w:val="004A0269"/>
    <w:rsid w:val="004A2E2E"/>
    <w:rsid w:val="004B6D67"/>
    <w:rsid w:val="004B7EA3"/>
    <w:rsid w:val="004C20BE"/>
    <w:rsid w:val="004D42DB"/>
    <w:rsid w:val="004D4CED"/>
    <w:rsid w:val="004E1073"/>
    <w:rsid w:val="004E554F"/>
    <w:rsid w:val="004E5B02"/>
    <w:rsid w:val="0050016D"/>
    <w:rsid w:val="00525119"/>
    <w:rsid w:val="0052765F"/>
    <w:rsid w:val="00527FEE"/>
    <w:rsid w:val="00533862"/>
    <w:rsid w:val="005428D7"/>
    <w:rsid w:val="00545B27"/>
    <w:rsid w:val="0055138E"/>
    <w:rsid w:val="00552870"/>
    <w:rsid w:val="0055407D"/>
    <w:rsid w:val="0055765D"/>
    <w:rsid w:val="00560D9D"/>
    <w:rsid w:val="0056157A"/>
    <w:rsid w:val="00566411"/>
    <w:rsid w:val="00576D1F"/>
    <w:rsid w:val="005919A2"/>
    <w:rsid w:val="0059633F"/>
    <w:rsid w:val="00597E29"/>
    <w:rsid w:val="005A0D55"/>
    <w:rsid w:val="005A2B5D"/>
    <w:rsid w:val="005A48FB"/>
    <w:rsid w:val="005B2FA9"/>
    <w:rsid w:val="005B7F32"/>
    <w:rsid w:val="005E5E87"/>
    <w:rsid w:val="005F20C1"/>
    <w:rsid w:val="005F6D69"/>
    <w:rsid w:val="0060133A"/>
    <w:rsid w:val="00604AB8"/>
    <w:rsid w:val="00605473"/>
    <w:rsid w:val="006174D9"/>
    <w:rsid w:val="00620E95"/>
    <w:rsid w:val="0062186E"/>
    <w:rsid w:val="00625C62"/>
    <w:rsid w:val="00637303"/>
    <w:rsid w:val="0064268A"/>
    <w:rsid w:val="00645213"/>
    <w:rsid w:val="00652A83"/>
    <w:rsid w:val="00662310"/>
    <w:rsid w:val="00694FB9"/>
    <w:rsid w:val="00696C1A"/>
    <w:rsid w:val="00696D4F"/>
    <w:rsid w:val="006A522C"/>
    <w:rsid w:val="006B7E2F"/>
    <w:rsid w:val="006C7538"/>
    <w:rsid w:val="006E127F"/>
    <w:rsid w:val="006E6152"/>
    <w:rsid w:val="006E763B"/>
    <w:rsid w:val="006F6B8E"/>
    <w:rsid w:val="00704EB8"/>
    <w:rsid w:val="00714999"/>
    <w:rsid w:val="00735429"/>
    <w:rsid w:val="00744DBE"/>
    <w:rsid w:val="00746DC6"/>
    <w:rsid w:val="0075257A"/>
    <w:rsid w:val="00753DC5"/>
    <w:rsid w:val="00765579"/>
    <w:rsid w:val="007672E0"/>
    <w:rsid w:val="007722EF"/>
    <w:rsid w:val="00775AD2"/>
    <w:rsid w:val="007A0040"/>
    <w:rsid w:val="007C28FF"/>
    <w:rsid w:val="007E2311"/>
    <w:rsid w:val="007F1981"/>
    <w:rsid w:val="007F55AE"/>
    <w:rsid w:val="008017DE"/>
    <w:rsid w:val="008161C1"/>
    <w:rsid w:val="00833888"/>
    <w:rsid w:val="00833C92"/>
    <w:rsid w:val="00835C01"/>
    <w:rsid w:val="0083613B"/>
    <w:rsid w:val="00846A78"/>
    <w:rsid w:val="00854FBE"/>
    <w:rsid w:val="00864E29"/>
    <w:rsid w:val="0087309A"/>
    <w:rsid w:val="00874C40"/>
    <w:rsid w:val="00877668"/>
    <w:rsid w:val="008B2AF1"/>
    <w:rsid w:val="008C07EF"/>
    <w:rsid w:val="008C2D24"/>
    <w:rsid w:val="008C7183"/>
    <w:rsid w:val="008C7397"/>
    <w:rsid w:val="008C7B64"/>
    <w:rsid w:val="008D6AA0"/>
    <w:rsid w:val="009259D4"/>
    <w:rsid w:val="0093411F"/>
    <w:rsid w:val="00942806"/>
    <w:rsid w:val="0095060D"/>
    <w:rsid w:val="009570BC"/>
    <w:rsid w:val="00972586"/>
    <w:rsid w:val="00984A77"/>
    <w:rsid w:val="00990E97"/>
    <w:rsid w:val="009A0406"/>
    <w:rsid w:val="009A2397"/>
    <w:rsid w:val="009A51B1"/>
    <w:rsid w:val="009B27B7"/>
    <w:rsid w:val="009B3EDF"/>
    <w:rsid w:val="009C4EE4"/>
    <w:rsid w:val="009D299D"/>
    <w:rsid w:val="009D4296"/>
    <w:rsid w:val="009D59B7"/>
    <w:rsid w:val="009E0C8F"/>
    <w:rsid w:val="009E0F81"/>
    <w:rsid w:val="009E2349"/>
    <w:rsid w:val="009F52D3"/>
    <w:rsid w:val="009F6915"/>
    <w:rsid w:val="00A05D48"/>
    <w:rsid w:val="00A242B0"/>
    <w:rsid w:val="00A27994"/>
    <w:rsid w:val="00A30841"/>
    <w:rsid w:val="00A3413C"/>
    <w:rsid w:val="00A35E73"/>
    <w:rsid w:val="00A43287"/>
    <w:rsid w:val="00A445FC"/>
    <w:rsid w:val="00A5145D"/>
    <w:rsid w:val="00A60AB2"/>
    <w:rsid w:val="00A64433"/>
    <w:rsid w:val="00A67E61"/>
    <w:rsid w:val="00A70918"/>
    <w:rsid w:val="00A84791"/>
    <w:rsid w:val="00A85B17"/>
    <w:rsid w:val="00A92F09"/>
    <w:rsid w:val="00A96221"/>
    <w:rsid w:val="00A97C26"/>
    <w:rsid w:val="00A97F0B"/>
    <w:rsid w:val="00AB0CAB"/>
    <w:rsid w:val="00AD3C99"/>
    <w:rsid w:val="00AD555D"/>
    <w:rsid w:val="00AD563C"/>
    <w:rsid w:val="00AE2566"/>
    <w:rsid w:val="00AE264B"/>
    <w:rsid w:val="00AE4415"/>
    <w:rsid w:val="00AE4655"/>
    <w:rsid w:val="00AF42A5"/>
    <w:rsid w:val="00B03D44"/>
    <w:rsid w:val="00B04319"/>
    <w:rsid w:val="00B15916"/>
    <w:rsid w:val="00B2763C"/>
    <w:rsid w:val="00B31B48"/>
    <w:rsid w:val="00B32308"/>
    <w:rsid w:val="00B37CAC"/>
    <w:rsid w:val="00B4174F"/>
    <w:rsid w:val="00B4729C"/>
    <w:rsid w:val="00B56467"/>
    <w:rsid w:val="00B612CC"/>
    <w:rsid w:val="00B6240D"/>
    <w:rsid w:val="00B72921"/>
    <w:rsid w:val="00B75AF7"/>
    <w:rsid w:val="00B81000"/>
    <w:rsid w:val="00B8305A"/>
    <w:rsid w:val="00B83281"/>
    <w:rsid w:val="00B8379E"/>
    <w:rsid w:val="00B870B1"/>
    <w:rsid w:val="00B8731B"/>
    <w:rsid w:val="00BA1CED"/>
    <w:rsid w:val="00BB55AF"/>
    <w:rsid w:val="00BE1BE4"/>
    <w:rsid w:val="00BE1C98"/>
    <w:rsid w:val="00BE4E6B"/>
    <w:rsid w:val="00BE6493"/>
    <w:rsid w:val="00BE6769"/>
    <w:rsid w:val="00BE7030"/>
    <w:rsid w:val="00BF4810"/>
    <w:rsid w:val="00BF76A2"/>
    <w:rsid w:val="00C06670"/>
    <w:rsid w:val="00C15C16"/>
    <w:rsid w:val="00C27155"/>
    <w:rsid w:val="00C31F66"/>
    <w:rsid w:val="00C4181E"/>
    <w:rsid w:val="00C4567A"/>
    <w:rsid w:val="00C52B05"/>
    <w:rsid w:val="00C566B4"/>
    <w:rsid w:val="00C83422"/>
    <w:rsid w:val="00C90858"/>
    <w:rsid w:val="00C90BC5"/>
    <w:rsid w:val="00C9366C"/>
    <w:rsid w:val="00C95C12"/>
    <w:rsid w:val="00CB05C9"/>
    <w:rsid w:val="00CB52B1"/>
    <w:rsid w:val="00CB566C"/>
    <w:rsid w:val="00CB7DD8"/>
    <w:rsid w:val="00CC54E3"/>
    <w:rsid w:val="00CD1976"/>
    <w:rsid w:val="00CD6561"/>
    <w:rsid w:val="00CD6DDF"/>
    <w:rsid w:val="00CE3224"/>
    <w:rsid w:val="00CF5BEF"/>
    <w:rsid w:val="00D015D6"/>
    <w:rsid w:val="00D0229B"/>
    <w:rsid w:val="00D03E99"/>
    <w:rsid w:val="00D05CF7"/>
    <w:rsid w:val="00D262AF"/>
    <w:rsid w:val="00D27DF7"/>
    <w:rsid w:val="00D32774"/>
    <w:rsid w:val="00D356C3"/>
    <w:rsid w:val="00D450F1"/>
    <w:rsid w:val="00D4514A"/>
    <w:rsid w:val="00D458E2"/>
    <w:rsid w:val="00D549DE"/>
    <w:rsid w:val="00D64C4C"/>
    <w:rsid w:val="00D75426"/>
    <w:rsid w:val="00D7799F"/>
    <w:rsid w:val="00D82A48"/>
    <w:rsid w:val="00D84775"/>
    <w:rsid w:val="00D911A2"/>
    <w:rsid w:val="00D95BD4"/>
    <w:rsid w:val="00DA0E7D"/>
    <w:rsid w:val="00DA58E8"/>
    <w:rsid w:val="00DA6922"/>
    <w:rsid w:val="00DB1815"/>
    <w:rsid w:val="00DC1073"/>
    <w:rsid w:val="00DC260B"/>
    <w:rsid w:val="00DD5429"/>
    <w:rsid w:val="00DD594F"/>
    <w:rsid w:val="00DF1667"/>
    <w:rsid w:val="00DF3F9B"/>
    <w:rsid w:val="00E03CD0"/>
    <w:rsid w:val="00E10E0D"/>
    <w:rsid w:val="00E41F28"/>
    <w:rsid w:val="00E50F2C"/>
    <w:rsid w:val="00E54660"/>
    <w:rsid w:val="00E64272"/>
    <w:rsid w:val="00E6619E"/>
    <w:rsid w:val="00E707D7"/>
    <w:rsid w:val="00E75605"/>
    <w:rsid w:val="00E82100"/>
    <w:rsid w:val="00EC0577"/>
    <w:rsid w:val="00ED1ECF"/>
    <w:rsid w:val="00ED75EB"/>
    <w:rsid w:val="00ED7B43"/>
    <w:rsid w:val="00EE42CD"/>
    <w:rsid w:val="00EF28FD"/>
    <w:rsid w:val="00F03E36"/>
    <w:rsid w:val="00F062EC"/>
    <w:rsid w:val="00F201D3"/>
    <w:rsid w:val="00F21081"/>
    <w:rsid w:val="00F224BD"/>
    <w:rsid w:val="00F34660"/>
    <w:rsid w:val="00F36074"/>
    <w:rsid w:val="00F413B6"/>
    <w:rsid w:val="00F44FA9"/>
    <w:rsid w:val="00F50CF4"/>
    <w:rsid w:val="00F54FE4"/>
    <w:rsid w:val="00F7580B"/>
    <w:rsid w:val="00F909EC"/>
    <w:rsid w:val="00F91C6F"/>
    <w:rsid w:val="00F940DF"/>
    <w:rsid w:val="00F96BF5"/>
    <w:rsid w:val="00FA071A"/>
    <w:rsid w:val="00FA2992"/>
    <w:rsid w:val="00FB0C6F"/>
    <w:rsid w:val="00FC07BD"/>
    <w:rsid w:val="00FF11AB"/>
    <w:rsid w:val="03D62CC9"/>
    <w:rsid w:val="03FC7ECD"/>
    <w:rsid w:val="04816039"/>
    <w:rsid w:val="04C304A3"/>
    <w:rsid w:val="06C86034"/>
    <w:rsid w:val="0A3126C2"/>
    <w:rsid w:val="0B3803A7"/>
    <w:rsid w:val="0C0A70B8"/>
    <w:rsid w:val="0E983CA6"/>
    <w:rsid w:val="0F462E2A"/>
    <w:rsid w:val="0FA95D99"/>
    <w:rsid w:val="11D46141"/>
    <w:rsid w:val="12AF6913"/>
    <w:rsid w:val="13E6002F"/>
    <w:rsid w:val="1484436C"/>
    <w:rsid w:val="14C96164"/>
    <w:rsid w:val="157547BD"/>
    <w:rsid w:val="16D73787"/>
    <w:rsid w:val="18C4094A"/>
    <w:rsid w:val="19DA7803"/>
    <w:rsid w:val="1A6F675C"/>
    <w:rsid w:val="1BDE69DE"/>
    <w:rsid w:val="1C8F7C66"/>
    <w:rsid w:val="1D577918"/>
    <w:rsid w:val="1EF45551"/>
    <w:rsid w:val="23E4086D"/>
    <w:rsid w:val="2773000D"/>
    <w:rsid w:val="281F7F82"/>
    <w:rsid w:val="2C7F7434"/>
    <w:rsid w:val="2CD771FB"/>
    <w:rsid w:val="2CDC6F61"/>
    <w:rsid w:val="2F376B66"/>
    <w:rsid w:val="301C403E"/>
    <w:rsid w:val="306D35C7"/>
    <w:rsid w:val="30904127"/>
    <w:rsid w:val="31396EC5"/>
    <w:rsid w:val="318E10F2"/>
    <w:rsid w:val="33793A20"/>
    <w:rsid w:val="344823C2"/>
    <w:rsid w:val="36834CB5"/>
    <w:rsid w:val="38031D8C"/>
    <w:rsid w:val="3B285A91"/>
    <w:rsid w:val="3CB903DA"/>
    <w:rsid w:val="3D973F2D"/>
    <w:rsid w:val="3DB45EBE"/>
    <w:rsid w:val="3EF874DE"/>
    <w:rsid w:val="40042984"/>
    <w:rsid w:val="405145DA"/>
    <w:rsid w:val="416C0FE8"/>
    <w:rsid w:val="42AF021A"/>
    <w:rsid w:val="434611BE"/>
    <w:rsid w:val="451C4600"/>
    <w:rsid w:val="452744BB"/>
    <w:rsid w:val="46A16D03"/>
    <w:rsid w:val="490C4A26"/>
    <w:rsid w:val="4A221D33"/>
    <w:rsid w:val="4AC43358"/>
    <w:rsid w:val="4AD135E9"/>
    <w:rsid w:val="4B851D2F"/>
    <w:rsid w:val="4D606340"/>
    <w:rsid w:val="4DAD51D1"/>
    <w:rsid w:val="4DDE4D9B"/>
    <w:rsid w:val="515905C8"/>
    <w:rsid w:val="5166227E"/>
    <w:rsid w:val="560A0BE6"/>
    <w:rsid w:val="57820767"/>
    <w:rsid w:val="593C213E"/>
    <w:rsid w:val="5A51712D"/>
    <w:rsid w:val="5A8E35EE"/>
    <w:rsid w:val="5AD95CCE"/>
    <w:rsid w:val="5AE46BC1"/>
    <w:rsid w:val="5BEF4F51"/>
    <w:rsid w:val="5C8F57B6"/>
    <w:rsid w:val="5D9527FB"/>
    <w:rsid w:val="5DDE380E"/>
    <w:rsid w:val="602243F9"/>
    <w:rsid w:val="60B60E89"/>
    <w:rsid w:val="61AE1597"/>
    <w:rsid w:val="6220543D"/>
    <w:rsid w:val="62AF7A56"/>
    <w:rsid w:val="62B828D1"/>
    <w:rsid w:val="6347186B"/>
    <w:rsid w:val="63BE36D8"/>
    <w:rsid w:val="640C3967"/>
    <w:rsid w:val="65B403B5"/>
    <w:rsid w:val="686A7E2C"/>
    <w:rsid w:val="6BA45DCF"/>
    <w:rsid w:val="6DAB1AB4"/>
    <w:rsid w:val="6E4B49C2"/>
    <w:rsid w:val="73226704"/>
    <w:rsid w:val="7338493A"/>
    <w:rsid w:val="746D2707"/>
    <w:rsid w:val="74730EE0"/>
    <w:rsid w:val="764B02F0"/>
    <w:rsid w:val="77007CA0"/>
    <w:rsid w:val="7AF056BD"/>
    <w:rsid w:val="7BC07084"/>
    <w:rsid w:val="7BE65313"/>
    <w:rsid w:val="7C16111C"/>
    <w:rsid w:val="7FD00C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
    <w:qFormat/>
    <w:uiPriority w:val="0"/>
    <w:pPr>
      <w:keepNext/>
      <w:widowControl/>
      <w:overflowPunct w:val="0"/>
      <w:autoSpaceDE w:val="0"/>
      <w:autoSpaceDN w:val="0"/>
      <w:adjustRightInd w:val="0"/>
      <w:ind w:firstLine="200" w:firstLineChars="200"/>
      <w:jc w:val="center"/>
      <w:textAlignment w:val="baseline"/>
      <w:outlineLvl w:val="0"/>
    </w:pPr>
    <w:rPr>
      <w:rFonts w:ascii="Arial" w:hAnsi="Arial"/>
      <w:b/>
      <w:kern w:val="28"/>
      <w:position w:val="6"/>
      <w:sz w:val="28"/>
    </w:rPr>
  </w:style>
  <w:style w:type="paragraph" w:styleId="4">
    <w:name w:val="heading 2"/>
    <w:basedOn w:val="1"/>
    <w:next w:val="2"/>
    <w:link w:val="54"/>
    <w:qFormat/>
    <w:uiPriority w:val="0"/>
    <w:pPr>
      <w:keepNext/>
      <w:keepLines/>
      <w:widowControl/>
      <w:overflowPunct w:val="0"/>
      <w:autoSpaceDE w:val="0"/>
      <w:autoSpaceDN w:val="0"/>
      <w:adjustRightInd w:val="0"/>
      <w:spacing w:beforeLines="50" w:line="540" w:lineRule="exact"/>
      <w:ind w:firstLine="200" w:firstLineChars="200"/>
      <w:jc w:val="left"/>
      <w:textAlignment w:val="baseline"/>
      <w:outlineLvl w:val="1"/>
    </w:pPr>
    <w:rPr>
      <w:rFonts w:ascii="Arial" w:hAnsi="Arial"/>
      <w:b/>
      <w:kern w:val="18"/>
      <w:position w:val="6"/>
      <w:sz w:val="24"/>
      <w:szCs w:val="20"/>
    </w:rPr>
  </w:style>
  <w:style w:type="paragraph" w:styleId="5">
    <w:name w:val="heading 3"/>
    <w:basedOn w:val="1"/>
    <w:next w:val="1"/>
    <w:link w:val="55"/>
    <w:qFormat/>
    <w:uiPriority w:val="0"/>
    <w:pPr>
      <w:keepNext/>
      <w:keepLines/>
      <w:widowControl/>
      <w:overflowPunct w:val="0"/>
      <w:autoSpaceDE w:val="0"/>
      <w:autoSpaceDN w:val="0"/>
      <w:adjustRightInd w:val="0"/>
      <w:spacing w:before="260" w:after="260" w:line="416" w:lineRule="auto"/>
      <w:jc w:val="left"/>
      <w:textAlignment w:val="baseline"/>
      <w:outlineLvl w:val="2"/>
    </w:pPr>
    <w:rPr>
      <w:rFonts w:ascii="宋体" w:hAnsi="宋体"/>
      <w:kern w:val="18"/>
      <w:position w:val="6"/>
      <w:sz w:val="24"/>
    </w:rPr>
  </w:style>
  <w:style w:type="paragraph" w:styleId="6">
    <w:name w:val="heading 4"/>
    <w:basedOn w:val="1"/>
    <w:next w:val="1"/>
    <w:link w:val="56"/>
    <w:qFormat/>
    <w:uiPriority w:val="0"/>
    <w:pPr>
      <w:keepNext/>
      <w:spacing w:beforeLines="50" w:line="500" w:lineRule="exact"/>
      <w:ind w:firstLine="560" w:firstLineChars="200"/>
      <w:outlineLvl w:val="3"/>
    </w:pPr>
    <w:rPr>
      <w:rFonts w:ascii="Arial" w:hAnsi="Arial" w:cs="Arial"/>
      <w:sz w:val="28"/>
    </w:rPr>
  </w:style>
  <w:style w:type="paragraph" w:styleId="7">
    <w:name w:val="heading 5"/>
    <w:basedOn w:val="1"/>
    <w:next w:val="1"/>
    <w:link w:val="57"/>
    <w:qFormat/>
    <w:uiPriority w:val="0"/>
    <w:pPr>
      <w:keepNext/>
      <w:spacing w:line="440" w:lineRule="exact"/>
      <w:ind w:firstLine="2646" w:firstLineChars="945"/>
      <w:outlineLvl w:val="4"/>
    </w:pPr>
    <w:rPr>
      <w:sz w:val="28"/>
    </w:rPr>
  </w:style>
  <w:style w:type="paragraph" w:styleId="8">
    <w:name w:val="heading 6"/>
    <w:basedOn w:val="1"/>
    <w:next w:val="1"/>
    <w:link w:val="58"/>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59"/>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link w:val="60"/>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6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12">
    <w:name w:val="toc 7"/>
    <w:basedOn w:val="1"/>
    <w:next w:val="1"/>
    <w:qFormat/>
    <w:uiPriority w:val="39"/>
    <w:pPr>
      <w:ind w:left="1260"/>
      <w:jc w:val="left"/>
    </w:pPr>
    <w:rPr>
      <w:sz w:val="18"/>
      <w:szCs w:val="18"/>
    </w:rPr>
  </w:style>
  <w:style w:type="paragraph" w:styleId="13">
    <w:name w:val="table of authorities"/>
    <w:basedOn w:val="1"/>
    <w:next w:val="1"/>
    <w:semiHidden/>
    <w:qFormat/>
    <w:uiPriority w:val="0"/>
    <w:pPr>
      <w:ind w:left="420" w:leftChars="200"/>
    </w:pPr>
  </w:style>
  <w:style w:type="paragraph" w:styleId="14">
    <w:name w:val="Document Map"/>
    <w:basedOn w:val="1"/>
    <w:link w:val="65"/>
    <w:semiHidden/>
    <w:qFormat/>
    <w:uiPriority w:val="0"/>
    <w:pPr>
      <w:shd w:val="clear" w:color="auto" w:fill="000080"/>
    </w:pPr>
  </w:style>
  <w:style w:type="paragraph" w:styleId="15">
    <w:name w:val="annotation text"/>
    <w:basedOn w:val="1"/>
    <w:link w:val="62"/>
    <w:unhideWhenUsed/>
    <w:qFormat/>
    <w:uiPriority w:val="99"/>
    <w:pPr>
      <w:jc w:val="left"/>
    </w:pPr>
    <w:rPr>
      <w:rFonts w:asciiTheme="minorHAnsi" w:hAnsiTheme="minorHAnsi" w:eastAsiaTheme="minorEastAsia" w:cstheme="minorBidi"/>
    </w:rPr>
  </w:style>
  <w:style w:type="paragraph" w:styleId="16">
    <w:name w:val="Body Text 3"/>
    <w:basedOn w:val="1"/>
    <w:link w:val="67"/>
    <w:qFormat/>
    <w:uiPriority w:val="0"/>
    <w:pPr>
      <w:widowControl/>
      <w:spacing w:line="540" w:lineRule="atLeast"/>
    </w:pPr>
    <w:rPr>
      <w:color w:val="FF0000"/>
      <w:sz w:val="28"/>
    </w:rPr>
  </w:style>
  <w:style w:type="paragraph" w:styleId="17">
    <w:name w:val="Body Text"/>
    <w:basedOn w:val="1"/>
    <w:link w:val="69"/>
    <w:qFormat/>
    <w:uiPriority w:val="0"/>
    <w:pPr>
      <w:jc w:val="center"/>
    </w:pPr>
    <w:rPr>
      <w:rFonts w:ascii="宋体" w:hAnsi="宋体"/>
      <w:b/>
      <w:sz w:val="28"/>
    </w:rPr>
  </w:style>
  <w:style w:type="paragraph" w:styleId="18">
    <w:name w:val="Body Text Indent"/>
    <w:basedOn w:val="1"/>
    <w:link w:val="70"/>
    <w:qFormat/>
    <w:uiPriority w:val="0"/>
    <w:pPr>
      <w:tabs>
        <w:tab w:val="left" w:pos="-315"/>
      </w:tabs>
      <w:spacing w:line="620" w:lineRule="exact"/>
      <w:ind w:left="567"/>
    </w:pPr>
    <w:rPr>
      <w:rFonts w:ascii="宋体" w:hAnsi="宋体"/>
      <w:sz w:val="28"/>
    </w:rPr>
  </w:style>
  <w:style w:type="paragraph" w:styleId="19">
    <w:name w:val="Block Text"/>
    <w:basedOn w:val="1"/>
    <w:qFormat/>
    <w:uiPriority w:val="0"/>
    <w:pPr>
      <w:spacing w:line="360" w:lineRule="auto"/>
      <w:ind w:left="851" w:right="420"/>
    </w:pPr>
    <w:rPr>
      <w:rFonts w:ascii="宋体" w:hAnsi="宋体"/>
      <w:sz w:val="28"/>
      <w:szCs w:val="20"/>
    </w:rPr>
  </w:style>
  <w:style w:type="paragraph" w:styleId="20">
    <w:name w:val="toc 5"/>
    <w:basedOn w:val="1"/>
    <w:next w:val="1"/>
    <w:qFormat/>
    <w:uiPriority w:val="39"/>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78"/>
    <w:qFormat/>
    <w:uiPriority w:val="0"/>
    <w:rPr>
      <w:rFonts w:ascii="宋体" w:hAnsi="Courier New"/>
      <w:sz w:val="24"/>
      <w:szCs w:val="20"/>
    </w:rPr>
  </w:style>
  <w:style w:type="paragraph" w:styleId="23">
    <w:name w:val="toc 8"/>
    <w:basedOn w:val="1"/>
    <w:next w:val="1"/>
    <w:qFormat/>
    <w:uiPriority w:val="39"/>
    <w:pPr>
      <w:ind w:left="1470"/>
      <w:jc w:val="left"/>
    </w:pPr>
    <w:rPr>
      <w:sz w:val="18"/>
      <w:szCs w:val="18"/>
    </w:rPr>
  </w:style>
  <w:style w:type="paragraph" w:styleId="24">
    <w:name w:val="Date"/>
    <w:basedOn w:val="1"/>
    <w:next w:val="1"/>
    <w:link w:val="72"/>
    <w:qFormat/>
    <w:uiPriority w:val="0"/>
    <w:pPr>
      <w:ind w:left="100" w:leftChars="2500"/>
    </w:pPr>
    <w:rPr>
      <w:rFonts w:hAnsi="宋体"/>
      <w:spacing w:val="40"/>
      <w:sz w:val="24"/>
    </w:rPr>
  </w:style>
  <w:style w:type="paragraph" w:styleId="25">
    <w:name w:val="Body Text Indent 2"/>
    <w:basedOn w:val="1"/>
    <w:link w:val="71"/>
    <w:qFormat/>
    <w:uiPriority w:val="0"/>
    <w:pPr>
      <w:spacing w:beforeLines="150" w:afterLines="100" w:line="360" w:lineRule="auto"/>
      <w:ind w:left="1680"/>
    </w:pPr>
    <w:rPr>
      <w:sz w:val="24"/>
    </w:rPr>
  </w:style>
  <w:style w:type="paragraph" w:styleId="26">
    <w:name w:val="Balloon Text"/>
    <w:basedOn w:val="1"/>
    <w:link w:val="66"/>
    <w:semiHidden/>
    <w:qFormat/>
    <w:uiPriority w:val="0"/>
    <w:rPr>
      <w:sz w:val="18"/>
      <w:szCs w:val="18"/>
    </w:rPr>
  </w:style>
  <w:style w:type="paragraph" w:styleId="27">
    <w:name w:val="footer"/>
    <w:basedOn w:val="1"/>
    <w:link w:val="52"/>
    <w:unhideWhenUsed/>
    <w:qFormat/>
    <w:uiPriority w:val="99"/>
    <w:pPr>
      <w:tabs>
        <w:tab w:val="center" w:pos="4153"/>
        <w:tab w:val="right" w:pos="8306"/>
      </w:tabs>
      <w:snapToGrid w:val="0"/>
      <w:jc w:val="left"/>
    </w:pPr>
    <w:rPr>
      <w:sz w:val="18"/>
      <w:szCs w:val="18"/>
    </w:rPr>
  </w:style>
  <w:style w:type="paragraph" w:styleId="28">
    <w:name w:val="header"/>
    <w:basedOn w:val="1"/>
    <w:link w:val="51"/>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left" w:pos="210"/>
        <w:tab w:val="right" w:leader="dot" w:pos="8722"/>
      </w:tabs>
      <w:spacing w:before="120" w:after="120" w:line="540" w:lineRule="exact"/>
      <w:jc w:val="left"/>
    </w:pPr>
    <w:rPr>
      <w:rFonts w:ascii="宋体" w:hAnsi="宋体"/>
      <w:sz w:val="24"/>
    </w:rPr>
  </w:style>
  <w:style w:type="paragraph" w:styleId="30">
    <w:name w:val="toc 4"/>
    <w:basedOn w:val="1"/>
    <w:next w:val="1"/>
    <w:qFormat/>
    <w:uiPriority w:val="39"/>
    <w:pPr>
      <w:ind w:left="630"/>
      <w:jc w:val="left"/>
    </w:pPr>
    <w:rPr>
      <w:sz w:val="18"/>
      <w:szCs w:val="18"/>
    </w:rPr>
  </w:style>
  <w:style w:type="paragraph" w:styleId="31">
    <w:name w:val="footnote text"/>
    <w:basedOn w:val="1"/>
    <w:link w:val="73"/>
    <w:semiHidden/>
    <w:qFormat/>
    <w:uiPriority w:val="0"/>
    <w:pPr>
      <w:snapToGrid w:val="0"/>
      <w:jc w:val="left"/>
    </w:pPr>
    <w:rPr>
      <w:sz w:val="18"/>
    </w:rPr>
  </w:style>
  <w:style w:type="paragraph" w:styleId="32">
    <w:name w:val="toc 6"/>
    <w:basedOn w:val="1"/>
    <w:next w:val="1"/>
    <w:qFormat/>
    <w:uiPriority w:val="39"/>
    <w:pPr>
      <w:ind w:left="1050"/>
      <w:jc w:val="left"/>
    </w:pPr>
    <w:rPr>
      <w:sz w:val="18"/>
      <w:szCs w:val="18"/>
    </w:rPr>
  </w:style>
  <w:style w:type="paragraph" w:styleId="33">
    <w:name w:val="Body Text Indent 3"/>
    <w:basedOn w:val="1"/>
    <w:link w:val="68"/>
    <w:qFormat/>
    <w:uiPriority w:val="0"/>
    <w:pPr>
      <w:widowControl/>
      <w:spacing w:line="540" w:lineRule="atLeast"/>
      <w:ind w:left="943" w:leftChars="449" w:firstLine="1"/>
    </w:pPr>
    <w:rPr>
      <w:color w:val="FF0000"/>
      <w:sz w:val="28"/>
    </w:rPr>
  </w:style>
  <w:style w:type="paragraph" w:styleId="34">
    <w:name w:val="toc 2"/>
    <w:basedOn w:val="1"/>
    <w:next w:val="1"/>
    <w:qFormat/>
    <w:uiPriority w:val="39"/>
    <w:pPr>
      <w:ind w:left="210"/>
      <w:jc w:val="left"/>
    </w:pPr>
    <w:rPr>
      <w:smallCaps/>
      <w:sz w:val="20"/>
      <w:szCs w:val="20"/>
    </w:rPr>
  </w:style>
  <w:style w:type="paragraph" w:styleId="35">
    <w:name w:val="toc 9"/>
    <w:basedOn w:val="1"/>
    <w:next w:val="1"/>
    <w:qFormat/>
    <w:uiPriority w:val="39"/>
    <w:pPr>
      <w:ind w:left="1680"/>
      <w:jc w:val="left"/>
    </w:pPr>
    <w:rPr>
      <w:sz w:val="18"/>
      <w:szCs w:val="18"/>
    </w:rPr>
  </w:style>
  <w:style w:type="paragraph" w:styleId="36">
    <w:name w:val="Body Text 2"/>
    <w:basedOn w:val="1"/>
    <w:link w:val="74"/>
    <w:qFormat/>
    <w:uiPriority w:val="0"/>
    <w:pPr>
      <w:spacing w:beforeLines="50" w:line="500" w:lineRule="exact"/>
    </w:pPr>
    <w:rPr>
      <w:rFonts w:ascii="宋体" w:hAnsi="宋体"/>
      <w:spacing w:val="40"/>
      <w:sz w:val="24"/>
      <w:szCs w:val="28"/>
    </w:rPr>
  </w:style>
  <w:style w:type="paragraph" w:styleId="37">
    <w:name w:val="Normal (Web)"/>
    <w:basedOn w:val="1"/>
    <w:semiHidden/>
    <w:qFormat/>
    <w:uiPriority w:val="0"/>
    <w:pPr>
      <w:widowControl/>
      <w:spacing w:before="60" w:after="60" w:line="336" w:lineRule="auto"/>
      <w:ind w:left="15" w:right="15"/>
      <w:jc w:val="left"/>
    </w:pPr>
    <w:rPr>
      <w:rFonts w:ascii="Arial Unicode MS" w:hAnsi="Arial Unicode MS" w:eastAsia="Arial Unicode MS" w:cs="Arial Unicode MS"/>
      <w:kern w:val="0"/>
      <w:sz w:val="24"/>
    </w:rPr>
  </w:style>
  <w:style w:type="paragraph" w:styleId="38">
    <w:name w:val="index 1"/>
    <w:basedOn w:val="1"/>
    <w:next w:val="1"/>
    <w:semiHidden/>
    <w:qFormat/>
    <w:uiPriority w:val="0"/>
    <w:pPr>
      <w:spacing w:line="220" w:lineRule="exact"/>
      <w:jc w:val="center"/>
    </w:pPr>
    <w:rPr>
      <w:rFonts w:ascii="仿宋_GB2312" w:eastAsia="仿宋_GB2312"/>
      <w:szCs w:val="21"/>
    </w:rPr>
  </w:style>
  <w:style w:type="paragraph" w:styleId="39">
    <w:name w:val="Title"/>
    <w:basedOn w:val="1"/>
    <w:next w:val="1"/>
    <w:link w:val="76"/>
    <w:qFormat/>
    <w:uiPriority w:val="0"/>
    <w:pPr>
      <w:spacing w:before="240" w:after="60"/>
      <w:jc w:val="center"/>
      <w:outlineLvl w:val="0"/>
    </w:pPr>
    <w:rPr>
      <w:rFonts w:ascii="Cambria" w:hAnsi="Cambria" w:eastAsiaTheme="minorEastAsia" w:cstheme="minorBidi"/>
      <w:b/>
      <w:bCs/>
      <w:sz w:val="32"/>
      <w:szCs w:val="32"/>
    </w:rPr>
  </w:style>
  <w:style w:type="paragraph" w:styleId="40">
    <w:name w:val="annotation subject"/>
    <w:basedOn w:val="15"/>
    <w:next w:val="15"/>
    <w:link w:val="64"/>
    <w:qFormat/>
    <w:uiPriority w:val="0"/>
    <w:rPr>
      <w:b/>
      <w:bCs/>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Emphasis"/>
    <w:qFormat/>
    <w:uiPriority w:val="20"/>
    <w:rPr>
      <w:color w:val="CC0000"/>
    </w:rPr>
  </w:style>
  <w:style w:type="character" w:styleId="48">
    <w:name w:val="Hyperlink"/>
    <w:qFormat/>
    <w:uiPriority w:val="99"/>
    <w:rPr>
      <w:color w:val="0000FF"/>
      <w:u w:val="single"/>
    </w:rPr>
  </w:style>
  <w:style w:type="character" w:styleId="49">
    <w:name w:val="annotation reference"/>
    <w:unhideWhenUsed/>
    <w:qFormat/>
    <w:uiPriority w:val="99"/>
    <w:rPr>
      <w:sz w:val="21"/>
      <w:szCs w:val="21"/>
    </w:rPr>
  </w:style>
  <w:style w:type="character" w:styleId="50">
    <w:name w:val="footnote reference"/>
    <w:semiHidden/>
    <w:qFormat/>
    <w:uiPriority w:val="0"/>
    <w:rPr>
      <w:vertAlign w:val="superscript"/>
    </w:rPr>
  </w:style>
  <w:style w:type="character" w:customStyle="1" w:styleId="51">
    <w:name w:val="页眉 Char"/>
    <w:basedOn w:val="43"/>
    <w:link w:val="28"/>
    <w:qFormat/>
    <w:uiPriority w:val="99"/>
    <w:rPr>
      <w:sz w:val="18"/>
      <w:szCs w:val="18"/>
    </w:rPr>
  </w:style>
  <w:style w:type="character" w:customStyle="1" w:styleId="52">
    <w:name w:val="页脚 Char"/>
    <w:basedOn w:val="43"/>
    <w:link w:val="27"/>
    <w:qFormat/>
    <w:uiPriority w:val="99"/>
    <w:rPr>
      <w:sz w:val="18"/>
      <w:szCs w:val="18"/>
    </w:rPr>
  </w:style>
  <w:style w:type="character" w:customStyle="1" w:styleId="53">
    <w:name w:val="标题 1 Char"/>
    <w:basedOn w:val="43"/>
    <w:link w:val="3"/>
    <w:qFormat/>
    <w:uiPriority w:val="0"/>
    <w:rPr>
      <w:rFonts w:ascii="Arial" w:hAnsi="Arial" w:eastAsia="宋体" w:cs="Times New Roman"/>
      <w:b/>
      <w:kern w:val="28"/>
      <w:position w:val="6"/>
      <w:sz w:val="28"/>
      <w:szCs w:val="24"/>
    </w:rPr>
  </w:style>
  <w:style w:type="character" w:customStyle="1" w:styleId="54">
    <w:name w:val="标题 2 Char"/>
    <w:basedOn w:val="43"/>
    <w:link w:val="4"/>
    <w:qFormat/>
    <w:uiPriority w:val="0"/>
    <w:rPr>
      <w:rFonts w:ascii="Arial" w:hAnsi="Arial" w:eastAsia="宋体" w:cs="Times New Roman"/>
      <w:b/>
      <w:kern w:val="18"/>
      <w:position w:val="6"/>
      <w:sz w:val="24"/>
      <w:szCs w:val="20"/>
    </w:rPr>
  </w:style>
  <w:style w:type="character" w:customStyle="1" w:styleId="55">
    <w:name w:val="标题 3 Char"/>
    <w:basedOn w:val="43"/>
    <w:link w:val="5"/>
    <w:qFormat/>
    <w:uiPriority w:val="0"/>
    <w:rPr>
      <w:rFonts w:ascii="宋体" w:hAnsi="宋体" w:eastAsia="宋体" w:cs="Times New Roman"/>
      <w:kern w:val="18"/>
      <w:position w:val="6"/>
      <w:sz w:val="24"/>
      <w:szCs w:val="24"/>
    </w:rPr>
  </w:style>
  <w:style w:type="character" w:customStyle="1" w:styleId="56">
    <w:name w:val="标题 4 Char"/>
    <w:basedOn w:val="43"/>
    <w:link w:val="6"/>
    <w:qFormat/>
    <w:uiPriority w:val="0"/>
    <w:rPr>
      <w:rFonts w:ascii="Arial" w:hAnsi="Arial" w:eastAsia="宋体" w:cs="Arial"/>
      <w:sz w:val="28"/>
      <w:szCs w:val="24"/>
    </w:rPr>
  </w:style>
  <w:style w:type="character" w:customStyle="1" w:styleId="57">
    <w:name w:val="标题 5 Char"/>
    <w:basedOn w:val="43"/>
    <w:link w:val="7"/>
    <w:qFormat/>
    <w:uiPriority w:val="0"/>
    <w:rPr>
      <w:rFonts w:ascii="Times New Roman" w:hAnsi="Times New Roman" w:eastAsia="宋体" w:cs="Times New Roman"/>
      <w:sz w:val="28"/>
      <w:szCs w:val="24"/>
    </w:rPr>
  </w:style>
  <w:style w:type="character" w:customStyle="1" w:styleId="58">
    <w:name w:val="标题 6 Char"/>
    <w:basedOn w:val="43"/>
    <w:link w:val="8"/>
    <w:qFormat/>
    <w:uiPriority w:val="0"/>
    <w:rPr>
      <w:rFonts w:ascii="Arial" w:hAnsi="Arial" w:eastAsia="黑体" w:cs="Times New Roman"/>
      <w:b/>
      <w:bCs/>
      <w:kern w:val="0"/>
      <w:sz w:val="24"/>
      <w:szCs w:val="24"/>
    </w:rPr>
  </w:style>
  <w:style w:type="character" w:customStyle="1" w:styleId="59">
    <w:name w:val="标题 7 Char"/>
    <w:basedOn w:val="43"/>
    <w:link w:val="9"/>
    <w:qFormat/>
    <w:uiPriority w:val="0"/>
    <w:rPr>
      <w:rFonts w:ascii="Times New Roman" w:hAnsi="Times New Roman" w:eastAsia="宋体" w:cs="Times New Roman"/>
      <w:b/>
      <w:bCs/>
      <w:kern w:val="0"/>
      <w:sz w:val="24"/>
      <w:szCs w:val="24"/>
    </w:rPr>
  </w:style>
  <w:style w:type="character" w:customStyle="1" w:styleId="60">
    <w:name w:val="标题 8 Char"/>
    <w:basedOn w:val="43"/>
    <w:link w:val="10"/>
    <w:qFormat/>
    <w:uiPriority w:val="0"/>
    <w:rPr>
      <w:rFonts w:ascii="Arial" w:hAnsi="Arial" w:eastAsia="黑体" w:cs="Times New Roman"/>
      <w:kern w:val="0"/>
      <w:sz w:val="24"/>
      <w:szCs w:val="24"/>
    </w:rPr>
  </w:style>
  <w:style w:type="character" w:customStyle="1" w:styleId="61">
    <w:name w:val="标题 9 Char"/>
    <w:basedOn w:val="43"/>
    <w:link w:val="11"/>
    <w:qFormat/>
    <w:uiPriority w:val="0"/>
    <w:rPr>
      <w:rFonts w:ascii="Arial" w:hAnsi="Arial" w:eastAsia="黑体" w:cs="Times New Roman"/>
      <w:kern w:val="0"/>
      <w:szCs w:val="21"/>
    </w:rPr>
  </w:style>
  <w:style w:type="character" w:customStyle="1" w:styleId="62">
    <w:name w:val="批注文字 Char"/>
    <w:link w:val="15"/>
    <w:qFormat/>
    <w:uiPriority w:val="99"/>
    <w:rPr>
      <w:szCs w:val="24"/>
    </w:rPr>
  </w:style>
  <w:style w:type="character" w:customStyle="1" w:styleId="63">
    <w:name w:val="批注文字 Char1"/>
    <w:basedOn w:val="43"/>
    <w:semiHidden/>
    <w:qFormat/>
    <w:uiPriority w:val="99"/>
    <w:rPr>
      <w:rFonts w:ascii="Times New Roman" w:hAnsi="Times New Roman" w:eastAsia="宋体" w:cs="Times New Roman"/>
      <w:szCs w:val="24"/>
    </w:rPr>
  </w:style>
  <w:style w:type="character" w:customStyle="1" w:styleId="64">
    <w:name w:val="批注主题 Char"/>
    <w:basedOn w:val="63"/>
    <w:link w:val="40"/>
    <w:qFormat/>
    <w:uiPriority w:val="0"/>
    <w:rPr>
      <w:rFonts w:ascii="Times New Roman" w:hAnsi="Times New Roman" w:eastAsia="宋体" w:cs="Times New Roman"/>
      <w:b/>
      <w:bCs/>
      <w:szCs w:val="24"/>
    </w:rPr>
  </w:style>
  <w:style w:type="character" w:customStyle="1" w:styleId="65">
    <w:name w:val="文档结构图 Char"/>
    <w:basedOn w:val="43"/>
    <w:link w:val="14"/>
    <w:semiHidden/>
    <w:qFormat/>
    <w:uiPriority w:val="0"/>
    <w:rPr>
      <w:rFonts w:ascii="Times New Roman" w:hAnsi="Times New Roman" w:eastAsia="宋体" w:cs="Times New Roman"/>
      <w:szCs w:val="24"/>
      <w:shd w:val="clear" w:color="auto" w:fill="000080"/>
    </w:rPr>
  </w:style>
  <w:style w:type="character" w:customStyle="1" w:styleId="66">
    <w:name w:val="批注框文本 Char"/>
    <w:basedOn w:val="43"/>
    <w:link w:val="26"/>
    <w:semiHidden/>
    <w:qFormat/>
    <w:uiPriority w:val="0"/>
    <w:rPr>
      <w:rFonts w:ascii="Times New Roman" w:hAnsi="Times New Roman" w:eastAsia="宋体" w:cs="Times New Roman"/>
      <w:sz w:val="18"/>
      <w:szCs w:val="18"/>
    </w:rPr>
  </w:style>
  <w:style w:type="character" w:customStyle="1" w:styleId="67">
    <w:name w:val="正文文本 3 Char"/>
    <w:basedOn w:val="43"/>
    <w:link w:val="16"/>
    <w:qFormat/>
    <w:uiPriority w:val="0"/>
    <w:rPr>
      <w:rFonts w:ascii="Times New Roman" w:hAnsi="Times New Roman" w:eastAsia="宋体" w:cs="Times New Roman"/>
      <w:color w:val="FF0000"/>
      <w:sz w:val="28"/>
      <w:szCs w:val="24"/>
    </w:rPr>
  </w:style>
  <w:style w:type="character" w:customStyle="1" w:styleId="68">
    <w:name w:val="正文文本缩进 3 Char"/>
    <w:basedOn w:val="43"/>
    <w:link w:val="33"/>
    <w:qFormat/>
    <w:uiPriority w:val="0"/>
    <w:rPr>
      <w:rFonts w:ascii="Times New Roman" w:hAnsi="Times New Roman" w:eastAsia="宋体" w:cs="Times New Roman"/>
      <w:color w:val="FF0000"/>
      <w:sz w:val="28"/>
      <w:szCs w:val="24"/>
    </w:rPr>
  </w:style>
  <w:style w:type="character" w:customStyle="1" w:styleId="69">
    <w:name w:val="正文文本 Char"/>
    <w:basedOn w:val="43"/>
    <w:link w:val="17"/>
    <w:qFormat/>
    <w:uiPriority w:val="0"/>
    <w:rPr>
      <w:rFonts w:ascii="宋体" w:hAnsi="宋体" w:eastAsia="宋体" w:cs="Times New Roman"/>
      <w:b/>
      <w:sz w:val="28"/>
      <w:szCs w:val="24"/>
    </w:rPr>
  </w:style>
  <w:style w:type="character" w:customStyle="1" w:styleId="70">
    <w:name w:val="正文文本缩进 Char"/>
    <w:basedOn w:val="43"/>
    <w:link w:val="18"/>
    <w:qFormat/>
    <w:uiPriority w:val="0"/>
    <w:rPr>
      <w:rFonts w:ascii="宋体" w:hAnsi="宋体" w:eastAsia="宋体" w:cs="Times New Roman"/>
      <w:sz w:val="28"/>
      <w:szCs w:val="24"/>
    </w:rPr>
  </w:style>
  <w:style w:type="character" w:customStyle="1" w:styleId="71">
    <w:name w:val="正文文本缩进 2 Char"/>
    <w:basedOn w:val="43"/>
    <w:link w:val="25"/>
    <w:qFormat/>
    <w:uiPriority w:val="0"/>
    <w:rPr>
      <w:rFonts w:ascii="Times New Roman" w:hAnsi="Times New Roman" w:eastAsia="宋体" w:cs="Times New Roman"/>
      <w:sz w:val="24"/>
      <w:szCs w:val="24"/>
    </w:rPr>
  </w:style>
  <w:style w:type="character" w:customStyle="1" w:styleId="72">
    <w:name w:val="日期 Char"/>
    <w:basedOn w:val="43"/>
    <w:link w:val="24"/>
    <w:qFormat/>
    <w:uiPriority w:val="0"/>
    <w:rPr>
      <w:rFonts w:ascii="Times New Roman" w:hAnsi="宋体" w:eastAsia="宋体" w:cs="Times New Roman"/>
      <w:spacing w:val="40"/>
      <w:sz w:val="24"/>
      <w:szCs w:val="24"/>
    </w:rPr>
  </w:style>
  <w:style w:type="character" w:customStyle="1" w:styleId="73">
    <w:name w:val="脚注文本 Char"/>
    <w:basedOn w:val="43"/>
    <w:link w:val="31"/>
    <w:semiHidden/>
    <w:qFormat/>
    <w:uiPriority w:val="0"/>
    <w:rPr>
      <w:rFonts w:ascii="Times New Roman" w:hAnsi="Times New Roman" w:eastAsia="宋体" w:cs="Times New Roman"/>
      <w:sz w:val="18"/>
      <w:szCs w:val="24"/>
    </w:rPr>
  </w:style>
  <w:style w:type="character" w:customStyle="1" w:styleId="74">
    <w:name w:val="正文文本 2 Char"/>
    <w:basedOn w:val="43"/>
    <w:link w:val="36"/>
    <w:qFormat/>
    <w:uiPriority w:val="0"/>
    <w:rPr>
      <w:rFonts w:ascii="宋体" w:hAnsi="宋体" w:eastAsia="宋体" w:cs="Times New Roman"/>
      <w:spacing w:val="40"/>
      <w:sz w:val="24"/>
      <w:szCs w:val="28"/>
    </w:rPr>
  </w:style>
  <w:style w:type="paragraph" w:customStyle="1" w:styleId="75">
    <w:name w:val="TOC 标题1"/>
    <w:basedOn w:val="3"/>
    <w:next w:val="1"/>
    <w:qFormat/>
    <w:uiPriority w:val="39"/>
    <w:pPr>
      <w:keepLines/>
      <w:overflowPunct/>
      <w:autoSpaceDE/>
      <w:autoSpaceDN/>
      <w:adjustRightInd/>
      <w:spacing w:before="480" w:line="276" w:lineRule="auto"/>
      <w:ind w:firstLine="0" w:firstLineChars="0"/>
      <w:jc w:val="left"/>
      <w:textAlignment w:val="auto"/>
      <w:outlineLvl w:val="9"/>
    </w:pPr>
    <w:rPr>
      <w:rFonts w:ascii="Cambria" w:hAnsi="Cambria"/>
      <w:bCs/>
      <w:color w:val="365F91"/>
      <w:kern w:val="0"/>
      <w:position w:val="0"/>
      <w:szCs w:val="28"/>
    </w:rPr>
  </w:style>
  <w:style w:type="character" w:customStyle="1" w:styleId="76">
    <w:name w:val="标题 Char"/>
    <w:link w:val="39"/>
    <w:qFormat/>
    <w:uiPriority w:val="0"/>
    <w:rPr>
      <w:rFonts w:ascii="Cambria" w:hAnsi="Cambria"/>
      <w:b/>
      <w:bCs/>
      <w:sz w:val="32"/>
      <w:szCs w:val="32"/>
    </w:rPr>
  </w:style>
  <w:style w:type="character" w:customStyle="1" w:styleId="77">
    <w:name w:val="样式 标题 2 + (符号) 宋体 小四 Char"/>
    <w:qFormat/>
    <w:uiPriority w:val="0"/>
    <w:rPr>
      <w:rFonts w:ascii="Arial" w:hAnsi="Arial" w:eastAsia="宋体"/>
      <w:b/>
      <w:bCs/>
      <w:kern w:val="2"/>
      <w:sz w:val="24"/>
      <w:szCs w:val="32"/>
      <w:lang w:val="en-US" w:eastAsia="zh-CN" w:bidi="ar-SA"/>
    </w:rPr>
  </w:style>
  <w:style w:type="character" w:customStyle="1" w:styleId="78">
    <w:name w:val="纯文本 Char"/>
    <w:basedOn w:val="43"/>
    <w:link w:val="22"/>
    <w:qFormat/>
    <w:uiPriority w:val="0"/>
    <w:rPr>
      <w:rFonts w:ascii="宋体" w:hAnsi="Courier New" w:eastAsia="宋体" w:cs="Times New Roman"/>
      <w:sz w:val="24"/>
      <w:szCs w:val="20"/>
    </w:rPr>
  </w:style>
  <w:style w:type="character" w:customStyle="1" w:styleId="79">
    <w:name w:val="标题 Char1"/>
    <w:basedOn w:val="43"/>
    <w:qFormat/>
    <w:uiPriority w:val="10"/>
    <w:rPr>
      <w:rFonts w:eastAsia="宋体" w:asciiTheme="majorHAnsi" w:hAnsiTheme="majorHAnsi" w:cstheme="majorBidi"/>
      <w:b/>
      <w:bCs/>
      <w:sz w:val="32"/>
      <w:szCs w:val="32"/>
    </w:rPr>
  </w:style>
  <w:style w:type="paragraph" w:customStyle="1" w:styleId="80">
    <w:name w:val="Char Char1 Char Char"/>
    <w:basedOn w:val="1"/>
    <w:qFormat/>
    <w:uiPriority w:val="0"/>
    <w:rPr>
      <w:rFonts w:ascii="Tahoma" w:hAnsi="Tahoma"/>
      <w:sz w:val="24"/>
      <w:szCs w:val="20"/>
    </w:rPr>
  </w:style>
  <w:style w:type="paragraph" w:customStyle="1" w:styleId="81">
    <w:name w:val="菲页2"/>
    <w:basedOn w:val="5"/>
    <w:qFormat/>
    <w:uiPriority w:val="0"/>
    <w:pPr>
      <w:overflowPunct/>
      <w:autoSpaceDE/>
      <w:autoSpaceDN/>
      <w:adjustRightInd/>
      <w:spacing w:before="120" w:after="120" w:line="360" w:lineRule="auto"/>
      <w:textAlignment w:val="auto"/>
    </w:pPr>
    <w:rPr>
      <w:rFonts w:ascii="黑体" w:eastAsia="黑体"/>
      <w:kern w:val="0"/>
      <w:position w:val="0"/>
      <w:sz w:val="44"/>
      <w:szCs w:val="20"/>
    </w:rPr>
  </w:style>
  <w:style w:type="paragraph" w:customStyle="1" w:styleId="82">
    <w:name w:val="样式 标题 2 + Times New Roman 四号 非加粗 段前: 5 磅 段后: 0 磅 行距: 固定值 20..."/>
    <w:basedOn w:val="4"/>
    <w:qFormat/>
    <w:uiPriority w:val="0"/>
    <w:pPr>
      <w:widowControl w:val="0"/>
      <w:overflowPunct/>
      <w:autoSpaceDE/>
      <w:autoSpaceDN/>
      <w:adjustRightInd/>
      <w:spacing w:beforeLines="0" w:line="400" w:lineRule="exact"/>
      <w:ind w:firstLine="0" w:firstLineChars="0"/>
      <w:jc w:val="both"/>
      <w:textAlignment w:val="auto"/>
    </w:pPr>
    <w:rPr>
      <w:rFonts w:ascii="Times New Roman" w:hAnsi="Times New Roman" w:cs="宋体"/>
      <w:b w:val="0"/>
      <w:kern w:val="2"/>
      <w:position w:val="0"/>
      <w:sz w:val="28"/>
    </w:rPr>
  </w:style>
  <w:style w:type="paragraph" w:customStyle="1" w:styleId="8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84">
    <w:name w:val="菲页(卷)"/>
    <w:basedOn w:val="3"/>
    <w:next w:val="85"/>
    <w:qFormat/>
    <w:uiPriority w:val="0"/>
    <w:pPr>
      <w:tabs>
        <w:tab w:val="left" w:pos="432"/>
      </w:tabs>
      <w:overflowPunct/>
      <w:autoSpaceDE/>
      <w:autoSpaceDN/>
      <w:adjustRightInd/>
      <w:ind w:left="432" w:hanging="432" w:firstLineChars="0"/>
      <w:textAlignment w:val="auto"/>
      <w:outlineLvl w:val="1"/>
    </w:pPr>
    <w:rPr>
      <w:rFonts w:ascii="黑体" w:hAnsi="Times New Roman" w:eastAsia="黑体"/>
      <w:b w:val="0"/>
      <w:kern w:val="0"/>
      <w:position w:val="0"/>
      <w:sz w:val="32"/>
      <w:szCs w:val="20"/>
    </w:rPr>
  </w:style>
  <w:style w:type="paragraph" w:customStyle="1" w:styleId="8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6">
    <w:name w:val="Char Char Char Char Char Char Char"/>
    <w:basedOn w:val="1"/>
    <w:qFormat/>
    <w:uiPriority w:val="0"/>
    <w:rPr>
      <w:rFonts w:ascii="仿宋_GB2312" w:eastAsia="仿宋_GB2312" w:cs="仿宋_GB2312"/>
      <w:b/>
      <w:bCs/>
      <w:sz w:val="32"/>
      <w:szCs w:val="32"/>
    </w:rPr>
  </w:style>
  <w:style w:type="paragraph" w:customStyle="1" w:styleId="87">
    <w:name w:val="一"/>
    <w:basedOn w:val="1"/>
    <w:qFormat/>
    <w:uiPriority w:val="0"/>
    <w:pPr>
      <w:tabs>
        <w:tab w:val="left" w:pos="480"/>
      </w:tabs>
      <w:ind w:left="480" w:hanging="480"/>
    </w:pPr>
    <w:rPr>
      <w:rFonts w:eastAsia="黑体"/>
      <w:b/>
      <w:sz w:val="24"/>
      <w:szCs w:val="20"/>
    </w:rPr>
  </w:style>
  <w:style w:type="paragraph" w:customStyle="1" w:styleId="88">
    <w:name w:val="."/>
    <w:basedOn w:val="1"/>
    <w:qFormat/>
    <w:uiPriority w:val="0"/>
    <w:pPr>
      <w:widowControl/>
      <w:tabs>
        <w:tab w:val="left" w:pos="360"/>
      </w:tabs>
      <w:jc w:val="left"/>
    </w:pPr>
    <w:rPr>
      <w:kern w:val="0"/>
      <w:sz w:val="20"/>
      <w:szCs w:val="20"/>
    </w:rPr>
  </w:style>
  <w:style w:type="paragraph" w:customStyle="1" w:styleId="89">
    <w:name w:val="样式 标题 3 + (中文) 黑体 小四 非加粗 段前: 7.8 磅 段后: 0 磅 行距: 固定值 20 磅"/>
    <w:basedOn w:val="5"/>
    <w:qFormat/>
    <w:uiPriority w:val="0"/>
    <w:pPr>
      <w:widowControl w:val="0"/>
      <w:overflowPunct/>
      <w:autoSpaceDE/>
      <w:autoSpaceDN/>
      <w:adjustRightInd/>
      <w:spacing w:before="0" w:after="0" w:line="400" w:lineRule="exact"/>
      <w:jc w:val="both"/>
      <w:textAlignment w:val="auto"/>
    </w:pPr>
    <w:rPr>
      <w:rFonts w:ascii="Times New Roman" w:eastAsia="黑体" w:cs="宋体"/>
      <w:kern w:val="2"/>
      <w:position w:val="0"/>
      <w:szCs w:val="20"/>
    </w:rPr>
  </w:style>
  <w:style w:type="paragraph" w:customStyle="1" w:styleId="90">
    <w:name w:val="BT4"/>
    <w:basedOn w:val="1"/>
    <w:qFormat/>
    <w:uiPriority w:val="0"/>
    <w:pPr>
      <w:spacing w:line="360" w:lineRule="auto"/>
      <w:ind w:firstLine="200" w:firstLineChars="200"/>
    </w:pPr>
    <w:rPr>
      <w:rFonts w:ascii="仿宋" w:hAnsi="仿宋" w:eastAsia="仿宋"/>
      <w:sz w:val="28"/>
      <w:szCs w:val="28"/>
    </w:rPr>
  </w:style>
  <w:style w:type="paragraph" w:customStyle="1" w:styleId="91">
    <w:name w:val="B4"/>
    <w:basedOn w:val="1"/>
    <w:qFormat/>
    <w:uiPriority w:val="0"/>
    <w:pPr>
      <w:spacing w:line="640" w:lineRule="exact"/>
      <w:ind w:firstLine="560" w:firstLineChars="200"/>
    </w:pPr>
    <w:rPr>
      <w:rFonts w:ascii="仿宋_GB2312" w:hAnsi="黑体" w:eastAsia="仿宋_GB2312"/>
      <w:sz w:val="28"/>
      <w:szCs w:val="28"/>
    </w:rPr>
  </w:style>
  <w:style w:type="paragraph" w:customStyle="1" w:styleId="92">
    <w:name w:val="正文样式1"/>
    <w:basedOn w:val="1"/>
    <w:link w:val="93"/>
    <w:qFormat/>
    <w:uiPriority w:val="0"/>
    <w:pPr>
      <w:spacing w:line="480" w:lineRule="auto"/>
      <w:ind w:firstLine="480" w:firstLineChars="200"/>
    </w:pPr>
    <w:rPr>
      <w:rFonts w:ascii="宋体" w:hAnsi="宋体"/>
      <w:sz w:val="24"/>
    </w:rPr>
  </w:style>
  <w:style w:type="character" w:customStyle="1" w:styleId="93">
    <w:name w:val="正文样式1 Char"/>
    <w:link w:val="92"/>
    <w:qFormat/>
    <w:uiPriority w:val="0"/>
    <w:rPr>
      <w:rFonts w:ascii="宋体" w:hAnsi="宋体" w:eastAsia="宋体" w:cs="Times New Roman"/>
      <w:sz w:val="24"/>
      <w:szCs w:val="24"/>
    </w:rPr>
  </w:style>
  <w:style w:type="paragraph" w:styleId="94">
    <w:name w:val="List Paragraph"/>
    <w:basedOn w:val="1"/>
    <w:unhideWhenUsed/>
    <w:qFormat/>
    <w:uiPriority w:val="99"/>
    <w:pPr>
      <w:ind w:firstLine="420" w:firstLineChars="200"/>
    </w:pPr>
  </w:style>
  <w:style w:type="paragraph" w:customStyle="1" w:styleId="95">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E3FEE2-09F9-47A3-AD75-C2651DAF0670}">
  <ds:schemaRefs/>
</ds:datastoreItem>
</file>

<file path=docProps/app.xml><?xml version="1.0" encoding="utf-8"?>
<Properties xmlns="http://schemas.openxmlformats.org/officeDocument/2006/extended-properties" xmlns:vt="http://schemas.openxmlformats.org/officeDocument/2006/docPropsVTypes">
  <Template>Normal</Template>
  <Pages>6</Pages>
  <Words>3000</Words>
  <Characters>3322</Characters>
  <Lines>127</Lines>
  <Paragraphs>35</Paragraphs>
  <TotalTime>1</TotalTime>
  <ScaleCrop>false</ScaleCrop>
  <LinksUpToDate>false</LinksUpToDate>
  <CharactersWithSpaces>3419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2019-01-14T05:46:00Z</dcterms:created>
  <dc:creator>t</dc:creator>
  <cp:lastModifiedBy>国信-tyj</cp:lastModifiedBy>
  <cp:lastPrinted>2019-09-25T07:41:00Z</cp:lastPrinted>
  <dcterms:modified xsi:type="dcterms:W3CDTF">2019-10-10T01:24:38Z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