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附件1：</w:t>
      </w:r>
      <w:bookmarkStart w:id="0" w:name="_GoBack"/>
      <w:bookmarkEnd w:id="0"/>
    </w:p>
    <w:p>
      <w:pPr>
        <w:widowControl/>
        <w:jc w:val="center"/>
        <w:rPr>
          <w:rFonts w:asciiTheme="minorEastAsia" w:hAnsiTheme="minorEastAsia" w:eastAsiaTheme="minorEastAsia"/>
          <w:b/>
          <w:sz w:val="44"/>
          <w:szCs w:val="32"/>
        </w:rPr>
      </w:pPr>
      <w:r>
        <w:rPr>
          <w:rFonts w:hint="eastAsia" w:asciiTheme="minorEastAsia" w:hAnsiTheme="minorEastAsia" w:eastAsiaTheme="minorEastAsia"/>
          <w:b/>
          <w:sz w:val="44"/>
          <w:szCs w:val="32"/>
        </w:rPr>
        <w:t>大兴区人民医院招标评选定期存款存放银行项目政府采购项目技术需求及评分细则</w:t>
      </w:r>
    </w:p>
    <w:p>
      <w:pPr>
        <w:widowControl/>
        <w:jc w:val="center"/>
        <w:rPr>
          <w:rFonts w:asciiTheme="minorEastAsia" w:hAnsiTheme="minorEastAsia" w:eastAsiaTheme="minorEastAsia"/>
          <w:b/>
          <w:bCs/>
          <w:color w:val="auto"/>
          <w:sz w:val="44"/>
          <w:szCs w:val="32"/>
          <w:lang w:val="zh-TW"/>
        </w:rPr>
      </w:pPr>
      <w:r>
        <w:rPr>
          <w:rFonts w:hint="eastAsia" w:asciiTheme="minorEastAsia" w:hAnsiTheme="minorEastAsia" w:eastAsiaTheme="minorEastAsia"/>
          <w:b/>
          <w:sz w:val="44"/>
          <w:szCs w:val="32"/>
        </w:rPr>
        <w:t>（征求意见稿）</w:t>
      </w:r>
    </w:p>
    <w:p>
      <w:pPr>
        <w:numPr>
          <w:ilvl w:val="0"/>
          <w:numId w:val="1"/>
        </w:numPr>
        <w:adjustRightInd w:val="0"/>
        <w:spacing w:line="360" w:lineRule="atLeast"/>
        <w:jc w:val="left"/>
        <w:textAlignment w:val="baseline"/>
        <w:rPr>
          <w:b/>
          <w:sz w:val="24"/>
        </w:rPr>
      </w:pPr>
      <w:r>
        <w:rPr>
          <w:rFonts w:hint="eastAsia"/>
          <w:b/>
          <w:sz w:val="24"/>
        </w:rPr>
        <w:t>采购清单</w:t>
      </w:r>
    </w:p>
    <w:tbl>
      <w:tblPr>
        <w:tblStyle w:val="5"/>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835"/>
        <w:gridCol w:w="1431"/>
        <w:gridCol w:w="1687"/>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jc w:val="center"/>
              <w:rPr>
                <w:b/>
                <w:sz w:val="24"/>
              </w:rPr>
            </w:pPr>
            <w:r>
              <w:rPr>
                <w:rFonts w:hint="eastAsia"/>
                <w:b/>
                <w:sz w:val="24"/>
              </w:rPr>
              <w:t>序号</w:t>
            </w:r>
          </w:p>
        </w:tc>
        <w:tc>
          <w:tcPr>
            <w:tcW w:w="2835" w:type="dxa"/>
            <w:vAlign w:val="center"/>
          </w:tcPr>
          <w:p>
            <w:pPr>
              <w:jc w:val="center"/>
              <w:rPr>
                <w:b/>
                <w:sz w:val="24"/>
              </w:rPr>
            </w:pPr>
            <w:r>
              <w:rPr>
                <w:rFonts w:hint="eastAsia"/>
                <w:b/>
                <w:sz w:val="24"/>
              </w:rPr>
              <w:t>货物或服务名称</w:t>
            </w:r>
          </w:p>
        </w:tc>
        <w:tc>
          <w:tcPr>
            <w:tcW w:w="1431" w:type="dxa"/>
            <w:vAlign w:val="center"/>
          </w:tcPr>
          <w:p>
            <w:pPr>
              <w:jc w:val="center"/>
              <w:rPr>
                <w:b/>
                <w:sz w:val="24"/>
              </w:rPr>
            </w:pPr>
            <w:r>
              <w:rPr>
                <w:rFonts w:hint="eastAsia"/>
                <w:b/>
                <w:sz w:val="24"/>
              </w:rPr>
              <w:t>数量</w:t>
            </w:r>
          </w:p>
        </w:tc>
        <w:tc>
          <w:tcPr>
            <w:tcW w:w="1687" w:type="dxa"/>
            <w:vAlign w:val="center"/>
          </w:tcPr>
          <w:p>
            <w:pPr>
              <w:jc w:val="center"/>
              <w:rPr>
                <w:b/>
                <w:sz w:val="24"/>
              </w:rPr>
            </w:pPr>
            <w:r>
              <w:rPr>
                <w:rFonts w:hint="eastAsia"/>
                <w:b/>
                <w:sz w:val="24"/>
              </w:rPr>
              <w:t>单位</w:t>
            </w:r>
          </w:p>
        </w:tc>
        <w:tc>
          <w:tcPr>
            <w:tcW w:w="1893" w:type="dxa"/>
            <w:vAlign w:val="center"/>
          </w:tcPr>
          <w:p>
            <w:pPr>
              <w:jc w:val="center"/>
              <w:rPr>
                <w:b/>
                <w:sz w:val="24"/>
              </w:rPr>
            </w:pPr>
            <w:r>
              <w:rPr>
                <w:rFonts w:hint="eastAsia"/>
                <w:b/>
                <w:sz w:val="24"/>
              </w:rPr>
              <w:t>备注（核心产品）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jc w:val="center"/>
              <w:rPr>
                <w:sz w:val="24"/>
              </w:rPr>
            </w:pPr>
            <w:r>
              <w:rPr>
                <w:rFonts w:hint="eastAsia"/>
                <w:sz w:val="24"/>
              </w:rPr>
              <w:t>1</w:t>
            </w:r>
          </w:p>
        </w:tc>
        <w:tc>
          <w:tcPr>
            <w:tcW w:w="2835" w:type="dxa"/>
          </w:tcPr>
          <w:p>
            <w:pPr>
              <w:jc w:val="center"/>
              <w:rPr>
                <w:b/>
                <w:sz w:val="24"/>
              </w:rPr>
            </w:pPr>
            <w:r>
              <w:rPr>
                <w:rFonts w:hint="eastAsia"/>
                <w:b/>
                <w:sz w:val="24"/>
              </w:rPr>
              <w:t>大兴区人民医院招标评选定期存款存放银行项目</w:t>
            </w:r>
          </w:p>
        </w:tc>
        <w:tc>
          <w:tcPr>
            <w:tcW w:w="1431" w:type="dxa"/>
          </w:tcPr>
          <w:p>
            <w:pPr>
              <w:jc w:val="center"/>
              <w:rPr>
                <w:b/>
                <w:sz w:val="24"/>
              </w:rPr>
            </w:pPr>
            <w:r>
              <w:rPr>
                <w:rFonts w:hint="eastAsia"/>
                <w:b/>
                <w:sz w:val="24"/>
              </w:rPr>
              <w:t>1</w:t>
            </w:r>
          </w:p>
        </w:tc>
        <w:tc>
          <w:tcPr>
            <w:tcW w:w="1687" w:type="dxa"/>
          </w:tcPr>
          <w:p>
            <w:pPr>
              <w:ind w:firstLine="240" w:firstLineChars="100"/>
              <w:jc w:val="center"/>
              <w:rPr>
                <w:b/>
                <w:sz w:val="24"/>
              </w:rPr>
            </w:pPr>
          </w:p>
        </w:tc>
        <w:tc>
          <w:tcPr>
            <w:tcW w:w="1893"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jc w:val="center"/>
              <w:rPr>
                <w:sz w:val="24"/>
              </w:rPr>
            </w:pPr>
            <w:r>
              <w:rPr>
                <w:rFonts w:hint="eastAsia"/>
                <w:sz w:val="24"/>
              </w:rPr>
              <w:t>2</w:t>
            </w:r>
          </w:p>
        </w:tc>
        <w:tc>
          <w:tcPr>
            <w:tcW w:w="2835" w:type="dxa"/>
          </w:tcPr>
          <w:p>
            <w:pPr>
              <w:rPr>
                <w:sz w:val="24"/>
              </w:rPr>
            </w:pPr>
          </w:p>
        </w:tc>
        <w:tc>
          <w:tcPr>
            <w:tcW w:w="1431" w:type="dxa"/>
          </w:tcPr>
          <w:p>
            <w:pPr>
              <w:rPr>
                <w:sz w:val="24"/>
              </w:rPr>
            </w:pPr>
          </w:p>
        </w:tc>
        <w:tc>
          <w:tcPr>
            <w:tcW w:w="1687" w:type="dxa"/>
          </w:tcPr>
          <w:p>
            <w:pPr>
              <w:rPr>
                <w:sz w:val="24"/>
              </w:rPr>
            </w:pPr>
          </w:p>
        </w:tc>
        <w:tc>
          <w:tcPr>
            <w:tcW w:w="1893"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jc w:val="center"/>
              <w:rPr>
                <w:sz w:val="24"/>
              </w:rPr>
            </w:pPr>
            <w:r>
              <w:rPr>
                <w:rFonts w:hint="eastAsia"/>
                <w:sz w:val="24"/>
              </w:rPr>
              <w:t>3</w:t>
            </w:r>
          </w:p>
        </w:tc>
        <w:tc>
          <w:tcPr>
            <w:tcW w:w="2835" w:type="dxa"/>
          </w:tcPr>
          <w:p>
            <w:pPr>
              <w:rPr>
                <w:sz w:val="24"/>
              </w:rPr>
            </w:pPr>
          </w:p>
        </w:tc>
        <w:tc>
          <w:tcPr>
            <w:tcW w:w="1431" w:type="dxa"/>
          </w:tcPr>
          <w:p>
            <w:pPr>
              <w:rPr>
                <w:sz w:val="24"/>
              </w:rPr>
            </w:pPr>
          </w:p>
        </w:tc>
        <w:tc>
          <w:tcPr>
            <w:tcW w:w="1687" w:type="dxa"/>
          </w:tcPr>
          <w:p>
            <w:pPr>
              <w:rPr>
                <w:sz w:val="24"/>
              </w:rPr>
            </w:pPr>
          </w:p>
        </w:tc>
        <w:tc>
          <w:tcPr>
            <w:tcW w:w="1893"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jc w:val="center"/>
              <w:rPr>
                <w:sz w:val="24"/>
              </w:rPr>
            </w:pPr>
            <w:r>
              <w:rPr>
                <w:sz w:val="24"/>
              </w:rPr>
              <w:t>…</w:t>
            </w:r>
          </w:p>
        </w:tc>
        <w:tc>
          <w:tcPr>
            <w:tcW w:w="2835" w:type="dxa"/>
          </w:tcPr>
          <w:p>
            <w:pPr>
              <w:rPr>
                <w:sz w:val="24"/>
              </w:rPr>
            </w:pPr>
          </w:p>
        </w:tc>
        <w:tc>
          <w:tcPr>
            <w:tcW w:w="1431" w:type="dxa"/>
          </w:tcPr>
          <w:p>
            <w:pPr>
              <w:rPr>
                <w:sz w:val="24"/>
              </w:rPr>
            </w:pPr>
          </w:p>
        </w:tc>
        <w:tc>
          <w:tcPr>
            <w:tcW w:w="1687" w:type="dxa"/>
          </w:tcPr>
          <w:p>
            <w:pPr>
              <w:rPr>
                <w:sz w:val="24"/>
              </w:rPr>
            </w:pPr>
          </w:p>
        </w:tc>
        <w:tc>
          <w:tcPr>
            <w:tcW w:w="1893" w:type="dxa"/>
          </w:tcPr>
          <w:p>
            <w:pPr>
              <w:rPr>
                <w:sz w:val="24"/>
              </w:rPr>
            </w:pPr>
          </w:p>
        </w:tc>
      </w:tr>
    </w:tbl>
    <w:p>
      <w:pPr>
        <w:numPr>
          <w:ilvl w:val="0"/>
          <w:numId w:val="1"/>
        </w:numPr>
        <w:adjustRightInd w:val="0"/>
        <w:spacing w:line="360" w:lineRule="atLeast"/>
        <w:jc w:val="left"/>
        <w:textAlignment w:val="baseline"/>
        <w:rPr>
          <w:b/>
          <w:sz w:val="24"/>
        </w:rPr>
      </w:pPr>
      <w:r>
        <w:rPr>
          <w:rFonts w:hint="eastAsia"/>
          <w:b/>
          <w:sz w:val="24"/>
        </w:rPr>
        <w:t>项目背景或简况</w:t>
      </w:r>
    </w:p>
    <w:p>
      <w:pPr>
        <w:spacing w:line="480" w:lineRule="auto"/>
        <w:ind w:firstLine="540" w:firstLineChars="225"/>
        <w:rPr>
          <w:rFonts w:ascii="宋体" w:hAnsi="宋体" w:cs="微软雅黑"/>
          <w:color w:val="000000"/>
          <w:sz w:val="24"/>
          <w:shd w:val="clear" w:color="auto" w:fill="FFFFFF"/>
        </w:rPr>
      </w:pPr>
      <w:r>
        <w:rPr>
          <w:rFonts w:hint="eastAsia" w:ascii="宋体" w:hAnsi="宋体" w:cs="微软雅黑"/>
          <w:color w:val="000000"/>
          <w:sz w:val="24"/>
          <w:shd w:val="clear" w:color="auto" w:fill="FFFFFF"/>
        </w:rPr>
        <w:t>项目背景：根据《北京市财政局中国人民银行关于印发《北京市预算单位银行账户及资金存放管理办法》的通知》(京财国库〔</w:t>
      </w:r>
      <w:r>
        <w:rPr>
          <w:rFonts w:ascii="宋体" w:hAnsi="宋体" w:cs="微软雅黑"/>
          <w:color w:val="000000"/>
          <w:sz w:val="24"/>
          <w:shd w:val="clear" w:color="auto" w:fill="FFFFFF"/>
        </w:rPr>
        <w:t xml:space="preserve">2018) 2902 </w:t>
      </w:r>
      <w:r>
        <w:rPr>
          <w:rFonts w:hint="eastAsia" w:ascii="宋体" w:hAnsi="宋体" w:cs="微软雅黑"/>
          <w:color w:val="000000"/>
          <w:sz w:val="24"/>
          <w:shd w:val="clear" w:color="auto" w:fill="FFFFFF"/>
        </w:rPr>
        <w:t>号〕、《北京市大兴区财政局关于转发《北京市预算单位银行账户及资金存放管理办法》(京兴财〔</w:t>
      </w:r>
      <w:r>
        <w:rPr>
          <w:rFonts w:ascii="宋体" w:hAnsi="宋体" w:cs="微软雅黑"/>
          <w:color w:val="000000"/>
          <w:sz w:val="24"/>
          <w:shd w:val="clear" w:color="auto" w:fill="FFFFFF"/>
        </w:rPr>
        <w:t>2019</w:t>
      </w:r>
      <w:r>
        <w:rPr>
          <w:rFonts w:hint="eastAsia" w:ascii="宋体" w:hAnsi="宋体" w:cs="微软雅黑"/>
          <w:color w:val="000000"/>
          <w:sz w:val="24"/>
          <w:shd w:val="clear" w:color="auto" w:fill="FFFFFF"/>
        </w:rPr>
        <w:t>〕</w:t>
      </w:r>
      <w:r>
        <w:rPr>
          <w:rFonts w:ascii="宋体" w:hAnsi="宋体" w:cs="微软雅黑"/>
          <w:color w:val="000000"/>
          <w:sz w:val="24"/>
          <w:shd w:val="clear" w:color="auto" w:fill="FFFFFF"/>
        </w:rPr>
        <w:t xml:space="preserve">13 </w:t>
      </w:r>
      <w:r>
        <w:rPr>
          <w:rFonts w:hint="eastAsia" w:ascii="宋体" w:hAnsi="宋体" w:cs="微软雅黑"/>
          <w:color w:val="000000"/>
          <w:sz w:val="24"/>
          <w:shd w:val="clear" w:color="auto" w:fill="FFFFFF"/>
        </w:rPr>
        <w:t>号)文件的通知的要求，预算单位开展资金转出开户银行进行定期存款的，应当采取竞争性方式选择定期存款银行。</w:t>
      </w:r>
    </w:p>
    <w:p>
      <w:pPr>
        <w:spacing w:line="480" w:lineRule="auto"/>
        <w:ind w:firstLine="540" w:firstLineChars="225"/>
        <w:rPr>
          <w:rFonts w:ascii="宋体" w:hAnsi="宋体" w:cs="微软雅黑"/>
          <w:color w:val="000000"/>
          <w:sz w:val="24"/>
          <w:shd w:val="clear" w:color="auto" w:fill="FFFFFF"/>
        </w:rPr>
      </w:pPr>
      <w:r>
        <w:rPr>
          <w:rFonts w:hint="eastAsia" w:ascii="宋体" w:hAnsi="宋体" w:cs="微软雅黑"/>
          <w:color w:val="000000"/>
          <w:sz w:val="24"/>
          <w:shd w:val="clear" w:color="auto" w:fill="FFFFFF"/>
        </w:rPr>
        <w:t>项目简况：为提高我院资金管理效益，进一步加强和规范银行账户及资金存放管理，防范资金安全风险和廉政风险，我院对定期存款存放银行进行招标，以竞争性方式选定定期存款存放银行，选定两家银行为我院提供定期存款服务，拟招标定期存款规模为6000万元，预算利息额约为135 万元。为北京市大兴区人民医院提供资金授信服务。</w:t>
      </w:r>
    </w:p>
    <w:p>
      <w:pPr>
        <w:numPr>
          <w:ilvl w:val="0"/>
          <w:numId w:val="1"/>
        </w:numPr>
        <w:adjustRightInd w:val="0"/>
        <w:spacing w:line="360" w:lineRule="atLeast"/>
        <w:jc w:val="left"/>
        <w:textAlignment w:val="baseline"/>
        <w:rPr>
          <w:b/>
          <w:sz w:val="24"/>
        </w:rPr>
      </w:pPr>
      <w:r>
        <w:rPr>
          <w:rFonts w:hint="eastAsia"/>
          <w:b/>
          <w:sz w:val="24"/>
        </w:rPr>
        <w:t>技术参数要求（技术指标包括性能、规格、材质等，但不能指定品牌）、服务</w:t>
      </w:r>
    </w:p>
    <w:p>
      <w:pPr>
        <w:adjustRightInd w:val="0"/>
        <w:spacing w:line="360" w:lineRule="atLeast"/>
        <w:jc w:val="left"/>
        <w:textAlignment w:val="baseline"/>
        <w:rPr>
          <w:b/>
          <w:sz w:val="24"/>
        </w:rPr>
      </w:pPr>
      <w:r>
        <w:rPr>
          <w:rFonts w:hint="eastAsia"/>
          <w:b/>
          <w:sz w:val="24"/>
        </w:rPr>
        <w:t>要求</w:t>
      </w:r>
    </w:p>
    <w:p>
      <w:pPr>
        <w:adjustRightInd w:val="0"/>
        <w:spacing w:line="360" w:lineRule="atLeast"/>
        <w:jc w:val="left"/>
        <w:textAlignment w:val="baseline"/>
        <w:rPr>
          <w:b/>
          <w:sz w:val="24"/>
        </w:rPr>
      </w:pPr>
      <w:r>
        <w:rPr>
          <w:rFonts w:hint="eastAsia"/>
          <w:b/>
          <w:sz w:val="24"/>
        </w:rPr>
        <w:t>（一）提供服务：</w:t>
      </w:r>
    </w:p>
    <w:p>
      <w:pPr>
        <w:spacing w:line="480" w:lineRule="auto"/>
        <w:ind w:firstLine="540" w:firstLineChars="225"/>
        <w:rPr>
          <w:rFonts w:ascii="宋体" w:hAnsi="宋体" w:cs="微软雅黑"/>
          <w:color w:val="000000"/>
          <w:sz w:val="24"/>
          <w:shd w:val="clear" w:color="auto" w:fill="FFFFFF"/>
        </w:rPr>
      </w:pPr>
      <w:r>
        <w:rPr>
          <w:rFonts w:hint="eastAsia" w:ascii="宋体" w:hAnsi="宋体" w:cs="微软雅黑"/>
          <w:color w:val="000000"/>
          <w:sz w:val="24"/>
          <w:shd w:val="clear" w:color="auto" w:fill="FFFFFF"/>
        </w:rPr>
        <w:t>1.为北京市大兴区人民医院提供定期存款服务，拟由大兴区政府采购中心对定期存款存放银行进行招标，最终选定两家银行为医院提供定期存款服务。</w:t>
      </w:r>
    </w:p>
    <w:p>
      <w:pPr>
        <w:spacing w:line="480" w:lineRule="auto"/>
        <w:ind w:firstLine="540" w:firstLineChars="225"/>
        <w:rPr>
          <w:rFonts w:ascii="宋体" w:hAnsi="宋体" w:cs="微软雅黑"/>
          <w:color w:val="000000"/>
          <w:sz w:val="24"/>
          <w:shd w:val="clear" w:color="auto" w:fill="FFFFFF"/>
        </w:rPr>
      </w:pPr>
      <w:r>
        <w:rPr>
          <w:rFonts w:hint="eastAsia" w:ascii="宋体" w:hAnsi="宋体" w:cs="微软雅黑"/>
          <w:color w:val="000000"/>
          <w:sz w:val="24"/>
          <w:shd w:val="clear" w:color="auto" w:fill="FFFFFF"/>
        </w:rPr>
        <w:t>按照现行央行发布的1年期定期存款基准利率结合目前市场上大额存单存款利率上浮比率，拟定招标定期存款规模为6000万元，预算利息额约为135 万元。</w:t>
      </w:r>
    </w:p>
    <w:p>
      <w:pPr>
        <w:spacing w:line="480" w:lineRule="auto"/>
        <w:ind w:firstLine="540" w:firstLineChars="225"/>
        <w:rPr>
          <w:rFonts w:ascii="宋体" w:hAnsi="宋体" w:cs="微软雅黑"/>
          <w:color w:val="000000"/>
          <w:sz w:val="24"/>
          <w:shd w:val="clear" w:color="auto" w:fill="FFFFFF"/>
        </w:rPr>
      </w:pPr>
      <w:r>
        <w:rPr>
          <w:rFonts w:hint="eastAsia" w:ascii="宋体" w:hAnsi="宋体" w:cs="微软雅黑"/>
          <w:color w:val="000000"/>
          <w:sz w:val="24"/>
          <w:shd w:val="clear" w:color="auto" w:fill="FFFFFF"/>
        </w:rPr>
        <w:t>2.为北京市大兴区人民医院提供资金授信服务。</w:t>
      </w:r>
    </w:p>
    <w:p>
      <w:pPr>
        <w:adjustRightInd w:val="0"/>
        <w:spacing w:line="360" w:lineRule="atLeast"/>
        <w:jc w:val="left"/>
        <w:textAlignment w:val="baseline"/>
        <w:rPr>
          <w:b/>
          <w:sz w:val="24"/>
        </w:rPr>
      </w:pPr>
      <w:r>
        <w:rPr>
          <w:rFonts w:hint="eastAsia"/>
          <w:b/>
          <w:sz w:val="24"/>
        </w:rPr>
        <w:t>（二）投标人资质要求：</w:t>
      </w:r>
    </w:p>
    <w:p>
      <w:pPr>
        <w:pStyle w:val="11"/>
        <w:spacing w:line="480" w:lineRule="auto"/>
        <w:ind w:left="481" w:leftChars="229" w:firstLine="120" w:firstLineChars="50"/>
        <w:rPr>
          <w:rFonts w:ascii="宋体" w:hAnsi="宋体" w:cs="微软雅黑"/>
          <w:color w:val="auto"/>
          <w:sz w:val="24"/>
          <w:szCs w:val="24"/>
          <w:shd w:val="clear" w:color="auto" w:fill="FFFFFF"/>
        </w:rPr>
      </w:pPr>
      <w:r>
        <w:rPr>
          <w:rFonts w:hint="eastAsia" w:ascii="宋体" w:hAnsi="宋体" w:cs="微软雅黑"/>
          <w:color w:val="auto"/>
          <w:sz w:val="24"/>
          <w:szCs w:val="24"/>
          <w:shd w:val="clear" w:color="auto" w:fill="FFFFFF"/>
        </w:rPr>
        <w:t>1.中华人民共和国境内依法设立的国有商业银行、股份制商业银行、邮政</w:t>
      </w:r>
    </w:p>
    <w:p>
      <w:pPr>
        <w:spacing w:line="480" w:lineRule="auto"/>
        <w:rPr>
          <w:rFonts w:ascii="宋体" w:hAnsi="宋体" w:cs="微软雅黑"/>
          <w:color w:val="auto"/>
          <w:sz w:val="24"/>
          <w:shd w:val="clear" w:color="auto" w:fill="FFFFFF"/>
        </w:rPr>
      </w:pPr>
      <w:r>
        <w:rPr>
          <w:rFonts w:hint="eastAsia" w:ascii="宋体" w:hAnsi="宋体" w:cs="微软雅黑"/>
          <w:color w:val="auto"/>
          <w:sz w:val="24"/>
          <w:shd w:val="clear" w:color="auto" w:fill="FFFFFF"/>
        </w:rPr>
        <w:t>储蓄银行、城市商业银行、农村信用合作联社、农村商业银行、农村合作银行等银行业金融机构；</w:t>
      </w:r>
    </w:p>
    <w:p>
      <w:pPr>
        <w:pStyle w:val="11"/>
        <w:spacing w:line="480" w:lineRule="auto"/>
        <w:ind w:left="481" w:leftChars="229" w:firstLine="120" w:firstLineChars="50"/>
        <w:rPr>
          <w:rFonts w:ascii="宋体" w:hAnsi="宋体" w:cs="微软雅黑"/>
          <w:color w:val="auto"/>
          <w:sz w:val="24"/>
          <w:szCs w:val="24"/>
          <w:shd w:val="clear" w:color="auto" w:fill="FFFFFF"/>
        </w:rPr>
      </w:pPr>
      <w:r>
        <w:rPr>
          <w:rFonts w:hint="eastAsia" w:ascii="宋体" w:hAnsi="宋体" w:cs="微软雅黑"/>
          <w:color w:val="auto"/>
          <w:sz w:val="24"/>
          <w:szCs w:val="24"/>
          <w:shd w:val="clear" w:color="auto" w:fill="FFFFFF"/>
        </w:rPr>
        <w:t>2.依法持有《金融许可证》，并年检合格（提供复印件并加盖本单位公章）；</w:t>
      </w:r>
    </w:p>
    <w:p>
      <w:pPr>
        <w:pStyle w:val="11"/>
        <w:spacing w:line="480" w:lineRule="auto"/>
        <w:ind w:left="481" w:leftChars="229" w:firstLine="120" w:firstLineChars="50"/>
        <w:rPr>
          <w:rFonts w:ascii="宋体" w:hAnsi="宋体" w:cs="微软雅黑"/>
          <w:color w:val="auto"/>
          <w:sz w:val="24"/>
          <w:szCs w:val="24"/>
          <w:shd w:val="clear" w:color="auto" w:fill="FFFFFF"/>
        </w:rPr>
      </w:pPr>
      <w:r>
        <w:rPr>
          <w:rFonts w:hint="eastAsia" w:ascii="宋体" w:hAnsi="宋体" w:cs="微软雅黑"/>
          <w:color w:val="auto"/>
          <w:sz w:val="24"/>
          <w:szCs w:val="24"/>
          <w:shd w:val="clear" w:color="auto" w:fill="FFFFFF"/>
        </w:rPr>
        <w:t>3.资金实力雄厚，资产状况良好，近3年内无重大金融、财经违法行为（提供针对本条款的承诺函并加盖公章）</w:t>
      </w:r>
      <w:r>
        <w:rPr>
          <w:rFonts w:hint="eastAsia" w:ascii="宋体" w:hAnsi="宋体" w:cs="微软雅黑"/>
          <w:color w:val="auto"/>
          <w:sz w:val="24"/>
          <w:shd w:val="clear" w:color="auto" w:fill="FFFFFF"/>
        </w:rPr>
        <w:t>；</w:t>
      </w:r>
    </w:p>
    <w:p>
      <w:pPr>
        <w:pStyle w:val="11"/>
        <w:spacing w:line="480" w:lineRule="auto"/>
        <w:ind w:left="481" w:leftChars="229" w:firstLine="120" w:firstLineChars="50"/>
        <w:rPr>
          <w:rFonts w:ascii="宋体" w:hAnsi="宋体" w:cs="微软雅黑"/>
          <w:color w:val="auto"/>
          <w:sz w:val="24"/>
          <w:szCs w:val="24"/>
          <w:shd w:val="clear" w:color="auto" w:fill="FFFFFF"/>
        </w:rPr>
      </w:pPr>
      <w:r>
        <w:rPr>
          <w:rFonts w:hint="eastAsia" w:ascii="宋体" w:hAnsi="宋体" w:cs="微软雅黑"/>
          <w:color w:val="auto"/>
          <w:sz w:val="24"/>
          <w:szCs w:val="24"/>
          <w:shd w:val="clear" w:color="auto" w:fill="FFFFFF"/>
        </w:rPr>
        <w:t>4.监管评级达到一定标准，人民银行上年度综合评价</w:t>
      </w:r>
      <w:r>
        <w:rPr>
          <w:rFonts w:ascii="宋体" w:hAnsi="宋体" w:cs="微软雅黑"/>
          <w:color w:val="auto"/>
          <w:sz w:val="24"/>
          <w:szCs w:val="24"/>
          <w:shd w:val="clear" w:color="auto" w:fill="FFFFFF"/>
        </w:rPr>
        <w:t>B</w:t>
      </w:r>
      <w:r>
        <w:rPr>
          <w:rFonts w:hint="eastAsia" w:ascii="宋体" w:hAnsi="宋体" w:cs="微软雅黑"/>
          <w:color w:val="auto"/>
          <w:sz w:val="24"/>
          <w:szCs w:val="24"/>
          <w:shd w:val="clear" w:color="auto" w:fill="FFFFFF"/>
        </w:rPr>
        <w:t>级及以上（提供证明材料并加盖公章）；</w:t>
      </w:r>
    </w:p>
    <w:p>
      <w:pPr>
        <w:pStyle w:val="11"/>
        <w:spacing w:line="480" w:lineRule="auto"/>
        <w:ind w:left="481" w:leftChars="229" w:firstLine="120" w:firstLineChars="50"/>
        <w:rPr>
          <w:rFonts w:ascii="宋体" w:hAnsi="宋体" w:cs="微软雅黑"/>
          <w:color w:val="auto"/>
          <w:sz w:val="24"/>
          <w:szCs w:val="24"/>
          <w:shd w:val="clear" w:color="auto" w:fill="FFFFFF"/>
        </w:rPr>
      </w:pPr>
      <w:r>
        <w:rPr>
          <w:rFonts w:hint="eastAsia" w:ascii="宋体" w:hAnsi="宋体" w:cs="微软雅黑"/>
          <w:color w:val="auto"/>
          <w:sz w:val="24"/>
          <w:szCs w:val="24"/>
          <w:shd w:val="clear" w:color="auto" w:fill="FFFFFF"/>
        </w:rPr>
        <w:t>5.资金汇划系统和内部网络安全、稳定可靠,近3年内未发生重大网络安全事件（提供针对本条款的承诺函并加盖公章）；</w:t>
      </w:r>
    </w:p>
    <w:p>
      <w:pPr>
        <w:pStyle w:val="11"/>
        <w:spacing w:line="480" w:lineRule="auto"/>
        <w:ind w:left="481" w:leftChars="229" w:firstLine="120" w:firstLineChars="50"/>
        <w:rPr>
          <w:rFonts w:ascii="宋体" w:hAnsi="宋体" w:cs="微软雅黑"/>
          <w:color w:val="auto"/>
          <w:sz w:val="24"/>
          <w:szCs w:val="24"/>
          <w:highlight w:val="yellow"/>
          <w:shd w:val="clear" w:color="auto" w:fill="FFFFFF"/>
        </w:rPr>
      </w:pPr>
      <w:r>
        <w:rPr>
          <w:rFonts w:hint="eastAsia" w:ascii="宋体" w:hAnsi="宋体" w:cs="微软雅黑"/>
          <w:color w:val="auto"/>
          <w:sz w:val="24"/>
          <w:szCs w:val="24"/>
          <w:shd w:val="clear" w:color="auto" w:fill="FFFFFF"/>
        </w:rPr>
        <w:t>6.内部管理规范，内控制度健全，有严格的操作规程和保密制度；（提供针对本条款的承诺函并加盖公章）；</w:t>
      </w:r>
    </w:p>
    <w:p>
      <w:pPr>
        <w:pStyle w:val="11"/>
        <w:spacing w:line="480" w:lineRule="auto"/>
        <w:ind w:left="481" w:leftChars="229" w:firstLine="120" w:firstLineChars="50"/>
        <w:rPr>
          <w:rFonts w:ascii="宋体" w:hAnsi="宋体" w:cs="微软雅黑"/>
          <w:color w:val="auto"/>
          <w:sz w:val="24"/>
          <w:szCs w:val="24"/>
          <w:shd w:val="clear" w:color="auto" w:fill="FFFFFF"/>
        </w:rPr>
      </w:pPr>
      <w:r>
        <w:rPr>
          <w:rFonts w:hint="eastAsia" w:ascii="宋体" w:hAnsi="宋体" w:cs="微软雅黑"/>
          <w:color w:val="auto"/>
          <w:sz w:val="24"/>
          <w:szCs w:val="24"/>
          <w:shd w:val="clear" w:color="auto" w:fill="FFFFFF"/>
        </w:rPr>
        <w:t>7.一</w:t>
      </w:r>
      <w:r>
        <w:rPr>
          <w:rFonts w:hint="eastAsia" w:ascii="宋体" w:hAnsi="宋体" w:cs="微软雅黑"/>
          <w:color w:val="auto"/>
          <w:sz w:val="24"/>
          <w:szCs w:val="24"/>
          <w:shd w:val="clear" w:color="auto" w:fill="FFFFFF"/>
          <w:lang w:val="en-US" w:eastAsia="zh-CN"/>
        </w:rPr>
        <w:t>家</w:t>
      </w:r>
      <w:r>
        <w:rPr>
          <w:rFonts w:hint="eastAsia" w:ascii="宋体" w:hAnsi="宋体" w:cs="微软雅黑"/>
          <w:color w:val="auto"/>
          <w:sz w:val="24"/>
          <w:szCs w:val="24"/>
          <w:shd w:val="clear" w:color="auto" w:fill="FFFFFF"/>
        </w:rPr>
        <w:t>银行只</w:t>
      </w:r>
      <w:r>
        <w:rPr>
          <w:rFonts w:hint="eastAsia" w:ascii="宋体" w:hAnsi="宋体" w:cs="微软雅黑"/>
          <w:color w:val="auto"/>
          <w:sz w:val="24"/>
          <w:szCs w:val="24"/>
          <w:shd w:val="clear" w:color="auto" w:fill="FFFFFF"/>
          <w:lang w:val="en-US" w:eastAsia="zh-CN"/>
        </w:rPr>
        <w:t>允许</w:t>
      </w:r>
      <w:r>
        <w:rPr>
          <w:rFonts w:hint="eastAsia" w:ascii="宋体" w:hAnsi="宋体" w:cs="微软雅黑"/>
          <w:color w:val="auto"/>
          <w:sz w:val="24"/>
          <w:szCs w:val="24"/>
          <w:shd w:val="clear" w:color="auto" w:fill="FFFFFF"/>
        </w:rPr>
        <w:t>一家</w:t>
      </w:r>
      <w:r>
        <w:rPr>
          <w:rFonts w:hint="eastAsia" w:ascii="宋体" w:hAnsi="宋体" w:cs="微软雅黑"/>
          <w:color w:val="auto"/>
          <w:sz w:val="24"/>
          <w:szCs w:val="24"/>
          <w:shd w:val="clear" w:color="auto" w:fill="FFFFFF"/>
          <w:lang w:val="en-US" w:eastAsia="zh-CN"/>
        </w:rPr>
        <w:t>分</w:t>
      </w:r>
      <w:r>
        <w:rPr>
          <w:rFonts w:hint="eastAsia" w:ascii="宋体" w:hAnsi="宋体" w:cs="微软雅黑"/>
          <w:color w:val="auto"/>
          <w:sz w:val="24"/>
          <w:szCs w:val="24"/>
          <w:shd w:val="clear" w:color="auto" w:fill="FFFFFF"/>
        </w:rPr>
        <w:t>支</w:t>
      </w:r>
      <w:r>
        <w:rPr>
          <w:rFonts w:hint="eastAsia" w:ascii="宋体" w:hAnsi="宋体" w:cs="微软雅黑"/>
          <w:color w:val="auto"/>
          <w:sz w:val="24"/>
          <w:szCs w:val="24"/>
          <w:shd w:val="clear" w:color="auto" w:fill="FFFFFF"/>
          <w:lang w:val="en-US" w:eastAsia="zh-CN"/>
        </w:rPr>
        <w:t>机构</w:t>
      </w:r>
      <w:r>
        <w:rPr>
          <w:rFonts w:hint="eastAsia" w:ascii="宋体" w:hAnsi="宋体" w:cs="微软雅黑"/>
          <w:color w:val="auto"/>
          <w:sz w:val="24"/>
          <w:szCs w:val="24"/>
          <w:shd w:val="clear" w:color="auto" w:fill="FFFFFF"/>
        </w:rPr>
        <w:t>参与本项目投标</w:t>
      </w:r>
      <w:r>
        <w:rPr>
          <w:rFonts w:hint="eastAsia" w:ascii="宋体" w:hAnsi="宋体" w:cs="微软雅黑"/>
          <w:color w:val="auto"/>
          <w:sz w:val="24"/>
          <w:shd w:val="clear" w:color="auto" w:fill="FFFFFF"/>
        </w:rPr>
        <w:t>；</w:t>
      </w:r>
    </w:p>
    <w:p>
      <w:pPr>
        <w:pStyle w:val="11"/>
        <w:spacing w:line="480" w:lineRule="auto"/>
        <w:ind w:left="481" w:leftChars="229" w:firstLine="120" w:firstLineChars="50"/>
        <w:rPr>
          <w:rFonts w:ascii="宋体" w:hAnsi="宋体" w:cs="微软雅黑"/>
          <w:color w:val="auto"/>
          <w:sz w:val="24"/>
          <w:szCs w:val="24"/>
          <w:shd w:val="clear" w:color="auto" w:fill="FFFFFF"/>
        </w:rPr>
      </w:pPr>
      <w:r>
        <w:rPr>
          <w:rFonts w:hint="eastAsia" w:ascii="宋体" w:hAnsi="宋体" w:cs="微软雅黑"/>
          <w:color w:val="auto"/>
          <w:sz w:val="24"/>
          <w:szCs w:val="24"/>
          <w:shd w:val="clear" w:color="auto" w:fill="FFFFFF"/>
        </w:rPr>
        <w:t>8.其他资格：营业执照（副本）、税务登记证（三证合一除外）、组织机构代码证（三证合一除外）（提供复印件并加盖本单位公章）；</w:t>
      </w:r>
    </w:p>
    <w:p>
      <w:pPr>
        <w:pStyle w:val="11"/>
        <w:spacing w:line="480" w:lineRule="auto"/>
        <w:ind w:left="481" w:leftChars="229" w:firstLine="120" w:firstLineChars="50"/>
        <w:rPr>
          <w:rFonts w:ascii="宋体" w:hAnsi="宋体" w:cs="微软雅黑"/>
          <w:color w:val="auto"/>
          <w:sz w:val="24"/>
          <w:szCs w:val="24"/>
          <w:shd w:val="clear" w:color="auto" w:fill="FFFFFF"/>
        </w:rPr>
      </w:pPr>
      <w:r>
        <w:rPr>
          <w:rFonts w:hint="eastAsia" w:ascii="宋体" w:hAnsi="宋体" w:cs="微软雅黑"/>
          <w:color w:val="auto"/>
          <w:sz w:val="24"/>
          <w:szCs w:val="24"/>
          <w:shd w:val="clear" w:color="auto" w:fill="FFFFFF"/>
        </w:rPr>
        <w:t>9.投标单位授权投标人的委托书（正本提供原件）；</w:t>
      </w:r>
    </w:p>
    <w:p>
      <w:pPr>
        <w:pStyle w:val="11"/>
        <w:spacing w:line="480" w:lineRule="auto"/>
        <w:ind w:left="481" w:leftChars="229" w:firstLine="120" w:firstLineChars="50"/>
        <w:rPr>
          <w:rFonts w:ascii="宋体" w:hAnsi="宋体" w:cs="微软雅黑"/>
          <w:color w:val="auto"/>
          <w:sz w:val="24"/>
          <w:szCs w:val="24"/>
          <w:shd w:val="clear" w:color="auto" w:fill="FFFFFF"/>
        </w:rPr>
      </w:pPr>
      <w:r>
        <w:rPr>
          <w:rFonts w:hint="eastAsia" w:ascii="宋体" w:hAnsi="宋体" w:cs="微软雅黑"/>
          <w:color w:val="auto"/>
          <w:sz w:val="24"/>
          <w:szCs w:val="24"/>
          <w:shd w:val="clear" w:color="auto" w:fill="FFFFFF"/>
        </w:rPr>
        <w:t>10.投标单位负责人及委托人的身份证明（正本提供原件）；</w:t>
      </w:r>
    </w:p>
    <w:p>
      <w:pPr>
        <w:pStyle w:val="11"/>
        <w:spacing w:line="480" w:lineRule="auto"/>
        <w:ind w:left="481" w:leftChars="229" w:firstLine="120" w:firstLineChars="50"/>
        <w:rPr>
          <w:rFonts w:ascii="宋体" w:hAnsi="宋体" w:cs="微软雅黑"/>
          <w:color w:val="000000"/>
          <w:sz w:val="24"/>
          <w:szCs w:val="24"/>
          <w:shd w:val="clear" w:color="auto" w:fill="FFFFFF"/>
        </w:rPr>
      </w:pPr>
      <w:r>
        <w:rPr>
          <w:rFonts w:hint="eastAsia" w:ascii="宋体" w:hAnsi="宋体" w:cs="微软雅黑"/>
          <w:color w:val="000000"/>
          <w:sz w:val="24"/>
          <w:szCs w:val="24"/>
          <w:shd w:val="clear" w:color="auto" w:fill="FFFFFF"/>
        </w:rPr>
        <w:t>11.本次招标不接受联合体投标。</w:t>
      </w:r>
    </w:p>
    <w:p>
      <w:pPr>
        <w:numPr>
          <w:ilvl w:val="0"/>
          <w:numId w:val="1"/>
        </w:numPr>
        <w:adjustRightInd w:val="0"/>
        <w:spacing w:line="360" w:lineRule="atLeast"/>
        <w:jc w:val="left"/>
        <w:textAlignment w:val="baseline"/>
        <w:rPr>
          <w:b/>
          <w:sz w:val="24"/>
        </w:rPr>
      </w:pPr>
      <w:r>
        <w:rPr>
          <w:rFonts w:hint="eastAsia"/>
          <w:b/>
          <w:sz w:val="24"/>
        </w:rPr>
        <w:t>售后服务及培训要求</w:t>
      </w:r>
    </w:p>
    <w:p>
      <w:pPr>
        <w:adjustRightInd w:val="0"/>
        <w:spacing w:line="360" w:lineRule="atLeast"/>
        <w:ind w:left="420"/>
        <w:jc w:val="left"/>
        <w:textAlignment w:val="baseline"/>
        <w:rPr>
          <w:b/>
          <w:sz w:val="24"/>
        </w:rPr>
      </w:pPr>
      <w:r>
        <w:rPr>
          <w:rFonts w:hint="eastAsia"/>
          <w:b/>
          <w:sz w:val="24"/>
        </w:rPr>
        <w:t>按照最终与中标银行约定的利率结算利息。</w:t>
      </w:r>
    </w:p>
    <w:p>
      <w:pPr>
        <w:numPr>
          <w:ilvl w:val="0"/>
          <w:numId w:val="1"/>
        </w:numPr>
        <w:adjustRightInd w:val="0"/>
        <w:spacing w:line="360" w:lineRule="atLeast"/>
        <w:jc w:val="left"/>
        <w:textAlignment w:val="baseline"/>
        <w:rPr>
          <w:b/>
          <w:sz w:val="24"/>
        </w:rPr>
      </w:pPr>
      <w:r>
        <w:rPr>
          <w:rFonts w:hint="eastAsia"/>
          <w:b/>
          <w:sz w:val="24"/>
        </w:rPr>
        <w:t>交货时间及地点</w:t>
      </w:r>
    </w:p>
    <w:p>
      <w:pPr>
        <w:numPr>
          <w:ilvl w:val="0"/>
          <w:numId w:val="1"/>
        </w:numPr>
        <w:adjustRightInd w:val="0"/>
        <w:spacing w:line="360" w:lineRule="atLeast"/>
        <w:jc w:val="left"/>
        <w:textAlignment w:val="baseline"/>
        <w:rPr>
          <w:b/>
          <w:sz w:val="24"/>
        </w:rPr>
      </w:pPr>
      <w:r>
        <w:rPr>
          <w:rFonts w:hint="eastAsia"/>
          <w:b/>
          <w:sz w:val="24"/>
        </w:rPr>
        <w:t>验收服务要求</w:t>
      </w:r>
    </w:p>
    <w:p>
      <w:pPr>
        <w:numPr>
          <w:ilvl w:val="0"/>
          <w:numId w:val="1"/>
        </w:numPr>
        <w:adjustRightInd w:val="0"/>
        <w:spacing w:line="360" w:lineRule="atLeast"/>
        <w:jc w:val="left"/>
        <w:textAlignment w:val="baseline"/>
        <w:rPr>
          <w:b/>
          <w:sz w:val="24"/>
        </w:rPr>
      </w:pPr>
      <w:r>
        <w:rPr>
          <w:rFonts w:hint="eastAsia"/>
          <w:b/>
          <w:sz w:val="24"/>
        </w:rPr>
        <w:t>付款方式</w:t>
      </w:r>
    </w:p>
    <w:p>
      <w:pPr>
        <w:numPr>
          <w:ilvl w:val="0"/>
          <w:numId w:val="1"/>
        </w:numPr>
        <w:adjustRightInd w:val="0"/>
        <w:spacing w:line="360" w:lineRule="atLeast"/>
        <w:jc w:val="left"/>
        <w:textAlignment w:val="baseline"/>
        <w:rPr>
          <w:b/>
          <w:sz w:val="24"/>
        </w:rPr>
      </w:pPr>
      <w:r>
        <w:rPr>
          <w:rFonts w:hint="eastAsia"/>
          <w:b/>
          <w:sz w:val="24"/>
        </w:rPr>
        <w:t>其他相关要求</w:t>
      </w:r>
    </w:p>
    <w:p>
      <w:pPr>
        <w:numPr>
          <w:ilvl w:val="0"/>
          <w:numId w:val="1"/>
        </w:numPr>
        <w:adjustRightInd w:val="0"/>
        <w:spacing w:line="360" w:lineRule="atLeast"/>
        <w:jc w:val="left"/>
        <w:textAlignment w:val="baseline"/>
        <w:rPr>
          <w:b/>
          <w:sz w:val="24"/>
        </w:rPr>
      </w:pPr>
      <w:r>
        <w:rPr>
          <w:rFonts w:hint="eastAsia"/>
          <w:b/>
          <w:sz w:val="24"/>
        </w:rPr>
        <w:t>特殊资质条款</w:t>
      </w:r>
    </w:p>
    <w:p>
      <w:pPr>
        <w:numPr>
          <w:ilvl w:val="0"/>
          <w:numId w:val="1"/>
        </w:numPr>
        <w:adjustRightInd w:val="0"/>
        <w:spacing w:line="360" w:lineRule="atLeast"/>
        <w:jc w:val="left"/>
        <w:textAlignment w:val="baseline"/>
        <w:rPr>
          <w:b/>
          <w:sz w:val="24"/>
        </w:rPr>
      </w:pPr>
      <w:r>
        <w:rPr>
          <w:rFonts w:hint="eastAsia"/>
          <w:b/>
          <w:sz w:val="24"/>
        </w:rPr>
        <w:t>合同条款</w:t>
      </w:r>
    </w:p>
    <w:p>
      <w:pPr>
        <w:numPr>
          <w:ilvl w:val="0"/>
          <w:numId w:val="1"/>
        </w:numPr>
        <w:adjustRightInd w:val="0"/>
        <w:spacing w:line="360" w:lineRule="atLeast"/>
        <w:jc w:val="left"/>
        <w:textAlignment w:val="baseline"/>
        <w:rPr>
          <w:b/>
          <w:sz w:val="24"/>
        </w:rPr>
      </w:pPr>
      <w:r>
        <w:rPr>
          <w:rFonts w:hint="eastAsia"/>
          <w:b/>
          <w:sz w:val="24"/>
        </w:rPr>
        <w:t>项目联系人信息</w:t>
      </w:r>
    </w:p>
    <w:p>
      <w:pPr>
        <w:adjustRightInd w:val="0"/>
        <w:spacing w:line="360" w:lineRule="atLeast"/>
        <w:ind w:left="420"/>
        <w:jc w:val="left"/>
        <w:textAlignment w:val="baseline"/>
        <w:rPr>
          <w:b/>
          <w:szCs w:val="21"/>
        </w:rPr>
      </w:pPr>
    </w:p>
    <w:p>
      <w:pPr>
        <w:rPr>
          <w:rFonts w:ascii="黑体" w:hAnsi="黑体" w:eastAsia="黑体"/>
          <w:bCs/>
          <w:sz w:val="32"/>
          <w:szCs w:val="32"/>
        </w:rPr>
      </w:pPr>
    </w:p>
    <w:p>
      <w:pPr>
        <w:rPr>
          <w:rFonts w:ascii="黑体" w:hAnsi="黑体" w:eastAsia="黑体"/>
          <w:bCs/>
          <w:sz w:val="32"/>
          <w:szCs w:val="32"/>
        </w:rPr>
      </w:pPr>
      <w:r>
        <w:rPr>
          <w:rFonts w:ascii="黑体" w:hAnsi="黑体" w:eastAsia="黑体"/>
          <w:bCs/>
          <w:sz w:val="32"/>
          <w:szCs w:val="32"/>
        </w:rPr>
        <w:br w:type="page"/>
      </w:r>
      <w:r>
        <w:rPr>
          <w:rFonts w:ascii="黑体" w:hAnsi="黑体" w:eastAsia="黑体"/>
          <w:bCs/>
          <w:sz w:val="32"/>
          <w:szCs w:val="32"/>
        </w:rPr>
        <w:t xml:space="preserve"> </w:t>
      </w:r>
    </w:p>
    <w:p>
      <w:pPr>
        <w:jc w:val="center"/>
        <w:rPr>
          <w:rFonts w:hint="eastAsia" w:ascii="仿宋_GB2312"/>
          <w:b/>
          <w:sz w:val="30"/>
          <w:szCs w:val="30"/>
        </w:rPr>
      </w:pPr>
      <w:r>
        <w:rPr>
          <w:rFonts w:hint="eastAsia" w:ascii="仿宋_GB2312"/>
          <w:b/>
          <w:sz w:val="30"/>
          <w:szCs w:val="30"/>
        </w:rPr>
        <w:t>定期存款银行评分指标汇总表</w:t>
      </w:r>
    </w:p>
    <w:p>
      <w:pPr>
        <w:jc w:val="center"/>
        <w:rPr>
          <w:rFonts w:hint="eastAsia" w:ascii="仿宋_GB2312"/>
          <w:b/>
          <w:sz w:val="30"/>
          <w:szCs w:val="30"/>
        </w:rPr>
      </w:pPr>
    </w:p>
    <w:tbl>
      <w:tblPr>
        <w:tblStyle w:val="5"/>
        <w:tblW w:w="9574"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1984"/>
        <w:gridCol w:w="993"/>
        <w:gridCol w:w="992"/>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211" w:type="dxa"/>
            <w:vMerge w:val="restart"/>
            <w:vAlign w:val="center"/>
          </w:tcPr>
          <w:p>
            <w:pPr>
              <w:jc w:val="center"/>
              <w:rPr>
                <w:rFonts w:ascii="仿宋_GB2312"/>
                <w:szCs w:val="32"/>
              </w:rPr>
            </w:pPr>
            <w:r>
              <w:rPr>
                <w:rFonts w:hint="eastAsia" w:ascii="仿宋_GB2312"/>
                <w:szCs w:val="32"/>
              </w:rPr>
              <w:t>类别</w:t>
            </w:r>
          </w:p>
        </w:tc>
        <w:tc>
          <w:tcPr>
            <w:tcW w:w="1984" w:type="dxa"/>
            <w:vMerge w:val="restart"/>
            <w:vAlign w:val="center"/>
          </w:tcPr>
          <w:p>
            <w:pPr>
              <w:jc w:val="center"/>
              <w:rPr>
                <w:rFonts w:ascii="仿宋_GB2312"/>
                <w:szCs w:val="32"/>
              </w:rPr>
            </w:pPr>
            <w:r>
              <w:rPr>
                <w:rFonts w:hint="eastAsia" w:ascii="仿宋_GB2312"/>
                <w:szCs w:val="32"/>
              </w:rPr>
              <w:t>分项指标</w:t>
            </w:r>
          </w:p>
        </w:tc>
        <w:tc>
          <w:tcPr>
            <w:tcW w:w="993" w:type="dxa"/>
            <w:vMerge w:val="restart"/>
            <w:vAlign w:val="center"/>
          </w:tcPr>
          <w:p>
            <w:pPr>
              <w:jc w:val="center"/>
            </w:pPr>
            <w:r>
              <w:rPr>
                <w:rFonts w:hint="eastAsia" w:ascii="仿宋_GB2312"/>
                <w:sz w:val="24"/>
              </w:rPr>
              <w:t>权重合计</w:t>
            </w:r>
          </w:p>
        </w:tc>
        <w:tc>
          <w:tcPr>
            <w:tcW w:w="992" w:type="dxa"/>
            <w:vMerge w:val="restart"/>
            <w:vAlign w:val="center"/>
          </w:tcPr>
          <w:p>
            <w:pPr>
              <w:jc w:val="center"/>
              <w:rPr>
                <w:rFonts w:ascii="仿宋_GB2312"/>
                <w:szCs w:val="32"/>
              </w:rPr>
            </w:pPr>
            <w:r>
              <w:rPr>
                <w:rFonts w:hint="eastAsia" w:ascii="仿宋_GB2312"/>
                <w:szCs w:val="32"/>
              </w:rPr>
              <w:t>权重</w:t>
            </w:r>
          </w:p>
        </w:tc>
        <w:tc>
          <w:tcPr>
            <w:tcW w:w="4394" w:type="dxa"/>
            <w:vMerge w:val="restart"/>
            <w:vAlign w:val="center"/>
          </w:tcPr>
          <w:p>
            <w:pPr>
              <w:jc w:val="center"/>
              <w:rPr>
                <w:rFonts w:ascii="仿宋_GB2312"/>
                <w:szCs w:val="32"/>
              </w:rPr>
            </w:pPr>
            <w:r>
              <w:rPr>
                <w:rFonts w:hint="eastAsia" w:ascii="仿宋_GB2312"/>
                <w:szCs w:val="32"/>
              </w:rPr>
              <w:t>备选银行得分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11" w:type="dxa"/>
            <w:vMerge w:val="continue"/>
          </w:tcPr>
          <w:p>
            <w:pPr>
              <w:jc w:val="center"/>
              <w:rPr>
                <w:rFonts w:ascii="仿宋_GB2312"/>
                <w:szCs w:val="32"/>
              </w:rPr>
            </w:pPr>
          </w:p>
        </w:tc>
        <w:tc>
          <w:tcPr>
            <w:tcW w:w="1984" w:type="dxa"/>
            <w:vMerge w:val="continue"/>
          </w:tcPr>
          <w:p>
            <w:pPr>
              <w:jc w:val="center"/>
              <w:rPr>
                <w:rFonts w:ascii="仿宋_GB2312"/>
                <w:szCs w:val="32"/>
              </w:rPr>
            </w:pPr>
          </w:p>
        </w:tc>
        <w:tc>
          <w:tcPr>
            <w:tcW w:w="993" w:type="dxa"/>
            <w:vMerge w:val="continue"/>
            <w:vAlign w:val="center"/>
          </w:tcPr>
          <w:p>
            <w:pPr>
              <w:jc w:val="center"/>
              <w:rPr>
                <w:rFonts w:ascii="仿宋_GB2312"/>
                <w:sz w:val="24"/>
              </w:rPr>
            </w:pPr>
          </w:p>
        </w:tc>
        <w:tc>
          <w:tcPr>
            <w:tcW w:w="992" w:type="dxa"/>
            <w:vMerge w:val="continue"/>
            <w:vAlign w:val="center"/>
          </w:tcPr>
          <w:p>
            <w:pPr>
              <w:jc w:val="center"/>
              <w:rPr>
                <w:rFonts w:ascii="仿宋_GB2312"/>
                <w:szCs w:val="32"/>
              </w:rPr>
            </w:pPr>
          </w:p>
        </w:tc>
        <w:tc>
          <w:tcPr>
            <w:tcW w:w="4394" w:type="dxa"/>
            <w:vMerge w:val="continue"/>
            <w:vAlign w:val="center"/>
          </w:tcPr>
          <w:p>
            <w:pPr>
              <w:jc w:val="center"/>
              <w:rPr>
                <w:rFonts w:ascii="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1211" w:type="dxa"/>
            <w:vMerge w:val="restart"/>
            <w:vAlign w:val="center"/>
          </w:tcPr>
          <w:p>
            <w:pPr>
              <w:spacing w:line="240" w:lineRule="exact"/>
              <w:jc w:val="center"/>
              <w:rPr>
                <w:rFonts w:ascii="仿宋_GB2312" w:hAnsi="宋体"/>
                <w:sz w:val="24"/>
              </w:rPr>
            </w:pPr>
          </w:p>
          <w:p>
            <w:pPr>
              <w:spacing w:line="240" w:lineRule="exact"/>
              <w:jc w:val="center"/>
              <w:rPr>
                <w:rFonts w:ascii="仿宋_GB2312" w:hAnsi="宋体"/>
                <w:sz w:val="24"/>
              </w:rPr>
            </w:pPr>
          </w:p>
          <w:p>
            <w:pPr>
              <w:spacing w:line="240" w:lineRule="exact"/>
              <w:jc w:val="center"/>
              <w:rPr>
                <w:rFonts w:ascii="仿宋_GB2312" w:hAnsi="宋体"/>
                <w:sz w:val="24"/>
              </w:rPr>
            </w:pPr>
            <w:r>
              <w:rPr>
                <w:rFonts w:hint="eastAsia" w:ascii="仿宋_GB2312" w:hAnsi="宋体"/>
                <w:sz w:val="24"/>
              </w:rPr>
              <w:t>经营状况</w:t>
            </w:r>
          </w:p>
        </w:tc>
        <w:tc>
          <w:tcPr>
            <w:tcW w:w="1984" w:type="dxa"/>
            <w:vAlign w:val="center"/>
          </w:tcPr>
          <w:p>
            <w:pPr>
              <w:spacing w:line="240" w:lineRule="exact"/>
              <w:jc w:val="center"/>
              <w:rPr>
                <w:rFonts w:ascii="仿宋_GB2312" w:hAnsi="宋体"/>
                <w:sz w:val="24"/>
              </w:rPr>
            </w:pPr>
            <w:r>
              <w:rPr>
                <w:rFonts w:hint="eastAsia" w:ascii="仿宋_GB2312" w:hAnsi="宋体"/>
                <w:sz w:val="24"/>
              </w:rPr>
              <w:t>净资产总额</w:t>
            </w:r>
          </w:p>
        </w:tc>
        <w:tc>
          <w:tcPr>
            <w:tcW w:w="993" w:type="dxa"/>
            <w:vMerge w:val="restart"/>
            <w:vAlign w:val="center"/>
          </w:tcPr>
          <w:p>
            <w:pPr>
              <w:spacing w:line="240" w:lineRule="exact"/>
              <w:jc w:val="center"/>
              <w:rPr>
                <w:rFonts w:ascii="仿宋_GB2312" w:hAnsi="宋体"/>
                <w:sz w:val="24"/>
              </w:rPr>
            </w:pPr>
            <w:r>
              <w:rPr>
                <w:rFonts w:hint="eastAsia" w:ascii="仿宋_GB2312" w:hAnsi="宋体"/>
                <w:sz w:val="24"/>
              </w:rPr>
              <w:t>45</w:t>
            </w:r>
          </w:p>
        </w:tc>
        <w:tc>
          <w:tcPr>
            <w:tcW w:w="992" w:type="dxa"/>
            <w:vAlign w:val="center"/>
          </w:tcPr>
          <w:p>
            <w:pPr>
              <w:spacing w:line="240" w:lineRule="exact"/>
              <w:jc w:val="center"/>
              <w:rPr>
                <w:rFonts w:ascii="仿宋_GB2312" w:hAnsi="宋体"/>
                <w:sz w:val="24"/>
              </w:rPr>
            </w:pPr>
            <w:r>
              <w:rPr>
                <w:rFonts w:hint="eastAsia" w:ascii="仿宋_GB2312" w:hAnsi="宋体"/>
                <w:sz w:val="24"/>
              </w:rPr>
              <w:t>9</w:t>
            </w:r>
          </w:p>
        </w:tc>
        <w:tc>
          <w:tcPr>
            <w:tcW w:w="4394" w:type="dxa"/>
          </w:tcPr>
          <w:p>
            <w:pPr>
              <w:spacing w:line="240" w:lineRule="exact"/>
              <w:jc w:val="left"/>
              <w:rPr>
                <w:rFonts w:ascii="仿宋_GB2312" w:hAnsi="宋体"/>
                <w:sz w:val="24"/>
              </w:rPr>
            </w:pPr>
          </w:p>
          <w:p>
            <w:pPr>
              <w:spacing w:line="240" w:lineRule="exact"/>
              <w:jc w:val="left"/>
              <w:rPr>
                <w:rFonts w:ascii="仿宋_GB2312" w:hAnsi="宋体"/>
                <w:sz w:val="24"/>
              </w:rPr>
            </w:pPr>
            <w:r>
              <w:rPr>
                <w:rFonts w:hint="eastAsia" w:ascii="仿宋_GB2312" w:hAnsi="宋体"/>
                <w:sz w:val="24"/>
              </w:rPr>
              <w:t>净资产总额≥1,000,000百万元，得9分；</w:t>
            </w:r>
          </w:p>
          <w:p>
            <w:pPr>
              <w:spacing w:line="240" w:lineRule="exact"/>
              <w:jc w:val="left"/>
              <w:rPr>
                <w:rFonts w:ascii="仿宋_GB2312" w:hAnsi="宋体"/>
                <w:sz w:val="24"/>
              </w:rPr>
            </w:pPr>
            <w:r>
              <w:rPr>
                <w:rFonts w:hint="eastAsia" w:ascii="仿宋_GB2312" w:hAnsi="宋体"/>
                <w:sz w:val="24"/>
              </w:rPr>
              <w:t>100,000百万元≤净资产总额&lt;1,000,000百万元，得5分；</w:t>
            </w:r>
          </w:p>
          <w:p>
            <w:pPr>
              <w:spacing w:line="240" w:lineRule="exact"/>
              <w:jc w:val="left"/>
              <w:rPr>
                <w:rFonts w:ascii="仿宋_GB2312" w:hAnsi="宋体"/>
                <w:sz w:val="24"/>
              </w:rPr>
            </w:pPr>
            <w:r>
              <w:rPr>
                <w:rFonts w:hint="eastAsia" w:ascii="仿宋_GB2312" w:hAnsi="宋体"/>
                <w:sz w:val="24"/>
              </w:rPr>
              <w:t>净资产总额&lt;100,000百万元，得0分；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1211" w:type="dxa"/>
            <w:vMerge w:val="continue"/>
            <w:vAlign w:val="center"/>
          </w:tcPr>
          <w:p>
            <w:pPr>
              <w:spacing w:line="240" w:lineRule="exact"/>
              <w:jc w:val="center"/>
              <w:rPr>
                <w:rFonts w:ascii="仿宋_GB2312" w:hAnsi="宋体"/>
                <w:sz w:val="24"/>
              </w:rPr>
            </w:pPr>
          </w:p>
        </w:tc>
        <w:tc>
          <w:tcPr>
            <w:tcW w:w="1984" w:type="dxa"/>
            <w:vAlign w:val="center"/>
          </w:tcPr>
          <w:p>
            <w:pPr>
              <w:spacing w:line="240" w:lineRule="exact"/>
              <w:jc w:val="center"/>
              <w:rPr>
                <w:rFonts w:ascii="仿宋_GB2312" w:hAnsi="宋体"/>
                <w:sz w:val="24"/>
              </w:rPr>
            </w:pPr>
            <w:r>
              <w:rPr>
                <w:rFonts w:hint="eastAsia" w:ascii="仿宋_GB2312" w:hAnsi="宋体"/>
                <w:sz w:val="24"/>
              </w:rPr>
              <w:t>资本充足率</w:t>
            </w:r>
          </w:p>
        </w:tc>
        <w:tc>
          <w:tcPr>
            <w:tcW w:w="993" w:type="dxa"/>
            <w:vMerge w:val="continue"/>
            <w:vAlign w:val="center"/>
          </w:tcPr>
          <w:p>
            <w:pPr>
              <w:spacing w:line="240" w:lineRule="exact"/>
              <w:jc w:val="center"/>
              <w:rPr>
                <w:rFonts w:ascii="仿宋_GB2312" w:hAnsi="宋体"/>
                <w:sz w:val="24"/>
              </w:rPr>
            </w:pPr>
          </w:p>
        </w:tc>
        <w:tc>
          <w:tcPr>
            <w:tcW w:w="992" w:type="dxa"/>
            <w:vAlign w:val="center"/>
          </w:tcPr>
          <w:p>
            <w:pPr>
              <w:spacing w:line="240" w:lineRule="exact"/>
              <w:jc w:val="center"/>
              <w:rPr>
                <w:rFonts w:ascii="仿宋_GB2312" w:hAnsi="宋体"/>
                <w:sz w:val="24"/>
              </w:rPr>
            </w:pPr>
            <w:r>
              <w:rPr>
                <w:rFonts w:hint="eastAsia" w:ascii="仿宋_GB2312" w:hAnsi="宋体"/>
                <w:sz w:val="24"/>
              </w:rPr>
              <w:t>9</w:t>
            </w:r>
          </w:p>
        </w:tc>
        <w:tc>
          <w:tcPr>
            <w:tcW w:w="4394" w:type="dxa"/>
            <w:vAlign w:val="center"/>
          </w:tcPr>
          <w:p>
            <w:pPr>
              <w:spacing w:line="240" w:lineRule="exact"/>
              <w:rPr>
                <w:rFonts w:ascii="仿宋_GB2312" w:hAnsi="宋体"/>
                <w:sz w:val="24"/>
              </w:rPr>
            </w:pPr>
            <w:r>
              <w:rPr>
                <w:rFonts w:hint="eastAsia" w:ascii="仿宋_GB2312" w:hAnsi="宋体"/>
                <w:sz w:val="24"/>
              </w:rPr>
              <w:t>资本充足率≥15%,得9分；</w:t>
            </w:r>
          </w:p>
          <w:p>
            <w:pPr>
              <w:spacing w:line="240" w:lineRule="exact"/>
              <w:rPr>
                <w:rFonts w:ascii="仿宋_GB2312" w:hAnsi="宋体"/>
                <w:sz w:val="24"/>
              </w:rPr>
            </w:pPr>
            <w:r>
              <w:rPr>
                <w:rFonts w:hint="eastAsia" w:ascii="仿宋_GB2312" w:hAnsi="宋体"/>
                <w:sz w:val="24"/>
              </w:rPr>
              <w:t>10%≤资本充足率&lt;15%，得5分；</w:t>
            </w:r>
          </w:p>
          <w:p>
            <w:pPr>
              <w:spacing w:line="240" w:lineRule="exact"/>
              <w:rPr>
                <w:rFonts w:ascii="仿宋_GB2312" w:hAnsi="宋体"/>
                <w:sz w:val="24"/>
              </w:rPr>
            </w:pPr>
            <w:r>
              <w:rPr>
                <w:rFonts w:hint="eastAsia" w:ascii="仿宋_GB2312" w:hAnsi="宋体"/>
                <w:sz w:val="24"/>
              </w:rPr>
              <w:t>资本充足率&lt;10%，得0分；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211" w:type="dxa"/>
            <w:vMerge w:val="continue"/>
            <w:vAlign w:val="center"/>
          </w:tcPr>
          <w:p>
            <w:pPr>
              <w:spacing w:line="240" w:lineRule="exact"/>
              <w:jc w:val="center"/>
              <w:rPr>
                <w:rFonts w:ascii="仿宋_GB2312" w:hAnsi="宋体"/>
                <w:sz w:val="24"/>
              </w:rPr>
            </w:pPr>
          </w:p>
        </w:tc>
        <w:tc>
          <w:tcPr>
            <w:tcW w:w="1984" w:type="dxa"/>
            <w:vAlign w:val="center"/>
          </w:tcPr>
          <w:p>
            <w:pPr>
              <w:spacing w:line="240" w:lineRule="exact"/>
              <w:jc w:val="center"/>
              <w:rPr>
                <w:rFonts w:ascii="仿宋_GB2312" w:hAnsi="宋体"/>
                <w:sz w:val="24"/>
              </w:rPr>
            </w:pPr>
            <w:r>
              <w:rPr>
                <w:rFonts w:hint="eastAsia" w:ascii="仿宋_GB2312" w:hAnsi="宋体"/>
                <w:sz w:val="24"/>
              </w:rPr>
              <w:t>不良贷款率</w:t>
            </w:r>
          </w:p>
        </w:tc>
        <w:tc>
          <w:tcPr>
            <w:tcW w:w="993" w:type="dxa"/>
            <w:vMerge w:val="continue"/>
            <w:vAlign w:val="center"/>
          </w:tcPr>
          <w:p>
            <w:pPr>
              <w:spacing w:line="240" w:lineRule="exact"/>
              <w:jc w:val="center"/>
              <w:rPr>
                <w:rFonts w:ascii="仿宋_GB2312" w:hAnsi="宋体"/>
                <w:sz w:val="24"/>
              </w:rPr>
            </w:pPr>
          </w:p>
        </w:tc>
        <w:tc>
          <w:tcPr>
            <w:tcW w:w="992" w:type="dxa"/>
            <w:vAlign w:val="center"/>
          </w:tcPr>
          <w:p>
            <w:pPr>
              <w:spacing w:line="240" w:lineRule="exact"/>
              <w:jc w:val="center"/>
              <w:rPr>
                <w:rFonts w:ascii="仿宋_GB2312" w:hAnsi="宋体"/>
                <w:sz w:val="24"/>
              </w:rPr>
            </w:pPr>
            <w:r>
              <w:rPr>
                <w:rFonts w:hint="eastAsia" w:ascii="仿宋_GB2312" w:hAnsi="宋体"/>
                <w:sz w:val="24"/>
              </w:rPr>
              <w:t>9</w:t>
            </w:r>
          </w:p>
        </w:tc>
        <w:tc>
          <w:tcPr>
            <w:tcW w:w="4394" w:type="dxa"/>
            <w:vAlign w:val="center"/>
          </w:tcPr>
          <w:p>
            <w:pPr>
              <w:spacing w:line="240" w:lineRule="exact"/>
              <w:rPr>
                <w:rFonts w:ascii="仿宋_GB2312" w:hAnsi="宋体"/>
                <w:sz w:val="24"/>
              </w:rPr>
            </w:pPr>
            <w:r>
              <w:rPr>
                <w:rFonts w:hint="eastAsia" w:ascii="仿宋_GB2312" w:hAnsi="宋体"/>
                <w:sz w:val="24"/>
              </w:rPr>
              <w:t>不良贷款率≤2%，得9分；</w:t>
            </w:r>
          </w:p>
          <w:p>
            <w:pPr>
              <w:spacing w:line="240" w:lineRule="exact"/>
              <w:rPr>
                <w:rFonts w:ascii="仿宋_GB2312" w:hAnsi="宋体"/>
                <w:sz w:val="24"/>
              </w:rPr>
            </w:pPr>
            <w:r>
              <w:rPr>
                <w:rFonts w:hint="eastAsia" w:ascii="仿宋_GB2312" w:hAnsi="宋体"/>
                <w:sz w:val="24"/>
              </w:rPr>
              <w:t>2%&lt;不良贷款率≤5%得，得5分；</w:t>
            </w:r>
          </w:p>
          <w:p>
            <w:pPr>
              <w:spacing w:line="240" w:lineRule="exact"/>
              <w:rPr>
                <w:rFonts w:ascii="仿宋_GB2312" w:hAnsi="宋体"/>
                <w:sz w:val="24"/>
              </w:rPr>
            </w:pPr>
            <w:r>
              <w:rPr>
                <w:rFonts w:hint="eastAsia" w:ascii="仿宋_GB2312" w:hAnsi="宋体"/>
                <w:sz w:val="24"/>
              </w:rPr>
              <w:t>不良贷款率&gt;5%得，得0分；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211" w:type="dxa"/>
            <w:vMerge w:val="continue"/>
            <w:vAlign w:val="center"/>
          </w:tcPr>
          <w:p>
            <w:pPr>
              <w:spacing w:line="240" w:lineRule="exact"/>
              <w:jc w:val="center"/>
              <w:rPr>
                <w:rFonts w:ascii="仿宋_GB2312" w:hAnsi="宋体"/>
                <w:sz w:val="24"/>
              </w:rPr>
            </w:pPr>
          </w:p>
        </w:tc>
        <w:tc>
          <w:tcPr>
            <w:tcW w:w="1984" w:type="dxa"/>
            <w:vAlign w:val="center"/>
          </w:tcPr>
          <w:p>
            <w:pPr>
              <w:spacing w:line="240" w:lineRule="exact"/>
              <w:jc w:val="center"/>
              <w:rPr>
                <w:rFonts w:ascii="仿宋_GB2312" w:hAnsi="宋体"/>
                <w:sz w:val="24"/>
              </w:rPr>
            </w:pPr>
            <w:r>
              <w:rPr>
                <w:rFonts w:hint="eastAsia" w:ascii="仿宋_GB2312" w:hAnsi="宋体"/>
                <w:sz w:val="24"/>
              </w:rPr>
              <w:t>净资产利润率</w:t>
            </w:r>
          </w:p>
        </w:tc>
        <w:tc>
          <w:tcPr>
            <w:tcW w:w="993" w:type="dxa"/>
            <w:vMerge w:val="continue"/>
            <w:vAlign w:val="center"/>
          </w:tcPr>
          <w:p>
            <w:pPr>
              <w:spacing w:line="240" w:lineRule="exact"/>
              <w:jc w:val="center"/>
              <w:rPr>
                <w:rFonts w:ascii="仿宋_GB2312" w:hAnsi="宋体"/>
                <w:sz w:val="24"/>
              </w:rPr>
            </w:pPr>
          </w:p>
        </w:tc>
        <w:tc>
          <w:tcPr>
            <w:tcW w:w="992" w:type="dxa"/>
            <w:vAlign w:val="center"/>
          </w:tcPr>
          <w:p>
            <w:pPr>
              <w:spacing w:line="240" w:lineRule="exact"/>
              <w:jc w:val="center"/>
              <w:rPr>
                <w:rFonts w:ascii="仿宋_GB2312" w:hAnsi="宋体"/>
                <w:sz w:val="24"/>
              </w:rPr>
            </w:pPr>
            <w:r>
              <w:rPr>
                <w:rFonts w:hint="eastAsia" w:ascii="仿宋_GB2312" w:hAnsi="宋体"/>
                <w:sz w:val="24"/>
              </w:rPr>
              <w:t>9</w:t>
            </w:r>
          </w:p>
        </w:tc>
        <w:tc>
          <w:tcPr>
            <w:tcW w:w="4394" w:type="dxa"/>
            <w:vAlign w:val="center"/>
          </w:tcPr>
          <w:p>
            <w:pPr>
              <w:spacing w:line="240" w:lineRule="exact"/>
              <w:rPr>
                <w:rFonts w:ascii="仿宋_GB2312" w:hAnsi="宋体"/>
                <w:sz w:val="24"/>
              </w:rPr>
            </w:pPr>
            <w:r>
              <w:rPr>
                <w:rFonts w:hint="eastAsia" w:ascii="仿宋_GB2312" w:hAnsi="宋体"/>
                <w:sz w:val="24"/>
              </w:rPr>
              <w:t>净资产利润率≥10%，得9分；</w:t>
            </w:r>
          </w:p>
          <w:p>
            <w:pPr>
              <w:spacing w:line="240" w:lineRule="exact"/>
              <w:rPr>
                <w:rFonts w:ascii="仿宋_GB2312" w:hAnsi="宋体"/>
                <w:sz w:val="24"/>
              </w:rPr>
            </w:pPr>
            <w:r>
              <w:rPr>
                <w:rFonts w:hint="eastAsia" w:ascii="仿宋_GB2312" w:hAnsi="宋体"/>
                <w:sz w:val="24"/>
              </w:rPr>
              <w:t>10%&gt;净资产利润率≥7%,得5分；</w:t>
            </w:r>
          </w:p>
          <w:p>
            <w:pPr>
              <w:spacing w:line="240" w:lineRule="exact"/>
              <w:rPr>
                <w:rFonts w:ascii="仿宋_GB2312" w:hAnsi="宋体"/>
                <w:sz w:val="24"/>
              </w:rPr>
            </w:pPr>
            <w:r>
              <w:rPr>
                <w:rFonts w:hint="eastAsia" w:ascii="仿宋_GB2312" w:hAnsi="宋体"/>
                <w:sz w:val="24"/>
              </w:rPr>
              <w:t>净资产利润率&lt;7%,得0分；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211" w:type="dxa"/>
            <w:vMerge w:val="continue"/>
            <w:vAlign w:val="center"/>
          </w:tcPr>
          <w:p>
            <w:pPr>
              <w:spacing w:line="240" w:lineRule="exact"/>
              <w:jc w:val="center"/>
              <w:rPr>
                <w:rFonts w:ascii="仿宋_GB2312" w:hAnsi="宋体"/>
                <w:sz w:val="24"/>
              </w:rPr>
            </w:pPr>
          </w:p>
        </w:tc>
        <w:tc>
          <w:tcPr>
            <w:tcW w:w="1984" w:type="dxa"/>
            <w:vAlign w:val="center"/>
          </w:tcPr>
          <w:p>
            <w:pPr>
              <w:spacing w:line="240" w:lineRule="exact"/>
              <w:jc w:val="center"/>
              <w:rPr>
                <w:rFonts w:ascii="仿宋_GB2312" w:hAnsi="宋体"/>
                <w:sz w:val="24"/>
              </w:rPr>
            </w:pPr>
            <w:r>
              <w:rPr>
                <w:rFonts w:hint="eastAsia" w:ascii="仿宋_GB2312" w:hAnsi="宋体"/>
                <w:sz w:val="24"/>
              </w:rPr>
              <w:t>流动性比例</w:t>
            </w:r>
          </w:p>
        </w:tc>
        <w:tc>
          <w:tcPr>
            <w:tcW w:w="993" w:type="dxa"/>
            <w:vMerge w:val="continue"/>
            <w:vAlign w:val="center"/>
          </w:tcPr>
          <w:p>
            <w:pPr>
              <w:spacing w:line="240" w:lineRule="exact"/>
              <w:jc w:val="center"/>
              <w:rPr>
                <w:rFonts w:ascii="仿宋_GB2312" w:hAnsi="宋体"/>
                <w:sz w:val="24"/>
              </w:rPr>
            </w:pPr>
          </w:p>
        </w:tc>
        <w:tc>
          <w:tcPr>
            <w:tcW w:w="992" w:type="dxa"/>
            <w:vAlign w:val="center"/>
          </w:tcPr>
          <w:p>
            <w:pPr>
              <w:spacing w:line="240" w:lineRule="exact"/>
              <w:jc w:val="center"/>
              <w:rPr>
                <w:rFonts w:ascii="仿宋_GB2312" w:hAnsi="宋体"/>
                <w:sz w:val="24"/>
              </w:rPr>
            </w:pPr>
            <w:r>
              <w:rPr>
                <w:rFonts w:hint="eastAsia" w:ascii="仿宋_GB2312" w:hAnsi="宋体"/>
                <w:sz w:val="24"/>
              </w:rPr>
              <w:t>9</w:t>
            </w:r>
          </w:p>
        </w:tc>
        <w:tc>
          <w:tcPr>
            <w:tcW w:w="4394" w:type="dxa"/>
          </w:tcPr>
          <w:p>
            <w:pPr>
              <w:spacing w:line="240" w:lineRule="exact"/>
              <w:jc w:val="left"/>
              <w:rPr>
                <w:rFonts w:ascii="仿宋_GB2312" w:hAnsi="宋体"/>
                <w:sz w:val="24"/>
              </w:rPr>
            </w:pPr>
          </w:p>
          <w:p>
            <w:pPr>
              <w:spacing w:line="240" w:lineRule="exact"/>
              <w:jc w:val="left"/>
              <w:rPr>
                <w:rFonts w:ascii="仿宋_GB2312" w:hAnsi="宋体"/>
                <w:sz w:val="24"/>
              </w:rPr>
            </w:pPr>
            <w:r>
              <w:rPr>
                <w:rFonts w:hint="eastAsia" w:ascii="仿宋_GB2312" w:hAnsi="宋体"/>
                <w:sz w:val="24"/>
              </w:rPr>
              <w:t>流动性比例≥35%,得9分；</w:t>
            </w:r>
          </w:p>
          <w:p>
            <w:pPr>
              <w:spacing w:line="240" w:lineRule="exact"/>
              <w:jc w:val="left"/>
              <w:rPr>
                <w:rFonts w:ascii="仿宋_GB2312" w:hAnsi="宋体"/>
                <w:sz w:val="24"/>
              </w:rPr>
            </w:pPr>
            <w:r>
              <w:rPr>
                <w:rFonts w:hint="eastAsia" w:ascii="仿宋_GB2312" w:hAnsi="宋体"/>
                <w:sz w:val="24"/>
              </w:rPr>
              <w:t>35%&gt;流动性比例≥25%,得5分；</w:t>
            </w:r>
          </w:p>
          <w:p>
            <w:pPr>
              <w:spacing w:line="240" w:lineRule="exact"/>
              <w:jc w:val="left"/>
              <w:rPr>
                <w:rFonts w:ascii="仿宋_GB2312" w:hAnsi="宋体"/>
                <w:sz w:val="24"/>
              </w:rPr>
            </w:pPr>
            <w:r>
              <w:rPr>
                <w:rFonts w:hint="eastAsia" w:ascii="仿宋_GB2312" w:hAnsi="宋体"/>
                <w:sz w:val="24"/>
              </w:rPr>
              <w:t>流动性比例&lt;25%,得0分；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211" w:type="dxa"/>
            <w:vMerge w:val="restart"/>
            <w:vAlign w:val="center"/>
          </w:tcPr>
          <w:p>
            <w:pPr>
              <w:rPr>
                <w:rFonts w:ascii="仿宋_GB2312" w:hAnsi="宋体"/>
                <w:sz w:val="24"/>
              </w:rPr>
            </w:pPr>
          </w:p>
          <w:p>
            <w:pPr>
              <w:jc w:val="center"/>
              <w:rPr>
                <w:rFonts w:ascii="仿宋_GB2312" w:hAnsi="宋体"/>
                <w:sz w:val="24"/>
              </w:rPr>
            </w:pPr>
          </w:p>
          <w:p>
            <w:pPr>
              <w:jc w:val="center"/>
              <w:rPr>
                <w:rFonts w:ascii="仿宋_GB2312" w:hAnsi="宋体"/>
                <w:sz w:val="24"/>
              </w:rPr>
            </w:pPr>
            <w:r>
              <w:rPr>
                <w:rFonts w:hint="eastAsia" w:ascii="仿宋_GB2312" w:hAnsi="宋体"/>
                <w:sz w:val="24"/>
              </w:rPr>
              <w:t>服务水平</w:t>
            </w:r>
          </w:p>
        </w:tc>
        <w:tc>
          <w:tcPr>
            <w:tcW w:w="1984" w:type="dxa"/>
            <w:vAlign w:val="center"/>
          </w:tcPr>
          <w:p>
            <w:pPr>
              <w:jc w:val="left"/>
              <w:rPr>
                <w:rFonts w:ascii="仿宋_GB2312" w:hAnsi="宋体"/>
                <w:sz w:val="24"/>
              </w:rPr>
            </w:pPr>
            <w:r>
              <w:rPr>
                <w:rFonts w:hint="eastAsia" w:ascii="仿宋_GB2312" w:hAnsi="宋体"/>
                <w:sz w:val="24"/>
              </w:rPr>
              <w:t>代理国库集中支付业务情况</w:t>
            </w:r>
          </w:p>
        </w:tc>
        <w:tc>
          <w:tcPr>
            <w:tcW w:w="993" w:type="dxa"/>
            <w:vMerge w:val="restart"/>
            <w:vAlign w:val="center"/>
          </w:tcPr>
          <w:p>
            <w:pPr>
              <w:jc w:val="center"/>
              <w:rPr>
                <w:rFonts w:ascii="仿宋_GB2312" w:hAnsi="宋体"/>
                <w:sz w:val="24"/>
              </w:rPr>
            </w:pPr>
            <w:r>
              <w:rPr>
                <w:rFonts w:hint="eastAsia" w:ascii="仿宋_GB2312" w:hAnsi="宋体"/>
                <w:sz w:val="24"/>
              </w:rPr>
              <w:t>20</w:t>
            </w:r>
          </w:p>
        </w:tc>
        <w:tc>
          <w:tcPr>
            <w:tcW w:w="992" w:type="dxa"/>
            <w:vAlign w:val="center"/>
          </w:tcPr>
          <w:p>
            <w:pPr>
              <w:jc w:val="center"/>
              <w:rPr>
                <w:rFonts w:ascii="仿宋_GB2312" w:hAnsi="宋体"/>
                <w:sz w:val="24"/>
              </w:rPr>
            </w:pPr>
            <w:r>
              <w:rPr>
                <w:rFonts w:hint="eastAsia" w:ascii="仿宋_GB2312" w:hAnsi="宋体"/>
                <w:sz w:val="24"/>
              </w:rPr>
              <w:t>1</w:t>
            </w:r>
          </w:p>
        </w:tc>
        <w:tc>
          <w:tcPr>
            <w:tcW w:w="4394" w:type="dxa"/>
          </w:tcPr>
          <w:p>
            <w:pPr>
              <w:jc w:val="left"/>
              <w:rPr>
                <w:rFonts w:ascii="仿宋_GB2312" w:hAnsi="宋体"/>
                <w:sz w:val="24"/>
              </w:rPr>
            </w:pPr>
            <w:r>
              <w:rPr>
                <w:rFonts w:hint="eastAsia" w:ascii="仿宋_GB2312" w:hAnsi="宋体"/>
                <w:sz w:val="24"/>
              </w:rPr>
              <w:t>能够提供代理国库集中支付业务，得1分；</w:t>
            </w:r>
          </w:p>
          <w:p>
            <w:pPr>
              <w:jc w:val="left"/>
              <w:rPr>
                <w:rFonts w:ascii="仿宋_GB2312" w:hAnsi="宋体"/>
                <w:sz w:val="24"/>
              </w:rPr>
            </w:pPr>
            <w:r>
              <w:rPr>
                <w:rFonts w:hint="eastAsia" w:ascii="仿宋_GB2312" w:hAnsi="宋体"/>
                <w:sz w:val="24"/>
              </w:rPr>
              <w:t>不能提供代理国库集中支付业务，得0分；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211" w:type="dxa"/>
            <w:vMerge w:val="continue"/>
            <w:vAlign w:val="center"/>
          </w:tcPr>
          <w:p>
            <w:pPr>
              <w:jc w:val="center"/>
              <w:rPr>
                <w:rFonts w:ascii="仿宋_GB2312" w:hAnsi="宋体"/>
                <w:sz w:val="24"/>
              </w:rPr>
            </w:pPr>
          </w:p>
        </w:tc>
        <w:tc>
          <w:tcPr>
            <w:tcW w:w="1984" w:type="dxa"/>
            <w:vAlign w:val="center"/>
          </w:tcPr>
          <w:p>
            <w:pPr>
              <w:jc w:val="left"/>
              <w:rPr>
                <w:rFonts w:ascii="仿宋_GB2312" w:hAnsi="宋体"/>
                <w:sz w:val="24"/>
              </w:rPr>
            </w:pPr>
            <w:r>
              <w:rPr>
                <w:rFonts w:hint="eastAsia" w:ascii="仿宋_GB2312" w:hAnsi="宋体"/>
                <w:sz w:val="24"/>
              </w:rPr>
              <w:t>提供资金授信服务额度</w:t>
            </w:r>
          </w:p>
        </w:tc>
        <w:tc>
          <w:tcPr>
            <w:tcW w:w="993" w:type="dxa"/>
            <w:vMerge w:val="continue"/>
            <w:vAlign w:val="center"/>
          </w:tcPr>
          <w:p>
            <w:pPr>
              <w:jc w:val="center"/>
              <w:rPr>
                <w:rFonts w:ascii="仿宋_GB2312" w:hAnsi="宋体"/>
                <w:sz w:val="24"/>
              </w:rPr>
            </w:pPr>
          </w:p>
        </w:tc>
        <w:tc>
          <w:tcPr>
            <w:tcW w:w="992" w:type="dxa"/>
            <w:vAlign w:val="center"/>
          </w:tcPr>
          <w:p>
            <w:pPr>
              <w:jc w:val="center"/>
              <w:rPr>
                <w:rFonts w:ascii="仿宋_GB2312" w:hAnsi="宋体"/>
                <w:sz w:val="24"/>
              </w:rPr>
            </w:pPr>
          </w:p>
          <w:p>
            <w:pPr>
              <w:jc w:val="center"/>
              <w:rPr>
                <w:rFonts w:ascii="仿宋_GB2312" w:hAnsi="宋体"/>
                <w:sz w:val="24"/>
              </w:rPr>
            </w:pPr>
            <w:r>
              <w:rPr>
                <w:rFonts w:hint="eastAsia" w:ascii="仿宋_GB2312" w:hAnsi="宋体"/>
                <w:sz w:val="24"/>
              </w:rPr>
              <w:t>1</w:t>
            </w:r>
          </w:p>
        </w:tc>
        <w:tc>
          <w:tcPr>
            <w:tcW w:w="4394" w:type="dxa"/>
          </w:tcPr>
          <w:p>
            <w:pPr>
              <w:jc w:val="left"/>
              <w:rPr>
                <w:rFonts w:ascii="仿宋_GB2312" w:hAnsi="宋体"/>
                <w:sz w:val="24"/>
              </w:rPr>
            </w:pPr>
            <w:r>
              <w:rPr>
                <w:rFonts w:hint="eastAsia" w:ascii="仿宋_GB2312" w:hAnsi="宋体"/>
                <w:sz w:val="24"/>
              </w:rPr>
              <w:t>提供资金授信服务额度≥5000万元，得1分；</w:t>
            </w:r>
          </w:p>
          <w:p>
            <w:pPr>
              <w:jc w:val="left"/>
              <w:rPr>
                <w:rFonts w:ascii="仿宋_GB2312" w:hAnsi="宋体"/>
                <w:sz w:val="24"/>
              </w:rPr>
            </w:pPr>
            <w:r>
              <w:rPr>
                <w:rFonts w:hint="eastAsia" w:ascii="仿宋_GB2312" w:hAnsi="宋体"/>
                <w:sz w:val="24"/>
              </w:rPr>
              <w:t>提供资金授信服务额度&lt;5000元、或不能提供资金收服务，得0分；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11" w:type="dxa"/>
            <w:vMerge w:val="continue"/>
            <w:vAlign w:val="center"/>
          </w:tcPr>
          <w:p>
            <w:pPr>
              <w:jc w:val="center"/>
              <w:rPr>
                <w:rFonts w:ascii="仿宋_GB2312" w:hAnsi="宋体"/>
                <w:sz w:val="24"/>
              </w:rPr>
            </w:pPr>
          </w:p>
        </w:tc>
        <w:tc>
          <w:tcPr>
            <w:tcW w:w="1984" w:type="dxa"/>
            <w:vAlign w:val="center"/>
          </w:tcPr>
          <w:p>
            <w:pPr>
              <w:jc w:val="left"/>
              <w:rPr>
                <w:rFonts w:ascii="仿宋_GB2312" w:hAnsi="宋体"/>
                <w:sz w:val="24"/>
              </w:rPr>
            </w:pPr>
            <w:r>
              <w:rPr>
                <w:rFonts w:hint="eastAsia" w:ascii="仿宋_GB2312" w:hAnsi="宋体"/>
                <w:sz w:val="24"/>
              </w:rPr>
              <w:t>银行定期存款额度审批期限</w:t>
            </w:r>
          </w:p>
        </w:tc>
        <w:tc>
          <w:tcPr>
            <w:tcW w:w="993" w:type="dxa"/>
            <w:vMerge w:val="continue"/>
            <w:vAlign w:val="center"/>
          </w:tcPr>
          <w:p>
            <w:pPr>
              <w:jc w:val="center"/>
              <w:rPr>
                <w:rFonts w:ascii="仿宋_GB2312" w:hAnsi="宋体"/>
                <w:sz w:val="24"/>
              </w:rPr>
            </w:pPr>
          </w:p>
        </w:tc>
        <w:tc>
          <w:tcPr>
            <w:tcW w:w="992" w:type="dxa"/>
            <w:vAlign w:val="center"/>
          </w:tcPr>
          <w:p>
            <w:pPr>
              <w:jc w:val="center"/>
              <w:rPr>
                <w:rFonts w:ascii="仿宋_GB2312" w:hAnsi="宋体"/>
                <w:sz w:val="24"/>
              </w:rPr>
            </w:pPr>
            <w:r>
              <w:rPr>
                <w:rFonts w:hint="eastAsia" w:ascii="仿宋_GB2312" w:hAnsi="宋体"/>
                <w:sz w:val="24"/>
              </w:rPr>
              <w:t>3</w:t>
            </w:r>
          </w:p>
        </w:tc>
        <w:tc>
          <w:tcPr>
            <w:tcW w:w="4394" w:type="dxa"/>
            <w:vAlign w:val="center"/>
          </w:tcPr>
          <w:p>
            <w:pPr>
              <w:jc w:val="left"/>
              <w:rPr>
                <w:rFonts w:ascii="仿宋_GB2312" w:hAnsi="宋体"/>
                <w:sz w:val="24"/>
              </w:rPr>
            </w:pPr>
            <w:r>
              <w:rPr>
                <w:rFonts w:hint="eastAsia" w:ascii="仿宋_GB2312" w:hAnsi="宋体"/>
                <w:sz w:val="24"/>
              </w:rPr>
              <w:t>0天≤银行定期存款额度审批期限≤3天，得3分；</w:t>
            </w:r>
          </w:p>
          <w:p>
            <w:pPr>
              <w:jc w:val="left"/>
              <w:rPr>
                <w:rFonts w:ascii="仿宋_GB2312" w:hAnsi="宋体"/>
                <w:sz w:val="24"/>
              </w:rPr>
            </w:pPr>
            <w:r>
              <w:rPr>
                <w:rFonts w:hint="eastAsia" w:ascii="仿宋_GB2312" w:hAnsi="宋体"/>
                <w:sz w:val="24"/>
              </w:rPr>
              <w:t>3&lt;银行定期存款额度审批期限≤7天，得1分；</w:t>
            </w:r>
          </w:p>
          <w:p>
            <w:pPr>
              <w:jc w:val="left"/>
              <w:rPr>
                <w:rFonts w:ascii="仿宋_GB2312" w:hAnsi="宋体"/>
                <w:sz w:val="24"/>
              </w:rPr>
            </w:pPr>
            <w:r>
              <w:rPr>
                <w:rFonts w:hint="eastAsia" w:ascii="仿宋_GB2312" w:hAnsi="宋体"/>
                <w:sz w:val="24"/>
              </w:rPr>
              <w:t>银行定期存款额度审批期限&gt;7天，得0分；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211" w:type="dxa"/>
            <w:vMerge w:val="continue"/>
            <w:vAlign w:val="center"/>
          </w:tcPr>
          <w:p>
            <w:pPr>
              <w:jc w:val="center"/>
              <w:rPr>
                <w:rFonts w:ascii="仿宋_GB2312" w:hAnsi="宋体"/>
                <w:sz w:val="24"/>
              </w:rPr>
            </w:pPr>
          </w:p>
        </w:tc>
        <w:tc>
          <w:tcPr>
            <w:tcW w:w="1984" w:type="dxa"/>
            <w:vAlign w:val="center"/>
          </w:tcPr>
          <w:p>
            <w:pPr>
              <w:jc w:val="left"/>
              <w:rPr>
                <w:rFonts w:ascii="仿宋_GB2312" w:hAnsi="宋体"/>
                <w:sz w:val="24"/>
              </w:rPr>
            </w:pPr>
            <w:r>
              <w:rPr>
                <w:rFonts w:hint="eastAsia" w:ascii="仿宋_GB2312" w:hAnsi="宋体"/>
                <w:sz w:val="24"/>
              </w:rPr>
              <w:t>提前提供定期存款业务填报资料并告知填写事项</w:t>
            </w:r>
          </w:p>
        </w:tc>
        <w:tc>
          <w:tcPr>
            <w:tcW w:w="993" w:type="dxa"/>
            <w:vMerge w:val="continue"/>
            <w:vAlign w:val="center"/>
          </w:tcPr>
          <w:p>
            <w:pPr>
              <w:jc w:val="center"/>
              <w:rPr>
                <w:rFonts w:ascii="仿宋_GB2312" w:hAnsi="宋体"/>
                <w:sz w:val="24"/>
              </w:rPr>
            </w:pPr>
          </w:p>
        </w:tc>
        <w:tc>
          <w:tcPr>
            <w:tcW w:w="992" w:type="dxa"/>
            <w:vAlign w:val="center"/>
          </w:tcPr>
          <w:p>
            <w:pPr>
              <w:jc w:val="center"/>
              <w:rPr>
                <w:rFonts w:ascii="仿宋_GB2312" w:hAnsi="宋体"/>
                <w:sz w:val="24"/>
              </w:rPr>
            </w:pPr>
            <w:r>
              <w:rPr>
                <w:rFonts w:hint="eastAsia" w:ascii="仿宋_GB2312" w:hAnsi="宋体"/>
                <w:sz w:val="24"/>
              </w:rPr>
              <w:t>1</w:t>
            </w:r>
          </w:p>
        </w:tc>
        <w:tc>
          <w:tcPr>
            <w:tcW w:w="4394" w:type="dxa"/>
          </w:tcPr>
          <w:p>
            <w:pPr>
              <w:jc w:val="left"/>
              <w:rPr>
                <w:rFonts w:ascii="仿宋_GB2312" w:hAnsi="宋体"/>
                <w:sz w:val="24"/>
              </w:rPr>
            </w:pPr>
            <w:r>
              <w:rPr>
                <w:rFonts w:hint="eastAsia" w:ascii="仿宋_GB2312" w:hAnsi="宋体"/>
                <w:sz w:val="24"/>
              </w:rPr>
              <w:t>能提前提供定期存款业务填报资料并告</w:t>
            </w:r>
          </w:p>
          <w:p>
            <w:pPr>
              <w:jc w:val="left"/>
              <w:rPr>
                <w:rFonts w:ascii="仿宋_GB2312" w:hAnsi="宋体"/>
                <w:sz w:val="24"/>
              </w:rPr>
            </w:pPr>
            <w:r>
              <w:rPr>
                <w:rFonts w:hint="eastAsia" w:ascii="仿宋_GB2312" w:hAnsi="宋体"/>
                <w:sz w:val="24"/>
              </w:rPr>
              <w:t>知填写事项，得1分；</w:t>
            </w:r>
          </w:p>
          <w:p>
            <w:pPr>
              <w:jc w:val="left"/>
              <w:rPr>
                <w:rFonts w:ascii="仿宋_GB2312" w:hAnsi="宋体"/>
                <w:sz w:val="24"/>
              </w:rPr>
            </w:pPr>
            <w:r>
              <w:rPr>
                <w:rFonts w:hint="eastAsia" w:ascii="仿宋_GB2312" w:hAnsi="宋体"/>
                <w:sz w:val="24"/>
              </w:rPr>
              <w:t>不能提前提供定期存款业务填报资料并</w:t>
            </w:r>
          </w:p>
          <w:p>
            <w:pPr>
              <w:jc w:val="left"/>
              <w:rPr>
                <w:rFonts w:ascii="仿宋_GB2312" w:hAnsi="宋体"/>
                <w:sz w:val="24"/>
              </w:rPr>
            </w:pPr>
            <w:r>
              <w:rPr>
                <w:rFonts w:hint="eastAsia" w:ascii="仿宋_GB2312" w:hAnsi="宋体"/>
                <w:sz w:val="24"/>
              </w:rPr>
              <w:t>告知填写事项，得0分；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211" w:type="dxa"/>
            <w:vMerge w:val="continue"/>
            <w:vAlign w:val="center"/>
          </w:tcPr>
          <w:p>
            <w:pPr>
              <w:jc w:val="center"/>
              <w:rPr>
                <w:rFonts w:ascii="仿宋_GB2312" w:hAnsi="宋体"/>
                <w:sz w:val="24"/>
              </w:rPr>
            </w:pPr>
          </w:p>
        </w:tc>
        <w:tc>
          <w:tcPr>
            <w:tcW w:w="1984" w:type="dxa"/>
            <w:vAlign w:val="center"/>
          </w:tcPr>
          <w:p>
            <w:pPr>
              <w:jc w:val="left"/>
              <w:rPr>
                <w:rFonts w:ascii="仿宋_GB2312" w:hAnsi="宋体"/>
                <w:sz w:val="24"/>
              </w:rPr>
            </w:pPr>
            <w:r>
              <w:rPr>
                <w:rFonts w:hint="eastAsia" w:ascii="仿宋_GB2312" w:hAnsi="宋体"/>
                <w:sz w:val="24"/>
              </w:rPr>
              <w:t>办理存、取款业务享受大户室贵宾服务情况</w:t>
            </w:r>
          </w:p>
        </w:tc>
        <w:tc>
          <w:tcPr>
            <w:tcW w:w="993" w:type="dxa"/>
            <w:vMerge w:val="continue"/>
            <w:vAlign w:val="center"/>
          </w:tcPr>
          <w:p>
            <w:pPr>
              <w:jc w:val="center"/>
              <w:rPr>
                <w:rFonts w:ascii="仿宋_GB2312" w:hAnsi="宋体"/>
                <w:sz w:val="24"/>
              </w:rPr>
            </w:pPr>
          </w:p>
        </w:tc>
        <w:tc>
          <w:tcPr>
            <w:tcW w:w="992" w:type="dxa"/>
            <w:vAlign w:val="center"/>
          </w:tcPr>
          <w:p>
            <w:pPr>
              <w:jc w:val="center"/>
              <w:rPr>
                <w:rFonts w:ascii="仿宋_GB2312" w:hAnsi="宋体"/>
                <w:sz w:val="24"/>
              </w:rPr>
            </w:pPr>
            <w:r>
              <w:rPr>
                <w:rFonts w:hint="eastAsia" w:ascii="仿宋_GB2312" w:hAnsi="宋体"/>
                <w:sz w:val="24"/>
              </w:rPr>
              <w:t>4</w:t>
            </w:r>
          </w:p>
        </w:tc>
        <w:tc>
          <w:tcPr>
            <w:tcW w:w="4394" w:type="dxa"/>
          </w:tcPr>
          <w:p>
            <w:pPr>
              <w:jc w:val="left"/>
              <w:rPr>
                <w:rFonts w:ascii="仿宋_GB2312" w:hAnsi="宋体"/>
                <w:sz w:val="24"/>
              </w:rPr>
            </w:pPr>
            <w:r>
              <w:rPr>
                <w:rFonts w:hint="eastAsia" w:ascii="仿宋_GB2312" w:hAnsi="宋体"/>
                <w:sz w:val="24"/>
              </w:rPr>
              <w:t>办理存、取款业务可以提供大户室贵宾</w:t>
            </w:r>
          </w:p>
          <w:p>
            <w:pPr>
              <w:jc w:val="left"/>
              <w:rPr>
                <w:rFonts w:ascii="仿宋_GB2312" w:hAnsi="宋体"/>
                <w:sz w:val="24"/>
              </w:rPr>
            </w:pPr>
            <w:r>
              <w:rPr>
                <w:rFonts w:hint="eastAsia" w:ascii="仿宋_GB2312" w:hAnsi="宋体"/>
                <w:sz w:val="24"/>
              </w:rPr>
              <w:t>服务，得4分；</w:t>
            </w:r>
          </w:p>
          <w:p>
            <w:pPr>
              <w:jc w:val="left"/>
              <w:rPr>
                <w:rFonts w:ascii="仿宋_GB2312" w:hAnsi="宋体"/>
                <w:sz w:val="24"/>
              </w:rPr>
            </w:pPr>
            <w:r>
              <w:rPr>
                <w:rFonts w:hint="eastAsia" w:ascii="仿宋_GB2312" w:hAnsi="宋体"/>
                <w:sz w:val="24"/>
              </w:rPr>
              <w:t>办理存、取款业务不能提供大户室贵宾</w:t>
            </w:r>
          </w:p>
          <w:p>
            <w:pPr>
              <w:jc w:val="left"/>
              <w:rPr>
                <w:rFonts w:ascii="仿宋_GB2312" w:hAnsi="宋体"/>
                <w:sz w:val="24"/>
              </w:rPr>
            </w:pPr>
            <w:r>
              <w:rPr>
                <w:rFonts w:hint="eastAsia" w:ascii="仿宋_GB2312" w:hAnsi="宋体"/>
                <w:sz w:val="24"/>
              </w:rPr>
              <w:t>服务，得0分；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1211" w:type="dxa"/>
            <w:vMerge w:val="continue"/>
            <w:vAlign w:val="center"/>
          </w:tcPr>
          <w:p>
            <w:pPr>
              <w:jc w:val="center"/>
              <w:rPr>
                <w:rFonts w:ascii="仿宋_GB2312" w:hAnsi="宋体"/>
                <w:sz w:val="24"/>
              </w:rPr>
            </w:pPr>
          </w:p>
        </w:tc>
        <w:tc>
          <w:tcPr>
            <w:tcW w:w="1984" w:type="dxa"/>
            <w:vAlign w:val="center"/>
          </w:tcPr>
          <w:p>
            <w:pPr>
              <w:jc w:val="left"/>
              <w:rPr>
                <w:rFonts w:ascii="仿宋_GB2312" w:hAnsi="宋体"/>
                <w:sz w:val="24"/>
              </w:rPr>
            </w:pPr>
            <w:r>
              <w:rPr>
                <w:rFonts w:hint="eastAsia" w:ascii="仿宋_GB2312" w:hAnsi="宋体"/>
                <w:sz w:val="24"/>
              </w:rPr>
              <w:t>定期提供定期存款对账单及上门服务情况</w:t>
            </w:r>
          </w:p>
        </w:tc>
        <w:tc>
          <w:tcPr>
            <w:tcW w:w="993" w:type="dxa"/>
            <w:vMerge w:val="continue"/>
            <w:vAlign w:val="center"/>
          </w:tcPr>
          <w:p>
            <w:pPr>
              <w:jc w:val="center"/>
              <w:rPr>
                <w:rFonts w:ascii="仿宋_GB2312" w:hAnsi="宋体"/>
                <w:sz w:val="24"/>
              </w:rPr>
            </w:pPr>
          </w:p>
        </w:tc>
        <w:tc>
          <w:tcPr>
            <w:tcW w:w="992" w:type="dxa"/>
            <w:vAlign w:val="center"/>
          </w:tcPr>
          <w:p>
            <w:pPr>
              <w:jc w:val="center"/>
              <w:rPr>
                <w:rFonts w:ascii="仿宋_GB2312" w:hAnsi="宋体"/>
                <w:sz w:val="24"/>
              </w:rPr>
            </w:pPr>
            <w:r>
              <w:rPr>
                <w:rFonts w:hint="eastAsia" w:ascii="仿宋_GB2312" w:hAnsi="宋体"/>
                <w:sz w:val="24"/>
              </w:rPr>
              <w:t>8</w:t>
            </w:r>
          </w:p>
        </w:tc>
        <w:tc>
          <w:tcPr>
            <w:tcW w:w="4394" w:type="dxa"/>
            <w:vAlign w:val="center"/>
          </w:tcPr>
          <w:p>
            <w:pPr>
              <w:jc w:val="left"/>
              <w:rPr>
                <w:rFonts w:ascii="仿宋_GB2312" w:hAnsi="宋体"/>
                <w:sz w:val="24"/>
              </w:rPr>
            </w:pPr>
            <w:r>
              <w:rPr>
                <w:rFonts w:hint="eastAsia" w:ascii="仿宋_GB2312" w:hAnsi="宋体"/>
                <w:sz w:val="24"/>
              </w:rPr>
              <w:t>定期提供定期存款对账单及上门服务，得8分；</w:t>
            </w:r>
          </w:p>
          <w:p>
            <w:pPr>
              <w:jc w:val="left"/>
              <w:rPr>
                <w:rFonts w:ascii="仿宋_GB2312" w:hAnsi="宋体"/>
                <w:sz w:val="24"/>
              </w:rPr>
            </w:pPr>
            <w:r>
              <w:rPr>
                <w:rFonts w:hint="eastAsia" w:ascii="仿宋_GB2312" w:hAnsi="宋体"/>
                <w:sz w:val="24"/>
              </w:rPr>
              <w:t>不能定期提供定期存款对账单及上门服务，得0分；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211" w:type="dxa"/>
            <w:vMerge w:val="continue"/>
            <w:vAlign w:val="center"/>
          </w:tcPr>
          <w:p>
            <w:pPr>
              <w:jc w:val="center"/>
              <w:rPr>
                <w:rFonts w:ascii="仿宋_GB2312" w:hAnsi="宋体"/>
                <w:sz w:val="24"/>
              </w:rPr>
            </w:pPr>
          </w:p>
        </w:tc>
        <w:tc>
          <w:tcPr>
            <w:tcW w:w="1984" w:type="dxa"/>
            <w:vAlign w:val="center"/>
          </w:tcPr>
          <w:p>
            <w:pPr>
              <w:jc w:val="left"/>
              <w:rPr>
                <w:rFonts w:ascii="仿宋_GB2312" w:hAnsi="宋体"/>
                <w:sz w:val="24"/>
                <w:highlight w:val="yellow"/>
              </w:rPr>
            </w:pPr>
            <w:r>
              <w:rPr>
                <w:rFonts w:hint="eastAsia" w:ascii="仿宋_GB2312" w:hAnsi="宋体"/>
                <w:sz w:val="24"/>
              </w:rPr>
              <w:t>根据医院需求提供函证情况</w:t>
            </w:r>
          </w:p>
        </w:tc>
        <w:tc>
          <w:tcPr>
            <w:tcW w:w="993" w:type="dxa"/>
            <w:vMerge w:val="continue"/>
            <w:vAlign w:val="center"/>
          </w:tcPr>
          <w:p>
            <w:pPr>
              <w:jc w:val="center"/>
              <w:rPr>
                <w:rFonts w:ascii="仿宋_GB2312" w:hAnsi="宋体"/>
                <w:sz w:val="24"/>
              </w:rPr>
            </w:pPr>
          </w:p>
        </w:tc>
        <w:tc>
          <w:tcPr>
            <w:tcW w:w="992" w:type="dxa"/>
            <w:vAlign w:val="center"/>
          </w:tcPr>
          <w:p>
            <w:pPr>
              <w:jc w:val="center"/>
              <w:rPr>
                <w:rFonts w:ascii="仿宋_GB2312" w:hAnsi="宋体"/>
                <w:sz w:val="24"/>
              </w:rPr>
            </w:pPr>
            <w:r>
              <w:rPr>
                <w:rFonts w:hint="eastAsia" w:ascii="仿宋_GB2312" w:hAnsi="宋体"/>
                <w:sz w:val="24"/>
              </w:rPr>
              <w:t>2</w:t>
            </w:r>
          </w:p>
        </w:tc>
        <w:tc>
          <w:tcPr>
            <w:tcW w:w="4394" w:type="dxa"/>
          </w:tcPr>
          <w:p>
            <w:pPr>
              <w:jc w:val="left"/>
              <w:rPr>
                <w:rFonts w:ascii="仿宋_GB2312" w:hAnsi="宋体"/>
                <w:sz w:val="24"/>
              </w:rPr>
            </w:pPr>
            <w:r>
              <w:rPr>
                <w:rFonts w:hint="eastAsia" w:ascii="仿宋_GB2312" w:hAnsi="宋体"/>
                <w:sz w:val="24"/>
              </w:rPr>
              <w:t>可以根据医院需求提供函证，得2分；</w:t>
            </w:r>
          </w:p>
          <w:p>
            <w:pPr>
              <w:jc w:val="left"/>
              <w:rPr>
                <w:rFonts w:ascii="仿宋_GB2312" w:hAnsi="宋体"/>
                <w:sz w:val="24"/>
              </w:rPr>
            </w:pPr>
            <w:r>
              <w:rPr>
                <w:rFonts w:hint="eastAsia" w:ascii="仿宋_GB2312" w:hAnsi="宋体"/>
                <w:sz w:val="24"/>
              </w:rPr>
              <w:t>不能根据医院需求提供函证，得0分；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1211" w:type="dxa"/>
            <w:vMerge w:val="restart"/>
            <w:vAlign w:val="center"/>
          </w:tcPr>
          <w:p>
            <w:pPr>
              <w:rPr>
                <w:rFonts w:ascii="仿宋_GB2312" w:hAnsi="宋体"/>
                <w:sz w:val="24"/>
              </w:rPr>
            </w:pPr>
            <w:r>
              <w:rPr>
                <w:rFonts w:hint="eastAsia" w:ascii="仿宋_GB2312" w:hAnsi="宋体"/>
                <w:sz w:val="24"/>
              </w:rPr>
              <w:t>承诺定期存款利率较同期基数利率上浮比率</w:t>
            </w:r>
          </w:p>
        </w:tc>
        <w:tc>
          <w:tcPr>
            <w:tcW w:w="1984" w:type="dxa"/>
            <w:vAlign w:val="center"/>
          </w:tcPr>
          <w:p>
            <w:pPr>
              <w:jc w:val="left"/>
              <w:rPr>
                <w:rFonts w:ascii="仿宋_GB2312" w:hAnsi="宋体"/>
                <w:sz w:val="24"/>
              </w:rPr>
            </w:pPr>
            <w:r>
              <w:rPr>
                <w:rFonts w:hint="eastAsia" w:ascii="仿宋_GB2312" w:hAnsi="宋体"/>
                <w:sz w:val="24"/>
              </w:rPr>
              <w:t>1年期及以下定期存款利率</w:t>
            </w:r>
          </w:p>
        </w:tc>
        <w:tc>
          <w:tcPr>
            <w:tcW w:w="993" w:type="dxa"/>
            <w:vMerge w:val="restart"/>
            <w:vAlign w:val="center"/>
          </w:tcPr>
          <w:p>
            <w:pPr>
              <w:jc w:val="center"/>
              <w:rPr>
                <w:rFonts w:ascii="仿宋_GB2312" w:hAnsi="宋体"/>
                <w:sz w:val="24"/>
              </w:rPr>
            </w:pPr>
            <w:r>
              <w:rPr>
                <w:rFonts w:hint="eastAsia" w:ascii="仿宋_GB2312" w:hAnsi="宋体"/>
                <w:sz w:val="24"/>
              </w:rPr>
              <w:t>35</w:t>
            </w:r>
          </w:p>
        </w:tc>
        <w:tc>
          <w:tcPr>
            <w:tcW w:w="992" w:type="dxa"/>
            <w:vAlign w:val="center"/>
          </w:tcPr>
          <w:p>
            <w:pPr>
              <w:jc w:val="center"/>
              <w:rPr>
                <w:rFonts w:ascii="仿宋_GB2312" w:hAnsi="宋体"/>
                <w:sz w:val="24"/>
              </w:rPr>
            </w:pPr>
            <w:r>
              <w:rPr>
                <w:rFonts w:hint="eastAsia" w:ascii="仿宋_GB2312" w:hAnsi="宋体"/>
                <w:sz w:val="24"/>
              </w:rPr>
              <w:t>25</w:t>
            </w:r>
          </w:p>
        </w:tc>
        <w:tc>
          <w:tcPr>
            <w:tcW w:w="4394" w:type="dxa"/>
          </w:tcPr>
          <w:p>
            <w:pPr>
              <w:jc w:val="left"/>
              <w:rPr>
                <w:rFonts w:ascii="仿宋_GB2312" w:hAnsi="宋体"/>
                <w:sz w:val="24"/>
              </w:rPr>
            </w:pPr>
            <w:r>
              <w:rPr>
                <w:rFonts w:hint="eastAsia" w:ascii="仿宋_GB2312" w:hAnsi="宋体"/>
                <w:sz w:val="24"/>
              </w:rPr>
              <w:t>存款利率≥1.5倍同期基准利率，得25分；</w:t>
            </w:r>
          </w:p>
          <w:p>
            <w:pPr>
              <w:jc w:val="left"/>
              <w:rPr>
                <w:rFonts w:ascii="仿宋_GB2312" w:hAnsi="宋体"/>
                <w:sz w:val="24"/>
              </w:rPr>
            </w:pPr>
            <w:r>
              <w:rPr>
                <w:rFonts w:hint="eastAsia" w:ascii="仿宋_GB2312" w:hAnsi="宋体"/>
                <w:sz w:val="24"/>
              </w:rPr>
              <w:t>1.5倍同期基准利率存款利率&gt;存款利率≥1.4倍同期基准利率，得15分；</w:t>
            </w:r>
          </w:p>
          <w:p>
            <w:pPr>
              <w:jc w:val="left"/>
              <w:rPr>
                <w:rFonts w:ascii="仿宋_GB2312" w:hAnsi="宋体"/>
                <w:sz w:val="24"/>
              </w:rPr>
            </w:pPr>
            <w:r>
              <w:rPr>
                <w:rFonts w:hint="eastAsia" w:ascii="仿宋_GB2312" w:hAnsi="宋体"/>
                <w:sz w:val="24"/>
              </w:rPr>
              <w:t>存款利率&lt;1.4倍同期基准利率，得0分；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1211" w:type="dxa"/>
            <w:vMerge w:val="continue"/>
            <w:vAlign w:val="center"/>
          </w:tcPr>
          <w:p>
            <w:pPr>
              <w:jc w:val="center"/>
              <w:rPr>
                <w:rFonts w:ascii="仿宋_GB2312" w:hAnsi="宋体"/>
                <w:sz w:val="24"/>
              </w:rPr>
            </w:pPr>
          </w:p>
        </w:tc>
        <w:tc>
          <w:tcPr>
            <w:tcW w:w="1984" w:type="dxa"/>
            <w:vAlign w:val="center"/>
          </w:tcPr>
          <w:p>
            <w:pPr>
              <w:jc w:val="left"/>
              <w:rPr>
                <w:rFonts w:ascii="仿宋_GB2312" w:hAnsi="宋体"/>
                <w:sz w:val="24"/>
              </w:rPr>
            </w:pPr>
            <w:r>
              <w:rPr>
                <w:rFonts w:hint="eastAsia" w:ascii="仿宋_GB2312" w:hAnsi="宋体"/>
                <w:sz w:val="24"/>
              </w:rPr>
              <w:t>2年期定期存款利率</w:t>
            </w:r>
          </w:p>
        </w:tc>
        <w:tc>
          <w:tcPr>
            <w:tcW w:w="993" w:type="dxa"/>
            <w:vMerge w:val="continue"/>
            <w:vAlign w:val="center"/>
          </w:tcPr>
          <w:p>
            <w:pPr>
              <w:jc w:val="center"/>
              <w:rPr>
                <w:rFonts w:ascii="仿宋_GB2312" w:hAnsi="宋体"/>
                <w:sz w:val="24"/>
              </w:rPr>
            </w:pPr>
          </w:p>
        </w:tc>
        <w:tc>
          <w:tcPr>
            <w:tcW w:w="992" w:type="dxa"/>
            <w:vAlign w:val="center"/>
          </w:tcPr>
          <w:p>
            <w:pPr>
              <w:jc w:val="center"/>
              <w:rPr>
                <w:rFonts w:ascii="仿宋_GB2312" w:hAnsi="宋体"/>
                <w:sz w:val="24"/>
              </w:rPr>
            </w:pPr>
            <w:r>
              <w:rPr>
                <w:rFonts w:hint="eastAsia" w:ascii="仿宋_GB2312" w:hAnsi="宋体"/>
                <w:sz w:val="24"/>
              </w:rPr>
              <w:t>5</w:t>
            </w:r>
          </w:p>
        </w:tc>
        <w:tc>
          <w:tcPr>
            <w:tcW w:w="4394" w:type="dxa"/>
          </w:tcPr>
          <w:p>
            <w:pPr>
              <w:jc w:val="left"/>
              <w:rPr>
                <w:rFonts w:ascii="仿宋_GB2312" w:hAnsi="宋体"/>
                <w:sz w:val="24"/>
              </w:rPr>
            </w:pPr>
            <w:r>
              <w:rPr>
                <w:rFonts w:hint="eastAsia" w:ascii="仿宋_GB2312" w:hAnsi="宋体"/>
                <w:sz w:val="24"/>
              </w:rPr>
              <w:t>存款利率≥1.5倍同期基准利率，得5分；</w:t>
            </w:r>
          </w:p>
          <w:p>
            <w:pPr>
              <w:jc w:val="left"/>
              <w:rPr>
                <w:rFonts w:ascii="仿宋_GB2312" w:hAnsi="宋体"/>
                <w:sz w:val="24"/>
              </w:rPr>
            </w:pPr>
            <w:r>
              <w:rPr>
                <w:rFonts w:hint="eastAsia" w:ascii="仿宋_GB2312" w:hAnsi="宋体"/>
                <w:sz w:val="24"/>
              </w:rPr>
              <w:t>1.5倍同期基准利率存款利率&gt;存款利率≥1.4倍同期基准利率，得3分；</w:t>
            </w:r>
          </w:p>
          <w:p>
            <w:pPr>
              <w:jc w:val="left"/>
              <w:rPr>
                <w:rFonts w:ascii="仿宋_GB2312" w:hAnsi="宋体"/>
                <w:sz w:val="24"/>
              </w:rPr>
            </w:pPr>
            <w:r>
              <w:rPr>
                <w:rFonts w:hint="eastAsia" w:ascii="仿宋_GB2312" w:hAnsi="宋体"/>
                <w:sz w:val="24"/>
              </w:rPr>
              <w:t>存款利率&lt;1.4倍同期基准利率，得0分；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1211" w:type="dxa"/>
            <w:vMerge w:val="continue"/>
            <w:vAlign w:val="center"/>
          </w:tcPr>
          <w:p>
            <w:pPr>
              <w:jc w:val="center"/>
              <w:rPr>
                <w:rFonts w:ascii="仿宋_GB2312" w:hAnsi="宋体"/>
                <w:sz w:val="24"/>
              </w:rPr>
            </w:pPr>
          </w:p>
        </w:tc>
        <w:tc>
          <w:tcPr>
            <w:tcW w:w="1984" w:type="dxa"/>
            <w:vAlign w:val="center"/>
          </w:tcPr>
          <w:p>
            <w:pPr>
              <w:jc w:val="left"/>
              <w:rPr>
                <w:rFonts w:ascii="仿宋_GB2312" w:hAnsi="宋体"/>
                <w:sz w:val="24"/>
              </w:rPr>
            </w:pPr>
            <w:r>
              <w:rPr>
                <w:rFonts w:hint="eastAsia" w:ascii="仿宋_GB2312" w:hAnsi="宋体"/>
                <w:sz w:val="24"/>
              </w:rPr>
              <w:t>3年期及以上定期存款利率</w:t>
            </w:r>
          </w:p>
        </w:tc>
        <w:tc>
          <w:tcPr>
            <w:tcW w:w="993" w:type="dxa"/>
            <w:vMerge w:val="continue"/>
            <w:vAlign w:val="center"/>
          </w:tcPr>
          <w:p>
            <w:pPr>
              <w:jc w:val="center"/>
              <w:rPr>
                <w:rFonts w:ascii="仿宋_GB2312" w:hAnsi="宋体"/>
                <w:sz w:val="24"/>
              </w:rPr>
            </w:pPr>
          </w:p>
        </w:tc>
        <w:tc>
          <w:tcPr>
            <w:tcW w:w="992" w:type="dxa"/>
            <w:vAlign w:val="center"/>
          </w:tcPr>
          <w:p>
            <w:pPr>
              <w:jc w:val="center"/>
              <w:rPr>
                <w:rFonts w:ascii="仿宋_GB2312" w:hAnsi="宋体"/>
                <w:sz w:val="24"/>
              </w:rPr>
            </w:pPr>
            <w:r>
              <w:rPr>
                <w:rFonts w:hint="eastAsia" w:ascii="仿宋_GB2312" w:hAnsi="宋体"/>
                <w:sz w:val="24"/>
              </w:rPr>
              <w:t>5</w:t>
            </w:r>
          </w:p>
        </w:tc>
        <w:tc>
          <w:tcPr>
            <w:tcW w:w="4394" w:type="dxa"/>
          </w:tcPr>
          <w:p>
            <w:pPr>
              <w:jc w:val="left"/>
              <w:rPr>
                <w:rFonts w:ascii="仿宋_GB2312" w:hAnsi="宋体"/>
                <w:sz w:val="24"/>
              </w:rPr>
            </w:pPr>
            <w:r>
              <w:rPr>
                <w:rFonts w:hint="eastAsia" w:ascii="仿宋_GB2312" w:hAnsi="宋体"/>
                <w:sz w:val="24"/>
              </w:rPr>
              <w:t>存款利率≥1.5倍同期基准利率，得5分；</w:t>
            </w:r>
          </w:p>
          <w:p>
            <w:pPr>
              <w:jc w:val="left"/>
              <w:rPr>
                <w:rFonts w:ascii="仿宋_GB2312" w:hAnsi="宋体"/>
                <w:sz w:val="24"/>
              </w:rPr>
            </w:pPr>
            <w:r>
              <w:rPr>
                <w:rFonts w:hint="eastAsia" w:ascii="仿宋_GB2312" w:hAnsi="宋体"/>
                <w:sz w:val="24"/>
              </w:rPr>
              <w:t>1.5倍同期基准利率存款利率&gt;存款利率≥1.4倍同期基准利率，得3分；</w:t>
            </w:r>
          </w:p>
          <w:p>
            <w:pPr>
              <w:jc w:val="left"/>
              <w:rPr>
                <w:rFonts w:ascii="仿宋_GB2312" w:hAnsi="宋体"/>
                <w:sz w:val="24"/>
              </w:rPr>
            </w:pPr>
            <w:r>
              <w:rPr>
                <w:rFonts w:hint="eastAsia" w:ascii="仿宋_GB2312" w:hAnsi="宋体"/>
                <w:sz w:val="24"/>
              </w:rPr>
              <w:t>存款利率&lt;1.4倍同期基准利率，得0分；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211" w:type="dxa"/>
            <w:vAlign w:val="center"/>
          </w:tcPr>
          <w:p>
            <w:pPr>
              <w:jc w:val="center"/>
              <w:rPr>
                <w:rFonts w:ascii="仿宋_GB2312" w:hAnsi="宋体"/>
                <w:sz w:val="24"/>
              </w:rPr>
            </w:pPr>
            <w:r>
              <w:rPr>
                <w:rFonts w:hint="eastAsia" w:ascii="仿宋_GB2312" w:hAnsi="宋体"/>
                <w:sz w:val="24"/>
              </w:rPr>
              <w:t>合计</w:t>
            </w:r>
          </w:p>
        </w:tc>
        <w:tc>
          <w:tcPr>
            <w:tcW w:w="1984" w:type="dxa"/>
            <w:vAlign w:val="center"/>
          </w:tcPr>
          <w:p>
            <w:pPr>
              <w:jc w:val="center"/>
              <w:rPr>
                <w:rFonts w:ascii="仿宋_GB2312" w:hAnsi="宋体"/>
                <w:sz w:val="24"/>
              </w:rPr>
            </w:pPr>
            <w:r>
              <w:rPr>
                <w:rFonts w:hint="eastAsia" w:ascii="仿宋_GB2312" w:hAnsi="宋体"/>
                <w:sz w:val="24"/>
              </w:rPr>
              <w:t>--</w:t>
            </w:r>
          </w:p>
        </w:tc>
        <w:tc>
          <w:tcPr>
            <w:tcW w:w="993" w:type="dxa"/>
            <w:vAlign w:val="center"/>
          </w:tcPr>
          <w:p>
            <w:pPr>
              <w:jc w:val="center"/>
              <w:rPr>
                <w:rFonts w:ascii="仿宋_GB2312" w:hAnsi="宋体"/>
                <w:sz w:val="24"/>
              </w:rPr>
            </w:pPr>
            <w:r>
              <w:rPr>
                <w:rFonts w:hint="eastAsia" w:ascii="仿宋_GB2312" w:hAnsi="宋体"/>
                <w:sz w:val="24"/>
              </w:rPr>
              <w:t>100</w:t>
            </w:r>
          </w:p>
        </w:tc>
        <w:tc>
          <w:tcPr>
            <w:tcW w:w="992" w:type="dxa"/>
            <w:vAlign w:val="center"/>
          </w:tcPr>
          <w:p>
            <w:pPr>
              <w:jc w:val="center"/>
              <w:rPr>
                <w:rFonts w:ascii="仿宋_GB2312" w:hAnsi="宋体"/>
                <w:sz w:val="24"/>
              </w:rPr>
            </w:pPr>
            <w:r>
              <w:rPr>
                <w:rFonts w:hint="eastAsia" w:ascii="仿宋_GB2312" w:hAnsi="宋体"/>
                <w:sz w:val="24"/>
              </w:rPr>
              <w:t>100</w:t>
            </w:r>
          </w:p>
        </w:tc>
        <w:tc>
          <w:tcPr>
            <w:tcW w:w="4394" w:type="dxa"/>
          </w:tcPr>
          <w:p>
            <w:pPr>
              <w:jc w:val="center"/>
              <w:rPr>
                <w:rFonts w:ascii="仿宋_GB2312" w:hAnsi="宋体"/>
                <w:sz w:val="24"/>
              </w:rPr>
            </w:pPr>
          </w:p>
        </w:tc>
      </w:tr>
    </w:tbl>
    <w:p>
      <w:pPr>
        <w:rPr>
          <w:rFonts w:ascii="宋体" w:hAnsi="宋体"/>
          <w:sz w:val="24"/>
        </w:rPr>
      </w:pPr>
    </w:p>
    <w:p>
      <w:pPr>
        <w:rPr>
          <w:rFonts w:ascii="宋体" w:hAnsi="宋体"/>
          <w:sz w:val="24"/>
        </w:rPr>
      </w:pPr>
      <w:r>
        <w:rPr>
          <w:rFonts w:hint="eastAsia" w:ascii="宋体" w:hAnsi="宋体"/>
          <w:sz w:val="24"/>
        </w:rPr>
        <w:t>汇分人：                   复核人：                 负责人：</w:t>
      </w:r>
    </w:p>
    <w:p>
      <w:pPr>
        <w:ind w:left="216" w:hanging="216"/>
        <w:rPr>
          <w:color w:val="auto"/>
        </w:rPr>
      </w:pPr>
    </w:p>
    <w:sectPr>
      <w:footerReference r:id="rId3" w:type="default"/>
      <w:pgSz w:w="11900" w:h="16840"/>
      <w:pgMar w:top="1440" w:right="1800" w:bottom="1440" w:left="156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Helvetica Neue">
    <w:altName w:val="Corbel"/>
    <w:panose1 w:val="00000000000000000000"/>
    <w:charset w:val="00"/>
    <w:family w:val="swiss"/>
    <w:pitch w:val="default"/>
    <w:sig w:usb0="00000000" w:usb1="00000000" w:usb2="0000001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Corbel">
    <w:panose1 w:val="020B0503020204020204"/>
    <w:charset w:val="00"/>
    <w:family w:val="auto"/>
    <w:pitch w:val="default"/>
    <w:sig w:usb0="A00002EF" w:usb1="4000A44B" w:usb2="00000000" w:usb3="00000000" w:csb0="2000019F" w:csb1="00000000"/>
  </w:font>
  <w:font w:name="仿宋">
    <w:panose1 w:val="02010609060101010101"/>
    <w:charset w:val="86"/>
    <w:family w:val="auto"/>
    <w:pitch w:val="default"/>
    <w:sig w:usb0="800002BF" w:usb1="38CF7CFA" w:usb2="00000016" w:usb3="00000000" w:csb0="00040001"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32839392"/>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D4497"/>
    <w:multiLevelType w:val="multilevel"/>
    <w:tmpl w:val="1FCD449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autoHyphenation/>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D7B"/>
    <w:rsid w:val="00031D62"/>
    <w:rsid w:val="00045EE5"/>
    <w:rsid w:val="00055BCD"/>
    <w:rsid w:val="000657DA"/>
    <w:rsid w:val="000F7B01"/>
    <w:rsid w:val="001105D3"/>
    <w:rsid w:val="00123620"/>
    <w:rsid w:val="00184FF0"/>
    <w:rsid w:val="001D5A5F"/>
    <w:rsid w:val="00207D7B"/>
    <w:rsid w:val="00214FFE"/>
    <w:rsid w:val="0027763D"/>
    <w:rsid w:val="002B0673"/>
    <w:rsid w:val="002E3A84"/>
    <w:rsid w:val="002F2932"/>
    <w:rsid w:val="003456D3"/>
    <w:rsid w:val="00371ADC"/>
    <w:rsid w:val="003B10A8"/>
    <w:rsid w:val="0042461D"/>
    <w:rsid w:val="0042551C"/>
    <w:rsid w:val="00481941"/>
    <w:rsid w:val="004A3370"/>
    <w:rsid w:val="004B5BB9"/>
    <w:rsid w:val="005032AC"/>
    <w:rsid w:val="00503753"/>
    <w:rsid w:val="00503C86"/>
    <w:rsid w:val="00533D74"/>
    <w:rsid w:val="00541F12"/>
    <w:rsid w:val="0054429E"/>
    <w:rsid w:val="0056052E"/>
    <w:rsid w:val="00581017"/>
    <w:rsid w:val="005B7DAD"/>
    <w:rsid w:val="005D7776"/>
    <w:rsid w:val="00633087"/>
    <w:rsid w:val="006A59FC"/>
    <w:rsid w:val="00717D6F"/>
    <w:rsid w:val="00734722"/>
    <w:rsid w:val="007746D7"/>
    <w:rsid w:val="00792A22"/>
    <w:rsid w:val="007934C4"/>
    <w:rsid w:val="008028FA"/>
    <w:rsid w:val="00854964"/>
    <w:rsid w:val="009B4928"/>
    <w:rsid w:val="009E1E45"/>
    <w:rsid w:val="009E621C"/>
    <w:rsid w:val="00AB22AE"/>
    <w:rsid w:val="00AC6940"/>
    <w:rsid w:val="00AD215C"/>
    <w:rsid w:val="00B81504"/>
    <w:rsid w:val="00B96C7B"/>
    <w:rsid w:val="00BA4B48"/>
    <w:rsid w:val="00C460CC"/>
    <w:rsid w:val="00D15B1A"/>
    <w:rsid w:val="00D27081"/>
    <w:rsid w:val="00D449C7"/>
    <w:rsid w:val="00D64AC7"/>
    <w:rsid w:val="00D7559C"/>
    <w:rsid w:val="00D92E60"/>
    <w:rsid w:val="00D9769E"/>
    <w:rsid w:val="00DB447D"/>
    <w:rsid w:val="00EA73C8"/>
    <w:rsid w:val="00F43D7F"/>
    <w:rsid w:val="00F8074E"/>
    <w:rsid w:val="00F903FD"/>
    <w:rsid w:val="00FC4DD7"/>
    <w:rsid w:val="02726CCE"/>
    <w:rsid w:val="0E7F7065"/>
    <w:rsid w:val="11620A10"/>
    <w:rsid w:val="19091A44"/>
    <w:rsid w:val="1B4B2EF5"/>
    <w:rsid w:val="29D758F5"/>
    <w:rsid w:val="30946DF3"/>
    <w:rsid w:val="33E923D6"/>
    <w:rsid w:val="464247D1"/>
    <w:rsid w:val="559B3E21"/>
    <w:rsid w:val="5F46023B"/>
    <w:rsid w:val="661C4623"/>
    <w:rsid w:val="69345488"/>
    <w:rsid w:val="75251B51"/>
    <w:rsid w:val="7F070C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Calibri" w:cs="Calibri"/>
      <w:color w:val="000000"/>
      <w:kern w:val="2"/>
      <w:sz w:val="21"/>
      <w:szCs w:val="21"/>
      <w:u w:color="000000"/>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4"/>
    <w:unhideWhenUsed/>
    <w:qFormat/>
    <w:uiPriority w:val="99"/>
    <w:pPr>
      <w:tabs>
        <w:tab w:val="center" w:pos="4153"/>
        <w:tab w:val="right" w:pos="8306"/>
      </w:tabs>
      <w:snapToGrid w:val="0"/>
      <w:jc w:val="left"/>
    </w:pPr>
    <w:rPr>
      <w:sz w:val="18"/>
      <w:szCs w:val="18"/>
    </w:rPr>
  </w:style>
  <w:style w:type="paragraph" w:styleId="3">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szCs w:val="24"/>
    </w:rPr>
  </w:style>
  <w:style w:type="character" w:styleId="7">
    <w:name w:val="Hyperlink"/>
    <w:qFormat/>
    <w:uiPriority w:val="0"/>
    <w:rPr>
      <w:u w:val="single"/>
    </w:rPr>
  </w:style>
  <w:style w:type="table" w:customStyle="1" w:styleId="8">
    <w:name w:val="Table Normal"/>
    <w:uiPriority w:val="0"/>
    <w:tblPr>
      <w:tblCellMar>
        <w:top w:w="0" w:type="dxa"/>
        <w:left w:w="0" w:type="dxa"/>
        <w:bottom w:w="0" w:type="dxa"/>
        <w:right w:w="0" w:type="dxa"/>
      </w:tblCellMar>
    </w:tblPr>
  </w:style>
  <w:style w:type="paragraph" w:customStyle="1" w:styleId="9">
    <w:name w:val="页眉与页脚"/>
    <w:uiPriority w:val="0"/>
    <w:pPr>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10">
    <w:name w:val="表格样式 2 A"/>
    <w:uiPriority w:val="0"/>
    <w:pPr>
      <w:widowControl w:val="0"/>
      <w:jc w:val="both"/>
    </w:pPr>
    <w:rPr>
      <w:rFonts w:ascii="Helvetica Neue" w:hAnsi="Helvetica Neue" w:eastAsia="Arial Unicode MS" w:cs="Arial Unicode MS"/>
      <w:color w:val="000000"/>
      <w:u w:color="000000"/>
      <w:lang w:val="en-US" w:eastAsia="zh-CN" w:bidi="ar-SA"/>
    </w:rPr>
  </w:style>
  <w:style w:type="paragraph" w:styleId="11">
    <w:name w:val="List Paragraph"/>
    <w:basedOn w:val="1"/>
    <w:uiPriority w:val="0"/>
    <w:pPr>
      <w:ind w:firstLine="420"/>
    </w:pPr>
  </w:style>
  <w:style w:type="paragraph" w:customStyle="1" w:styleId="12">
    <w:name w:val="表格样式 2"/>
    <w:qFormat/>
    <w:uiPriority w:val="0"/>
    <w:rPr>
      <w:rFonts w:ascii="Helvetica Neue" w:hAnsi="Helvetica Neue" w:eastAsia="Helvetica Neue" w:cs="Helvetica Neue"/>
      <w:color w:val="000000"/>
      <w:lang w:val="en-US" w:eastAsia="zh-CN" w:bidi="ar-SA"/>
    </w:rPr>
  </w:style>
  <w:style w:type="character" w:customStyle="1" w:styleId="13">
    <w:name w:val="页眉 字符"/>
    <w:basedOn w:val="6"/>
    <w:link w:val="3"/>
    <w:qFormat/>
    <w:uiPriority w:val="99"/>
    <w:rPr>
      <w:rFonts w:ascii="Calibri" w:hAnsi="Calibri" w:eastAsia="Calibri" w:cs="Calibri"/>
      <w:color w:val="000000"/>
      <w:kern w:val="2"/>
      <w:sz w:val="18"/>
      <w:szCs w:val="18"/>
      <w:u w:color="000000"/>
    </w:rPr>
  </w:style>
  <w:style w:type="character" w:customStyle="1" w:styleId="14">
    <w:name w:val="页脚 字符"/>
    <w:basedOn w:val="6"/>
    <w:link w:val="2"/>
    <w:uiPriority w:val="99"/>
    <w:rPr>
      <w:rFonts w:ascii="Calibri" w:hAnsi="Calibri" w:eastAsia="Calibri" w:cs="Calibri"/>
      <w:color w:val="000000"/>
      <w:kern w:val="2"/>
      <w:sz w:val="18"/>
      <w:szCs w:val="18"/>
      <w:u w:color="0000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8" tIns="45718" rIns="45718" bIns="45718"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375</Words>
  <Characters>2142</Characters>
  <Lines>17</Lines>
  <Paragraphs>5</Paragraphs>
  <TotalTime>2</TotalTime>
  <ScaleCrop>false</ScaleCrop>
  <LinksUpToDate>false</LinksUpToDate>
  <CharactersWithSpaces>2512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2019-06-03T07:08:00Z</dcterms:created>
  <dc:creator>DJZX-CSN</dc:creator>
  <cp:lastModifiedBy>Administrator</cp:lastModifiedBy>
  <dcterms:modified xsi:type="dcterms:W3CDTF">2019-11-26T06:37:22Z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