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ascii="宋体" w:hAnsi="宋体" w:cs="宋体"/>
          <w:b/>
          <w:sz w:val="24"/>
          <w:szCs w:val="24"/>
          <w:u w:val="single"/>
        </w:rPr>
      </w:pPr>
    </w:p>
    <w:p>
      <w:pPr>
        <w:spacing w:line="360" w:lineRule="auto"/>
        <w:ind w:firstLine="883"/>
        <w:jc w:val="center"/>
        <w:rPr>
          <w:rFonts w:ascii="宋体" w:hAnsi="宋体" w:cs="宋体"/>
          <w:b/>
          <w:sz w:val="44"/>
          <w:szCs w:val="44"/>
        </w:rPr>
      </w:pPr>
    </w:p>
    <w:p>
      <w:pPr>
        <w:spacing w:line="360" w:lineRule="auto"/>
        <w:ind w:firstLine="883"/>
        <w:jc w:val="center"/>
        <w:rPr>
          <w:rFonts w:ascii="宋体" w:hAnsi="宋体" w:cs="宋体"/>
          <w:b/>
          <w:sz w:val="44"/>
          <w:szCs w:val="44"/>
        </w:rPr>
      </w:pPr>
      <w:r>
        <w:rPr>
          <w:rFonts w:hint="eastAsia" w:ascii="宋体" w:hAnsi="宋体" w:cs="宋体"/>
          <w:b/>
          <w:sz w:val="44"/>
          <w:szCs w:val="44"/>
        </w:rPr>
        <w:t>多语言网站内容建设与运营推广项目</w:t>
      </w:r>
    </w:p>
    <w:p>
      <w:pPr>
        <w:spacing w:line="360" w:lineRule="auto"/>
        <w:ind w:firstLine="482"/>
        <w:jc w:val="center"/>
        <w:rPr>
          <w:rFonts w:ascii="宋体" w:hAnsi="宋体" w:cs="宋体"/>
          <w:b/>
          <w:sz w:val="24"/>
          <w:szCs w:val="24"/>
        </w:rPr>
      </w:pPr>
    </w:p>
    <w:p>
      <w:pPr>
        <w:spacing w:line="360" w:lineRule="auto"/>
        <w:ind w:firstLine="482"/>
        <w:jc w:val="center"/>
        <w:rPr>
          <w:rFonts w:ascii="宋体" w:hAnsi="宋体" w:cs="宋体"/>
          <w:b/>
          <w:sz w:val="24"/>
          <w:szCs w:val="24"/>
        </w:rPr>
      </w:pPr>
    </w:p>
    <w:p>
      <w:pPr>
        <w:spacing w:line="360" w:lineRule="auto"/>
        <w:ind w:firstLine="482"/>
        <w:jc w:val="center"/>
        <w:rPr>
          <w:rFonts w:ascii="宋体" w:hAnsi="宋体" w:cs="宋体"/>
          <w:b/>
          <w:sz w:val="24"/>
          <w:szCs w:val="24"/>
        </w:rPr>
      </w:pPr>
    </w:p>
    <w:p>
      <w:pPr>
        <w:pStyle w:val="18"/>
        <w:ind w:firstLine="528"/>
        <w:rPr>
          <w:rFonts w:hAnsi="宋体" w:eastAsia="宋体" w:cs="宋体"/>
        </w:rPr>
      </w:pPr>
    </w:p>
    <w:p>
      <w:pPr>
        <w:spacing w:line="360" w:lineRule="auto"/>
        <w:ind w:firstLine="482"/>
        <w:jc w:val="center"/>
        <w:rPr>
          <w:rFonts w:ascii="宋体" w:hAnsi="宋体" w:cs="宋体"/>
          <w:b/>
          <w:sz w:val="24"/>
          <w:szCs w:val="24"/>
        </w:rPr>
      </w:pPr>
    </w:p>
    <w:p>
      <w:pPr>
        <w:spacing w:line="360" w:lineRule="auto"/>
        <w:ind w:firstLine="482"/>
        <w:jc w:val="center"/>
        <w:rPr>
          <w:rFonts w:ascii="宋体" w:hAnsi="宋体" w:cs="宋体"/>
          <w:b/>
          <w:sz w:val="24"/>
          <w:szCs w:val="24"/>
        </w:rPr>
      </w:pPr>
    </w:p>
    <w:p>
      <w:pPr>
        <w:spacing w:line="360" w:lineRule="auto"/>
        <w:ind w:firstLine="1446"/>
        <w:jc w:val="center"/>
        <w:rPr>
          <w:rFonts w:ascii="宋体" w:hAnsi="宋体" w:cs="宋体"/>
          <w:b/>
          <w:sz w:val="72"/>
          <w:szCs w:val="72"/>
        </w:rPr>
      </w:pPr>
      <w:r>
        <w:rPr>
          <w:rFonts w:hint="eastAsia" w:ascii="宋体" w:hAnsi="宋体" w:cs="宋体"/>
          <w:b/>
          <w:sz w:val="72"/>
          <w:szCs w:val="72"/>
        </w:rPr>
        <w:t>招 标 文 件</w:t>
      </w:r>
    </w:p>
    <w:p>
      <w:pPr>
        <w:spacing w:line="360" w:lineRule="auto"/>
        <w:ind w:firstLine="643"/>
        <w:jc w:val="center"/>
        <w:rPr>
          <w:rFonts w:ascii="宋体" w:hAnsi="宋体" w:cs="宋体"/>
          <w:b/>
          <w:sz w:val="32"/>
          <w:szCs w:val="32"/>
        </w:rPr>
      </w:pPr>
      <w:r>
        <w:rPr>
          <w:rFonts w:hint="eastAsia" w:ascii="宋体" w:hAnsi="宋体" w:cs="宋体"/>
          <w:b/>
          <w:sz w:val="32"/>
          <w:szCs w:val="32"/>
        </w:rPr>
        <w:t>招标编号：</w:t>
      </w:r>
      <w:r>
        <w:rPr>
          <w:rFonts w:hint="eastAsia" w:ascii="宋体" w:hAnsi="宋体" w:cs="宋体"/>
          <w:b/>
          <w:sz w:val="32"/>
          <w:szCs w:val="32"/>
          <w:highlight w:val="none"/>
        </w:rPr>
        <w:t>11000024210200105816-XM001</w:t>
      </w:r>
    </w:p>
    <w:p>
      <w:pPr>
        <w:spacing w:line="360" w:lineRule="auto"/>
        <w:ind w:firstLine="482"/>
        <w:rPr>
          <w:rFonts w:ascii="宋体" w:hAnsi="宋体" w:cs="宋体"/>
          <w:b/>
          <w:sz w:val="24"/>
          <w:szCs w:val="24"/>
        </w:rPr>
      </w:pPr>
    </w:p>
    <w:p>
      <w:pPr>
        <w:spacing w:line="360" w:lineRule="auto"/>
        <w:ind w:firstLine="482"/>
        <w:jc w:val="center"/>
        <w:rPr>
          <w:rFonts w:ascii="宋体" w:hAnsi="宋体" w:cs="宋体"/>
          <w:b/>
          <w:sz w:val="24"/>
          <w:szCs w:val="24"/>
        </w:rPr>
      </w:pPr>
    </w:p>
    <w:p>
      <w:pPr>
        <w:spacing w:line="360" w:lineRule="auto"/>
        <w:ind w:firstLine="482"/>
        <w:jc w:val="center"/>
        <w:rPr>
          <w:rFonts w:ascii="宋体" w:hAnsi="宋体" w:cs="宋体"/>
          <w:b/>
          <w:sz w:val="24"/>
          <w:szCs w:val="24"/>
        </w:rPr>
      </w:pPr>
    </w:p>
    <w:p>
      <w:pPr>
        <w:spacing w:line="360" w:lineRule="auto"/>
        <w:ind w:firstLine="482"/>
        <w:jc w:val="center"/>
        <w:rPr>
          <w:rFonts w:ascii="宋体" w:hAnsi="宋体" w:cs="宋体"/>
          <w:b/>
          <w:sz w:val="24"/>
          <w:szCs w:val="24"/>
        </w:rPr>
      </w:pPr>
    </w:p>
    <w:p>
      <w:pPr>
        <w:spacing w:line="360" w:lineRule="auto"/>
        <w:ind w:firstLine="643"/>
        <w:jc w:val="center"/>
        <w:rPr>
          <w:rFonts w:ascii="宋体" w:hAnsi="宋体" w:cs="宋体"/>
          <w:b/>
          <w:sz w:val="32"/>
          <w:szCs w:val="32"/>
        </w:rPr>
      </w:pPr>
    </w:p>
    <w:p>
      <w:pPr>
        <w:spacing w:line="360" w:lineRule="auto"/>
        <w:ind w:firstLine="803" w:firstLineChars="250"/>
        <w:rPr>
          <w:rFonts w:ascii="宋体" w:hAnsi="宋体" w:cs="宋体"/>
          <w:b/>
          <w:sz w:val="32"/>
          <w:szCs w:val="32"/>
        </w:rPr>
      </w:pPr>
      <w:r>
        <w:rPr>
          <w:rFonts w:hint="eastAsia" w:ascii="宋体" w:hAnsi="宋体" w:cs="宋体"/>
          <w:b/>
          <w:sz w:val="32"/>
          <w:szCs w:val="32"/>
        </w:rPr>
        <w:t>采   购   人：北京市文化和旅游局宣传中心（北京</w:t>
      </w:r>
    </w:p>
    <w:p>
      <w:pPr>
        <w:spacing w:line="360" w:lineRule="auto"/>
        <w:ind w:firstLine="3052" w:firstLineChars="950"/>
        <w:rPr>
          <w:rFonts w:ascii="宋体" w:hAnsi="宋体" w:cs="宋体"/>
          <w:b/>
          <w:sz w:val="32"/>
          <w:szCs w:val="32"/>
          <w:u w:val="single"/>
        </w:rPr>
      </w:pPr>
      <w:r>
        <w:rPr>
          <w:rFonts w:hint="eastAsia" w:ascii="宋体" w:hAnsi="宋体" w:cs="宋体"/>
          <w:b/>
          <w:sz w:val="32"/>
          <w:szCs w:val="32"/>
        </w:rPr>
        <w:t>市旅游运行监测中心）</w:t>
      </w:r>
    </w:p>
    <w:p>
      <w:pPr>
        <w:spacing w:line="360" w:lineRule="auto"/>
        <w:ind w:right="315" w:rightChars="150" w:firstLine="803" w:firstLineChars="250"/>
        <w:rPr>
          <w:rFonts w:ascii="宋体" w:hAnsi="宋体" w:cs="宋体"/>
          <w:b/>
          <w:sz w:val="32"/>
          <w:szCs w:val="32"/>
        </w:rPr>
      </w:pPr>
      <w:r>
        <w:rPr>
          <w:rFonts w:hint="eastAsia" w:ascii="宋体" w:hAnsi="宋体" w:cs="宋体"/>
          <w:b/>
          <w:sz w:val="32"/>
          <w:szCs w:val="32"/>
        </w:rPr>
        <w:t>采购代理机构：北京市京发招标有限公司</w:t>
      </w:r>
    </w:p>
    <w:p>
      <w:pPr>
        <w:spacing w:line="360" w:lineRule="auto"/>
        <w:ind w:firstLine="602"/>
        <w:jc w:val="center"/>
        <w:rPr>
          <w:rFonts w:ascii="宋体" w:hAnsi="宋体" w:cs="宋体"/>
          <w:b/>
          <w:sz w:val="30"/>
          <w:szCs w:val="30"/>
        </w:rPr>
      </w:pPr>
    </w:p>
    <w:p>
      <w:pPr>
        <w:spacing w:line="360" w:lineRule="auto"/>
        <w:ind w:firstLine="602"/>
        <w:jc w:val="center"/>
        <w:rPr>
          <w:rFonts w:ascii="宋体" w:hAnsi="宋体" w:cs="宋体"/>
          <w:b/>
          <w:sz w:val="30"/>
          <w:szCs w:val="30"/>
        </w:rPr>
      </w:pPr>
    </w:p>
    <w:p>
      <w:pPr>
        <w:spacing w:line="360" w:lineRule="auto"/>
        <w:ind w:firstLine="602"/>
        <w:jc w:val="center"/>
        <w:rPr>
          <w:rFonts w:ascii="宋体" w:hAnsi="宋体" w:cs="宋体"/>
          <w:b/>
          <w:sz w:val="30"/>
          <w:szCs w:val="30"/>
        </w:rPr>
        <w:sectPr>
          <w:footerReference r:id="rId3" w:type="default"/>
          <w:pgSz w:w="11906" w:h="16838"/>
          <w:pgMar w:top="1440" w:right="1800" w:bottom="1440" w:left="1800" w:header="851" w:footer="0" w:gutter="0"/>
          <w:cols w:space="720" w:num="1"/>
          <w:docGrid w:type="lines" w:linePitch="312" w:charSpace="0"/>
        </w:sectPr>
      </w:pPr>
      <w:r>
        <w:rPr>
          <w:rFonts w:hint="eastAsia" w:ascii="宋体" w:hAnsi="宋体" w:cs="宋体"/>
          <w:b/>
          <w:sz w:val="30"/>
          <w:szCs w:val="30"/>
        </w:rPr>
        <w:t>二〇二</w:t>
      </w:r>
      <w:r>
        <w:rPr>
          <w:rFonts w:ascii="宋体" w:hAnsi="宋体" w:cs="宋体"/>
          <w:b/>
          <w:sz w:val="30"/>
          <w:szCs w:val="30"/>
        </w:rPr>
        <w:t>五</w:t>
      </w:r>
      <w:r>
        <w:rPr>
          <w:rFonts w:hint="eastAsia" w:ascii="宋体" w:hAnsi="宋体" w:cs="宋体"/>
          <w:b/>
          <w:sz w:val="30"/>
          <w:szCs w:val="30"/>
        </w:rPr>
        <w:t>年一月</w:t>
      </w:r>
    </w:p>
    <w:p>
      <w:pPr>
        <w:widowControl/>
        <w:spacing w:line="360" w:lineRule="auto"/>
        <w:ind w:firstLine="482"/>
        <w:jc w:val="center"/>
        <w:rPr>
          <w:rFonts w:ascii="宋体" w:hAnsi="宋体" w:cs="宋体"/>
          <w:b/>
          <w:sz w:val="24"/>
          <w:szCs w:val="24"/>
          <w:lang w:val="zh-CN"/>
        </w:rPr>
      </w:pPr>
      <w:r>
        <w:rPr>
          <w:rFonts w:hint="eastAsia" w:ascii="宋体" w:hAnsi="宋体" w:cs="宋体"/>
          <w:b/>
          <w:sz w:val="24"/>
          <w:szCs w:val="24"/>
          <w:lang w:val="zh-CN"/>
        </w:rPr>
        <w:t>目  录</w:t>
      </w:r>
    </w:p>
    <w:p>
      <w:pPr>
        <w:pStyle w:val="32"/>
        <w:ind w:firstLine="420"/>
        <w:rPr>
          <w:rFonts w:ascii="宋体" w:hAnsi="宋体" w:cs="宋体"/>
          <w:szCs w:val="22"/>
        </w:rPr>
      </w:pPr>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r>
        <w:fldChar w:fldCharType="begin"/>
      </w:r>
      <w:r>
        <w:instrText xml:space="preserve"> HYPERLINK \l "_Toc100786133" </w:instrText>
      </w:r>
      <w:r>
        <w:fldChar w:fldCharType="separate"/>
      </w:r>
      <w:r>
        <w:rPr>
          <w:rStyle w:val="55"/>
          <w:rFonts w:hint="eastAsia" w:ascii="宋体" w:hAnsi="宋体" w:cs="宋体"/>
          <w:color w:val="auto"/>
        </w:rPr>
        <w:t>第一章投标邀请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_Toc100786133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"_Toc100786134" </w:instrText>
      </w:r>
      <w:r>
        <w:fldChar w:fldCharType="separate"/>
      </w:r>
      <w:r>
        <w:rPr>
          <w:rStyle w:val="55"/>
          <w:rFonts w:hint="eastAsia" w:ascii="宋体" w:hAnsi="宋体" w:cs="宋体"/>
          <w:color w:val="auto"/>
        </w:rPr>
        <w:t>第二章投标人须知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_Toc100786134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"_Toc100786135" </w:instrText>
      </w:r>
      <w:r>
        <w:fldChar w:fldCharType="separate"/>
      </w:r>
      <w:r>
        <w:rPr>
          <w:rStyle w:val="55"/>
          <w:rFonts w:hint="eastAsia" w:ascii="宋体" w:hAnsi="宋体" w:cs="宋体"/>
          <w:color w:val="auto"/>
        </w:rPr>
        <w:t>投标人须知资料表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_Toc100786135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"_Toc100786136" </w:instrText>
      </w:r>
      <w:r>
        <w:fldChar w:fldCharType="separate"/>
      </w:r>
      <w:r>
        <w:rPr>
          <w:rStyle w:val="55"/>
          <w:rFonts w:hint="eastAsia" w:ascii="宋体" w:hAnsi="宋体" w:cs="宋体"/>
          <w:color w:val="auto"/>
        </w:rPr>
        <w:t>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_Toc100786136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"_Toc100786137" </w:instrText>
      </w:r>
      <w:r>
        <w:fldChar w:fldCharType="separate"/>
      </w:r>
      <w:r>
        <w:rPr>
          <w:rStyle w:val="55"/>
          <w:rFonts w:hint="eastAsia" w:ascii="宋体" w:hAnsi="宋体" w:cs="宋体"/>
          <w:color w:val="auto"/>
        </w:rPr>
        <w:t>（一）说明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_Toc100786137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"_Toc100786138" </w:instrText>
      </w:r>
      <w:r>
        <w:fldChar w:fldCharType="separate"/>
      </w:r>
      <w:r>
        <w:rPr>
          <w:rStyle w:val="55"/>
          <w:rFonts w:hint="eastAsia" w:ascii="宋体" w:hAnsi="宋体" w:cs="宋体"/>
          <w:color w:val="auto"/>
        </w:rPr>
        <w:t>（二）招标文件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_Toc100786138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"_Toc100786139" </w:instrText>
      </w:r>
      <w:r>
        <w:fldChar w:fldCharType="separate"/>
      </w:r>
      <w:r>
        <w:rPr>
          <w:rStyle w:val="55"/>
          <w:rFonts w:hint="eastAsia" w:ascii="宋体" w:hAnsi="宋体" w:cs="宋体"/>
          <w:color w:val="auto"/>
        </w:rPr>
        <w:t>（三）投标文件的编制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_Toc100786139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"_Toc100786140" </w:instrText>
      </w:r>
      <w:r>
        <w:fldChar w:fldCharType="separate"/>
      </w:r>
      <w:r>
        <w:rPr>
          <w:rStyle w:val="55"/>
          <w:rFonts w:hint="eastAsia" w:ascii="宋体" w:hAnsi="宋体" w:cs="宋体"/>
          <w:color w:val="auto"/>
        </w:rPr>
        <w:t>（四）投标文件的提交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_Toc100786140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"_Toc100786141" </w:instrText>
      </w:r>
      <w:r>
        <w:fldChar w:fldCharType="separate"/>
      </w:r>
      <w:r>
        <w:rPr>
          <w:rStyle w:val="55"/>
          <w:rFonts w:hint="eastAsia" w:ascii="宋体" w:hAnsi="宋体" w:cs="宋体"/>
          <w:color w:val="auto"/>
        </w:rPr>
        <w:t>（五）开标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_Toc100786141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"_Toc100786142" </w:instrText>
      </w:r>
      <w:r>
        <w:fldChar w:fldCharType="separate"/>
      </w:r>
      <w:r>
        <w:rPr>
          <w:rStyle w:val="55"/>
          <w:rFonts w:hint="eastAsia" w:ascii="宋体" w:hAnsi="宋体" w:cs="宋体"/>
          <w:color w:val="auto"/>
        </w:rPr>
        <w:t>（六）资格审查和评标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_Toc100786142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"_Toc100786143" </w:instrText>
      </w:r>
      <w:r>
        <w:fldChar w:fldCharType="separate"/>
      </w:r>
      <w:r>
        <w:rPr>
          <w:rStyle w:val="55"/>
          <w:rFonts w:hint="eastAsia" w:ascii="宋体" w:hAnsi="宋体" w:cs="宋体"/>
          <w:color w:val="auto"/>
        </w:rPr>
        <w:t>（七）确定中标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_Toc100786143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"_Toc100786144" </w:instrText>
      </w:r>
      <w:r>
        <w:fldChar w:fldCharType="separate"/>
      </w:r>
      <w:r>
        <w:rPr>
          <w:rStyle w:val="55"/>
          <w:rFonts w:hint="eastAsia" w:ascii="宋体" w:hAnsi="宋体" w:cs="宋体"/>
          <w:color w:val="auto"/>
        </w:rPr>
        <w:t>（八）纪律和监督</w:t>
      </w:r>
      <w:bookmarkStart w:id="896" w:name="_GoBack"/>
      <w:bookmarkEnd w:id="896"/>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_Toc100786144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"_Toc100786145" </w:instrText>
      </w:r>
      <w:r>
        <w:fldChar w:fldCharType="separate"/>
      </w:r>
      <w:r>
        <w:rPr>
          <w:rStyle w:val="55"/>
          <w:rFonts w:hint="eastAsia" w:ascii="宋体" w:hAnsi="宋体" w:cs="宋体"/>
          <w:color w:val="auto"/>
        </w:rPr>
        <w:t>第三章拟定签订的合同文本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_Toc100786145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"_Toc100786146" </w:instrText>
      </w:r>
      <w:r>
        <w:fldChar w:fldCharType="separate"/>
      </w:r>
      <w:r>
        <w:rPr>
          <w:rStyle w:val="55"/>
          <w:rFonts w:hint="eastAsia" w:ascii="宋体" w:hAnsi="宋体" w:cs="宋体"/>
          <w:color w:val="auto"/>
        </w:rPr>
        <w:t>第四章投标文件格式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_Toc100786146 \h </w:instrText>
      </w:r>
      <w:r>
        <w:rPr>
          <w:rFonts w:hint="eastAsia" w:ascii="宋体" w:hAnsi="宋体" w:cs="宋体"/>
        </w:rPr>
        <w:fldChar w:fldCharType="separate"/>
      </w:r>
      <w:r>
        <w:rPr>
          <w:rFonts w:hint="eastAsia" w:ascii="宋体" w:hAnsi="宋体" w:cs="宋体"/>
        </w:rPr>
        <w:t>54</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"_Toc100786147" </w:instrText>
      </w:r>
      <w:r>
        <w:fldChar w:fldCharType="separate"/>
      </w:r>
      <w:r>
        <w:rPr>
          <w:rStyle w:val="55"/>
          <w:rFonts w:hint="eastAsia" w:ascii="宋体" w:hAnsi="宋体" w:cs="宋体"/>
          <w:color w:val="auto"/>
        </w:rPr>
        <w:t>附件1  投标函（实质性格式）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_Toc100786147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"_Toc100786148" </w:instrText>
      </w:r>
      <w:r>
        <w:fldChar w:fldCharType="separate"/>
      </w:r>
      <w:r>
        <w:rPr>
          <w:rStyle w:val="55"/>
          <w:rFonts w:hint="eastAsia" w:ascii="宋体" w:hAnsi="宋体" w:cs="宋体"/>
          <w:color w:val="auto"/>
        </w:rPr>
        <w:t>附件2  开标一览表（实质性格式）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_Toc100786148 \h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"_Toc100786149" </w:instrText>
      </w:r>
      <w:r>
        <w:fldChar w:fldCharType="separate"/>
      </w:r>
      <w:r>
        <w:rPr>
          <w:rStyle w:val="55"/>
          <w:rFonts w:hint="eastAsia" w:ascii="宋体" w:hAnsi="宋体" w:cs="宋体"/>
          <w:color w:val="auto"/>
        </w:rPr>
        <w:t>附件3  投标分项报价表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_Toc100786149 \h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"_Toc100786150" </w:instrText>
      </w:r>
      <w:r>
        <w:fldChar w:fldCharType="separate"/>
      </w:r>
      <w:r>
        <w:rPr>
          <w:rStyle w:val="55"/>
          <w:rFonts w:hint="eastAsia" w:ascii="宋体" w:hAnsi="宋体" w:cs="宋体"/>
          <w:color w:val="auto"/>
        </w:rPr>
        <w:t>附件4  采购需求偏离表（实质性格式）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_Toc100786150 \h </w:instrText>
      </w:r>
      <w:r>
        <w:rPr>
          <w:rFonts w:hint="eastAsia" w:ascii="宋体" w:hAnsi="宋体" w:cs="宋体"/>
        </w:rPr>
        <w:fldChar w:fldCharType="separate"/>
      </w:r>
      <w:r>
        <w:rPr>
          <w:rFonts w:hint="eastAsia" w:ascii="宋体" w:hAnsi="宋体" w:cs="宋体"/>
        </w:rPr>
        <w:t>60</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"_Toc100786151" </w:instrText>
      </w:r>
      <w:r>
        <w:fldChar w:fldCharType="separate"/>
      </w:r>
      <w:r>
        <w:rPr>
          <w:rStyle w:val="55"/>
          <w:rFonts w:hint="eastAsia" w:ascii="宋体" w:hAnsi="宋体" w:cs="宋体"/>
          <w:color w:val="auto"/>
        </w:rPr>
        <w:t>附件5  合同条款偏离表（实质性格式）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_Toc100786151 \h </w:instrText>
      </w:r>
      <w:r>
        <w:rPr>
          <w:rFonts w:hint="eastAsia" w:ascii="宋体" w:hAnsi="宋体" w:cs="宋体"/>
        </w:rPr>
        <w:fldChar w:fldCharType="separate"/>
      </w:r>
      <w:r>
        <w:rPr>
          <w:rFonts w:hint="eastAsia" w:ascii="宋体" w:hAnsi="宋体" w:cs="宋体"/>
        </w:rPr>
        <w:t>61</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"_Toc100786152" </w:instrText>
      </w:r>
      <w:r>
        <w:fldChar w:fldCharType="separate"/>
      </w:r>
      <w:r>
        <w:rPr>
          <w:rStyle w:val="55"/>
          <w:rFonts w:hint="eastAsia" w:ascii="宋体" w:hAnsi="宋体" w:cs="宋体"/>
          <w:color w:val="auto"/>
        </w:rPr>
        <w:t>附件6  证明文件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_Toc100786152 \h </w:instrText>
      </w:r>
      <w:r>
        <w:rPr>
          <w:rFonts w:hint="eastAsia" w:ascii="宋体" w:hAnsi="宋体" w:cs="宋体"/>
        </w:rPr>
        <w:fldChar w:fldCharType="separate"/>
      </w:r>
      <w:r>
        <w:rPr>
          <w:rFonts w:hint="eastAsia" w:ascii="宋体" w:hAnsi="宋体" w:cs="宋体"/>
        </w:rPr>
        <w:t>62</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"_Toc100786166" </w:instrText>
      </w:r>
      <w:r>
        <w:fldChar w:fldCharType="separate"/>
      </w:r>
      <w:r>
        <w:rPr>
          <w:rStyle w:val="55"/>
          <w:rFonts w:hint="eastAsia" w:ascii="宋体" w:hAnsi="宋体" w:cs="宋体"/>
          <w:color w:val="auto"/>
        </w:rPr>
        <w:t>附件7  政府采购投标担保函（实质性格式）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_Toc100786166 \h </w:instrText>
      </w:r>
      <w:r>
        <w:rPr>
          <w:rFonts w:hint="eastAsia" w:ascii="宋体" w:hAnsi="宋体" w:cs="宋体"/>
        </w:rPr>
        <w:fldChar w:fldCharType="separate"/>
      </w:r>
      <w:r>
        <w:rPr>
          <w:rFonts w:hint="eastAsia" w:ascii="宋体" w:hAnsi="宋体" w:cs="宋体"/>
        </w:rPr>
        <w:t>80</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"_Toc100786167" </w:instrText>
      </w:r>
      <w:r>
        <w:fldChar w:fldCharType="separate"/>
      </w:r>
      <w:r>
        <w:rPr>
          <w:rStyle w:val="55"/>
          <w:rFonts w:hint="eastAsia" w:ascii="宋体" w:hAnsi="宋体" w:cs="宋体"/>
          <w:color w:val="auto"/>
        </w:rPr>
        <w:t>附件8  履约保证金保函格式（中标后开具）（本项目不适用）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_Toc100786167 \h </w:instrText>
      </w:r>
      <w:r>
        <w:rPr>
          <w:rFonts w:hint="eastAsia" w:ascii="宋体" w:hAnsi="宋体" w:cs="宋体"/>
        </w:rPr>
        <w:fldChar w:fldCharType="separate"/>
      </w:r>
      <w:r>
        <w:rPr>
          <w:rFonts w:hint="eastAsia" w:ascii="宋体" w:hAnsi="宋体" w:cs="宋体"/>
        </w:rPr>
        <w:t>82</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"_Toc100786168" </w:instrText>
      </w:r>
      <w:r>
        <w:fldChar w:fldCharType="separate"/>
      </w:r>
      <w:r>
        <w:rPr>
          <w:rStyle w:val="55"/>
          <w:rFonts w:hint="eastAsia" w:ascii="宋体" w:hAnsi="宋体" w:cs="宋体"/>
          <w:color w:val="auto"/>
        </w:rPr>
        <w:t>附件9  节能产品、环境标志产品的证明材料（如有）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_Toc100786168 \h </w:instrText>
      </w:r>
      <w:r>
        <w:rPr>
          <w:rFonts w:hint="eastAsia" w:ascii="宋体" w:hAnsi="宋体" w:cs="宋体"/>
        </w:rPr>
        <w:fldChar w:fldCharType="separate"/>
      </w:r>
      <w:r>
        <w:rPr>
          <w:rFonts w:hint="eastAsia" w:ascii="宋体" w:hAnsi="宋体" w:cs="宋体"/>
        </w:rPr>
        <w:t>84</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"_Toc100786169" </w:instrText>
      </w:r>
      <w:r>
        <w:fldChar w:fldCharType="separate"/>
      </w:r>
      <w:r>
        <w:rPr>
          <w:rStyle w:val="55"/>
          <w:rFonts w:hint="eastAsia" w:ascii="宋体" w:hAnsi="宋体" w:cs="宋体"/>
          <w:color w:val="auto"/>
        </w:rPr>
        <w:t>附件10  业绩证明材料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_Toc100786169 \h </w:instrText>
      </w:r>
      <w:r>
        <w:rPr>
          <w:rFonts w:hint="eastAsia" w:ascii="宋体" w:hAnsi="宋体" w:cs="宋体"/>
        </w:rPr>
        <w:fldChar w:fldCharType="separate"/>
      </w:r>
      <w:r>
        <w:rPr>
          <w:rFonts w:hint="eastAsia" w:ascii="宋体" w:hAnsi="宋体" w:cs="宋体"/>
        </w:rPr>
        <w:t>85</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"_Toc100786170" </w:instrText>
      </w:r>
      <w:r>
        <w:fldChar w:fldCharType="separate"/>
      </w:r>
      <w:r>
        <w:rPr>
          <w:rStyle w:val="55"/>
          <w:rFonts w:hint="eastAsia" w:ascii="宋体" w:hAnsi="宋体" w:cs="宋体"/>
          <w:color w:val="auto"/>
        </w:rPr>
        <w:t>附件11  拟投入本项目的项目组人员配备情况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_Toc100786170 \h </w:instrText>
      </w:r>
      <w:r>
        <w:rPr>
          <w:rFonts w:hint="eastAsia" w:ascii="宋体" w:hAnsi="宋体" w:cs="宋体"/>
        </w:rPr>
        <w:fldChar w:fldCharType="separate"/>
      </w:r>
      <w:r>
        <w:rPr>
          <w:rFonts w:hint="eastAsia" w:ascii="宋体" w:hAnsi="宋体" w:cs="宋体"/>
        </w:rPr>
        <w:t>86</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"_Toc100786171" </w:instrText>
      </w:r>
      <w:r>
        <w:fldChar w:fldCharType="separate"/>
      </w:r>
      <w:r>
        <w:rPr>
          <w:rStyle w:val="55"/>
          <w:rFonts w:hint="eastAsia" w:ascii="宋体" w:hAnsi="宋体" w:cs="宋体"/>
          <w:bCs/>
          <w:color w:val="auto"/>
        </w:rPr>
        <w:t>附件12  服务方案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_Toc100786171 \h </w:instrText>
      </w:r>
      <w:r>
        <w:rPr>
          <w:rFonts w:hint="eastAsia" w:ascii="宋体" w:hAnsi="宋体" w:cs="宋体"/>
        </w:rPr>
        <w:fldChar w:fldCharType="separate"/>
      </w:r>
      <w:r>
        <w:rPr>
          <w:rFonts w:hint="eastAsia" w:ascii="宋体" w:hAnsi="宋体" w:cs="宋体"/>
        </w:rPr>
        <w:t>88</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"_Toc100786172" </w:instrText>
      </w:r>
      <w:r>
        <w:fldChar w:fldCharType="separate"/>
      </w:r>
      <w:r>
        <w:rPr>
          <w:rStyle w:val="55"/>
          <w:rFonts w:hint="eastAsia" w:ascii="宋体" w:hAnsi="宋体" w:cs="宋体"/>
          <w:bCs/>
          <w:color w:val="auto"/>
        </w:rPr>
        <w:t>附件13  具备履行合同所必需的设备和专业技术能力的证明材料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_Toc100786172 \h </w:instrText>
      </w:r>
      <w:r>
        <w:rPr>
          <w:rFonts w:hint="eastAsia" w:ascii="宋体" w:hAnsi="宋体" w:cs="宋体"/>
        </w:rPr>
        <w:fldChar w:fldCharType="separate"/>
      </w:r>
      <w:r>
        <w:rPr>
          <w:rFonts w:hint="eastAsia" w:ascii="宋体" w:hAnsi="宋体" w:cs="宋体"/>
        </w:rPr>
        <w:t>89</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"_Toc100786173" </w:instrText>
      </w:r>
      <w:r>
        <w:fldChar w:fldCharType="separate"/>
      </w:r>
      <w:r>
        <w:rPr>
          <w:rStyle w:val="55"/>
          <w:rFonts w:hint="eastAsia" w:ascii="宋体" w:hAnsi="宋体" w:cs="宋体"/>
          <w:bCs/>
          <w:color w:val="auto"/>
        </w:rPr>
        <w:t>附件14  招标文件要求提供的其他资料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_Toc100786173 \h </w:instrText>
      </w:r>
      <w:r>
        <w:rPr>
          <w:rFonts w:hint="eastAsia" w:ascii="宋体" w:hAnsi="宋体" w:cs="宋体"/>
        </w:rPr>
        <w:fldChar w:fldCharType="separate"/>
      </w:r>
      <w:r>
        <w:rPr>
          <w:rFonts w:hint="eastAsia" w:ascii="宋体" w:hAnsi="宋体" w:cs="宋体"/>
        </w:rPr>
        <w:t>90</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"_Toc100786174" </w:instrText>
      </w:r>
      <w:r>
        <w:fldChar w:fldCharType="separate"/>
      </w:r>
      <w:r>
        <w:rPr>
          <w:rStyle w:val="55"/>
          <w:rFonts w:hint="eastAsia" w:ascii="宋体" w:hAnsi="宋体" w:cs="宋体"/>
          <w:bCs/>
          <w:color w:val="auto"/>
        </w:rPr>
        <w:t>附件15  投标人认为有必要提交的其他文件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_Toc100786174 \h </w:instrText>
      </w:r>
      <w:r>
        <w:rPr>
          <w:rFonts w:hint="eastAsia" w:ascii="宋体" w:hAnsi="宋体" w:cs="宋体"/>
        </w:rPr>
        <w:fldChar w:fldCharType="separate"/>
      </w:r>
      <w:r>
        <w:rPr>
          <w:rFonts w:hint="eastAsia" w:ascii="宋体" w:hAnsi="宋体" w:cs="宋体"/>
        </w:rPr>
        <w:t>91</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"_Toc100786175" </w:instrText>
      </w:r>
      <w:r>
        <w:fldChar w:fldCharType="separate"/>
      </w:r>
      <w:r>
        <w:rPr>
          <w:rStyle w:val="55"/>
          <w:rFonts w:hint="eastAsia" w:ascii="宋体" w:hAnsi="宋体" w:cs="宋体"/>
          <w:color w:val="auto"/>
        </w:rPr>
        <w:t>第五章资格审查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_Toc100786175 \h </w:instrText>
      </w:r>
      <w:r>
        <w:rPr>
          <w:rFonts w:hint="eastAsia" w:ascii="宋体" w:hAnsi="宋体" w:cs="宋体"/>
        </w:rPr>
        <w:fldChar w:fldCharType="separate"/>
      </w:r>
      <w:r>
        <w:rPr>
          <w:rFonts w:hint="eastAsia" w:ascii="宋体" w:hAnsi="宋体" w:cs="宋体"/>
        </w:rPr>
        <w:t>95</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"_Toc100786182" </w:instrText>
      </w:r>
      <w:r>
        <w:fldChar w:fldCharType="separate"/>
      </w:r>
      <w:r>
        <w:rPr>
          <w:rStyle w:val="55"/>
          <w:rFonts w:hint="eastAsia" w:ascii="宋体" w:hAnsi="宋体" w:cs="宋体"/>
          <w:color w:val="auto"/>
        </w:rPr>
        <w:t>第六章评标程序、评标方法和评标标准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_Toc100786182 \h </w:instrText>
      </w:r>
      <w:r>
        <w:rPr>
          <w:rFonts w:hint="eastAsia" w:ascii="宋体" w:hAnsi="宋体" w:cs="宋体"/>
        </w:rPr>
        <w:fldChar w:fldCharType="separate"/>
      </w:r>
      <w:r>
        <w:rPr>
          <w:rFonts w:hint="eastAsia" w:ascii="宋体" w:hAnsi="宋体" w:cs="宋体"/>
        </w:rPr>
        <w:t>97</w:t>
      </w:r>
      <w:r>
        <w:rPr>
          <w:rFonts w:hint="eastAsia" w:ascii="宋体" w:hAnsi="宋体" w:cs="宋体"/>
        </w:rPr>
        <w:fldChar w:fldCharType="end"/>
      </w:r>
      <w:r>
        <w:rPr>
          <w:rFonts w:hint="eastAsia" w:ascii="宋体" w:hAnsi="宋体" w:cs="宋体"/>
        </w:rPr>
        <w:fldChar w:fldCharType="end"/>
      </w:r>
    </w:p>
    <w:p>
      <w:pPr>
        <w:pStyle w:val="32"/>
        <w:ind w:firstLine="420"/>
        <w:rPr>
          <w:rFonts w:ascii="宋体" w:hAnsi="宋体" w:cs="宋体"/>
          <w:szCs w:val="22"/>
        </w:rPr>
      </w:pPr>
      <w:r>
        <w:fldChar w:fldCharType="begin"/>
      </w:r>
      <w:r>
        <w:instrText xml:space="preserve"> HYPERLINK \l "_Toc100786195" </w:instrText>
      </w:r>
      <w:r>
        <w:fldChar w:fldCharType="separate"/>
      </w:r>
      <w:r>
        <w:rPr>
          <w:rStyle w:val="55"/>
          <w:rFonts w:hint="eastAsia" w:ascii="宋体" w:hAnsi="宋体" w:cs="宋体"/>
          <w:color w:val="auto"/>
        </w:rPr>
        <w:t>第七章采购需求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_Toc100786195 \h </w:instrText>
      </w:r>
      <w:r>
        <w:rPr>
          <w:rFonts w:hint="eastAsia" w:ascii="宋体" w:hAnsi="宋体" w:cs="宋体"/>
        </w:rPr>
        <w:fldChar w:fldCharType="separate"/>
      </w:r>
      <w:r>
        <w:rPr>
          <w:rFonts w:hint="eastAsia" w:ascii="宋体" w:hAnsi="宋体" w:cs="宋体"/>
        </w:rPr>
        <w:t>108</w:t>
      </w:r>
      <w:r>
        <w:rPr>
          <w:rFonts w:hint="eastAsia" w:ascii="宋体" w:hAnsi="宋体" w:cs="宋体"/>
        </w:rPr>
        <w:fldChar w:fldCharType="end"/>
      </w:r>
      <w:r>
        <w:rPr>
          <w:rFonts w:hint="eastAsia" w:ascii="宋体" w:hAnsi="宋体" w:cs="宋体"/>
        </w:rPr>
        <w:fldChar w:fldCharType="end"/>
      </w:r>
    </w:p>
    <w:p>
      <w:pPr>
        <w:spacing w:line="360" w:lineRule="auto"/>
        <w:ind w:firstLine="420"/>
        <w:jc w:val="left"/>
        <w:rPr>
          <w:rFonts w:ascii="宋体" w:hAnsi="宋体" w:cs="宋体"/>
          <w:sz w:val="24"/>
          <w:szCs w:val="24"/>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Cs w:val="21"/>
        </w:rPr>
        <w:fldChar w:fldCharType="end"/>
      </w:r>
      <w:bookmarkStart w:id="0" w:name="_Toc327277724"/>
      <w:bookmarkStart w:id="1" w:name="_Toc407175235"/>
      <w:bookmarkStart w:id="2" w:name="_Toc327274368"/>
      <w:bookmarkStart w:id="3" w:name="_Toc447223721"/>
      <w:bookmarkStart w:id="4" w:name="_Toc8323"/>
      <w:bookmarkStart w:id="5" w:name="_Toc486431020"/>
      <w:bookmarkStart w:id="6" w:name="_Toc15879"/>
      <w:bookmarkStart w:id="7" w:name="_Toc29192"/>
      <w:bookmarkStart w:id="8" w:name="_Toc407140553"/>
      <w:bookmarkStart w:id="9" w:name="_Toc486431294"/>
      <w:bookmarkStart w:id="10" w:name="_Toc327274444"/>
    </w:p>
    <w:p>
      <w:pPr>
        <w:pStyle w:val="45"/>
        <w:spacing w:line="360" w:lineRule="auto"/>
        <w:ind w:firstLine="602"/>
        <w:rPr>
          <w:rFonts w:ascii="宋体" w:hAnsi="宋体" w:eastAsia="宋体" w:cs="宋体"/>
          <w:sz w:val="24"/>
          <w:szCs w:val="24"/>
        </w:rPr>
      </w:pPr>
      <w:bookmarkStart w:id="11" w:name="_Toc100786133"/>
      <w:r>
        <w:rPr>
          <w:rFonts w:hint="eastAsia" w:ascii="宋体" w:hAnsi="宋体" w:eastAsia="宋体" w:cs="宋体"/>
          <w:sz w:val="30"/>
          <w:szCs w:val="30"/>
        </w:rPr>
        <w:t>第一章  投标邀请</w:t>
      </w:r>
      <w:bookmarkEnd w:id="11"/>
    </w:p>
    <w:bookmarkEnd w:id="0"/>
    <w:bookmarkEnd w:id="1"/>
    <w:bookmarkEnd w:id="2"/>
    <w:bookmarkEnd w:id="3"/>
    <w:bookmarkEnd w:id="4"/>
    <w:bookmarkEnd w:id="5"/>
    <w:bookmarkEnd w:id="6"/>
    <w:bookmarkEnd w:id="7"/>
    <w:bookmarkEnd w:id="8"/>
    <w:bookmarkEnd w:id="9"/>
    <w:bookmarkEnd w:id="10"/>
    <w:p>
      <w:pPr>
        <w:spacing w:line="360" w:lineRule="auto"/>
        <w:ind w:firstLine="480" w:firstLineChars="200"/>
        <w:rPr>
          <w:rFonts w:ascii="宋体" w:hAnsi="宋体" w:cs="宋体"/>
          <w:sz w:val="24"/>
          <w:szCs w:val="24"/>
        </w:rPr>
      </w:pPr>
      <w:r>
        <w:rPr>
          <w:rFonts w:hint="eastAsia" w:ascii="宋体" w:hAnsi="宋体" w:cs="宋体"/>
          <w:sz w:val="24"/>
          <w:szCs w:val="24"/>
        </w:rPr>
        <w:t>项目概况</w:t>
      </w:r>
    </w:p>
    <w:p>
      <w:pPr>
        <w:spacing w:line="360" w:lineRule="auto"/>
        <w:ind w:firstLine="460" w:firstLineChars="192"/>
        <w:rPr>
          <w:rFonts w:ascii="宋体" w:hAnsi="宋体" w:cs="宋体"/>
          <w:sz w:val="24"/>
          <w:szCs w:val="24"/>
          <w:u w:val="single"/>
        </w:rPr>
      </w:pPr>
      <w:r>
        <w:rPr>
          <w:rFonts w:hint="eastAsia" w:ascii="宋体" w:hAnsi="宋体" w:cs="宋体"/>
          <w:sz w:val="24"/>
          <w:szCs w:val="24"/>
          <w:u w:val="single"/>
        </w:rPr>
        <w:t>多语言网站内容建设与运营推广项目</w:t>
      </w:r>
      <w:r>
        <w:rPr>
          <w:rFonts w:hint="eastAsia" w:ascii="宋体" w:hAnsi="宋体" w:cs="宋体"/>
          <w:sz w:val="24"/>
          <w:szCs w:val="24"/>
        </w:rPr>
        <w:t>招标的潜在投标人应在</w:t>
      </w:r>
      <w:r>
        <w:rPr>
          <w:rFonts w:hint="eastAsia" w:ascii="宋体" w:hAnsi="宋体" w:cs="宋体"/>
          <w:sz w:val="24"/>
          <w:szCs w:val="24"/>
          <w:u w:val="single"/>
        </w:rPr>
        <w:t>北京市政府采购电子交易平台</w:t>
      </w:r>
      <w:r>
        <w:rPr>
          <w:rFonts w:hint="eastAsia" w:ascii="宋体" w:hAnsi="宋体" w:cs="宋体"/>
          <w:sz w:val="24"/>
          <w:szCs w:val="24"/>
        </w:rPr>
        <w:t>获取招标文件，并于</w:t>
      </w:r>
      <w:r>
        <w:rPr>
          <w:rFonts w:hint="eastAsia" w:ascii="宋体" w:hAnsi="宋体" w:cs="宋体"/>
          <w:sz w:val="24"/>
          <w:szCs w:val="24"/>
          <w:u w:val="single"/>
        </w:rPr>
        <w:t>202</w:t>
      </w:r>
      <w:r>
        <w:rPr>
          <w:rFonts w:ascii="宋体" w:hAnsi="宋体" w:cs="宋体"/>
          <w:sz w:val="24"/>
          <w:szCs w:val="24"/>
          <w:u w:val="single"/>
        </w:rPr>
        <w:t>5</w:t>
      </w:r>
      <w:r>
        <w:rPr>
          <w:rFonts w:hint="eastAsia" w:ascii="宋体" w:hAnsi="宋体" w:cs="宋体"/>
          <w:sz w:val="24"/>
          <w:szCs w:val="24"/>
          <w:u w:val="single"/>
        </w:rPr>
        <w:t>年</w:t>
      </w:r>
      <w:r>
        <w:rPr>
          <w:rFonts w:hint="eastAsia" w:ascii="宋体" w:hAnsi="宋体" w:cs="宋体"/>
          <w:sz w:val="24"/>
          <w:szCs w:val="24"/>
          <w:u w:val="single"/>
          <w:lang w:val="en-US" w:eastAsia="zh-CN"/>
        </w:rPr>
        <w:t>2</w:t>
      </w:r>
      <w:r>
        <w:rPr>
          <w:rFonts w:hint="eastAsia" w:ascii="宋体" w:hAnsi="宋体" w:cs="宋体"/>
          <w:sz w:val="24"/>
          <w:szCs w:val="24"/>
          <w:u w:val="single"/>
        </w:rPr>
        <w:t>月</w:t>
      </w:r>
      <w:r>
        <w:rPr>
          <w:rFonts w:hint="eastAsia" w:ascii="宋体" w:hAnsi="宋体" w:cs="宋体"/>
          <w:sz w:val="24"/>
          <w:szCs w:val="24"/>
          <w:u w:val="single"/>
          <w:lang w:val="en-US" w:eastAsia="zh-CN"/>
        </w:rPr>
        <w:t>14</w:t>
      </w:r>
      <w:r>
        <w:rPr>
          <w:rFonts w:hint="eastAsia" w:ascii="宋体" w:hAnsi="宋体" w:cs="宋体"/>
          <w:sz w:val="24"/>
          <w:szCs w:val="24"/>
          <w:u w:val="single"/>
        </w:rPr>
        <w:t>日上午9点30分（北京时间）前递交投标文件。</w:t>
      </w:r>
    </w:p>
    <w:p>
      <w:pPr>
        <w:spacing w:line="360" w:lineRule="auto"/>
        <w:ind w:firstLine="463" w:firstLineChars="192"/>
        <w:rPr>
          <w:rFonts w:ascii="宋体" w:hAnsi="宋体" w:cs="宋体"/>
          <w:b/>
          <w:sz w:val="24"/>
          <w:szCs w:val="24"/>
        </w:rPr>
      </w:pPr>
      <w:r>
        <w:rPr>
          <w:rFonts w:hint="eastAsia" w:ascii="宋体" w:hAnsi="宋体" w:cs="宋体"/>
          <w:b/>
          <w:sz w:val="24"/>
          <w:szCs w:val="24"/>
        </w:rPr>
        <w:t>一、项目基本情况</w:t>
      </w:r>
    </w:p>
    <w:p>
      <w:pPr>
        <w:spacing w:line="360" w:lineRule="auto"/>
        <w:ind w:firstLine="460" w:firstLineChars="192"/>
        <w:rPr>
          <w:rFonts w:ascii="宋体" w:hAnsi="宋体" w:cs="宋体"/>
          <w:sz w:val="24"/>
          <w:szCs w:val="24"/>
        </w:rPr>
      </w:pPr>
      <w:r>
        <w:rPr>
          <w:rFonts w:hint="eastAsia" w:ascii="宋体" w:hAnsi="宋体" w:cs="宋体"/>
          <w:sz w:val="24"/>
          <w:szCs w:val="24"/>
        </w:rPr>
        <w:t>项目编号：11000024210200105816-XM001</w:t>
      </w:r>
    </w:p>
    <w:p>
      <w:pPr>
        <w:spacing w:line="360" w:lineRule="auto"/>
        <w:ind w:firstLine="460" w:firstLineChars="192"/>
        <w:rPr>
          <w:rFonts w:ascii="宋体" w:hAnsi="宋体" w:cs="宋体"/>
          <w:sz w:val="24"/>
          <w:szCs w:val="24"/>
        </w:rPr>
      </w:pPr>
      <w:r>
        <w:rPr>
          <w:rFonts w:hint="eastAsia" w:ascii="宋体" w:hAnsi="宋体" w:cs="宋体"/>
          <w:sz w:val="24"/>
          <w:szCs w:val="24"/>
        </w:rPr>
        <w:t>项目名称：多语言网站内容建设与运营推广项目</w:t>
      </w:r>
    </w:p>
    <w:p>
      <w:pPr>
        <w:spacing w:line="360" w:lineRule="auto"/>
        <w:ind w:firstLine="460" w:firstLineChars="192"/>
        <w:rPr>
          <w:rFonts w:ascii="宋体" w:hAnsi="宋体" w:cs="宋体"/>
          <w:sz w:val="24"/>
          <w:szCs w:val="24"/>
        </w:rPr>
      </w:pPr>
      <w:r>
        <w:rPr>
          <w:rFonts w:hint="eastAsia" w:ascii="宋体" w:hAnsi="宋体" w:cs="宋体"/>
          <w:sz w:val="24"/>
          <w:szCs w:val="24"/>
        </w:rPr>
        <w:t>预算金额：本项目预算为619.525万元。</w:t>
      </w:r>
    </w:p>
    <w:p>
      <w:pPr>
        <w:spacing w:line="360" w:lineRule="auto"/>
        <w:ind w:firstLine="460" w:firstLineChars="192"/>
        <w:rPr>
          <w:rFonts w:ascii="宋体" w:hAnsi="宋体" w:cs="宋体"/>
          <w:sz w:val="24"/>
          <w:szCs w:val="24"/>
        </w:rPr>
      </w:pPr>
      <w:r>
        <w:rPr>
          <w:rFonts w:hint="eastAsia" w:ascii="宋体" w:hAnsi="宋体" w:cs="宋体"/>
          <w:sz w:val="24"/>
          <w:szCs w:val="24"/>
        </w:rPr>
        <w:t>项目简要需求：</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740"/>
        <w:gridCol w:w="366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jc w:val="center"/>
              <w:rPr>
                <w:rFonts w:ascii="宋体" w:hAnsi="宋体" w:cs="宋体"/>
                <w:b/>
                <w:bCs/>
                <w:sz w:val="24"/>
                <w:szCs w:val="24"/>
              </w:rPr>
            </w:pPr>
            <w:r>
              <w:rPr>
                <w:rFonts w:hint="eastAsia" w:ascii="宋体" w:hAnsi="宋体" w:cs="宋体"/>
                <w:b/>
                <w:bCs/>
                <w:sz w:val="24"/>
                <w:szCs w:val="24"/>
              </w:rPr>
              <w:t>包号</w:t>
            </w:r>
          </w:p>
        </w:tc>
        <w:tc>
          <w:tcPr>
            <w:tcW w:w="1740" w:type="dxa"/>
            <w:vAlign w:val="center"/>
          </w:tcPr>
          <w:p>
            <w:pPr>
              <w:jc w:val="center"/>
              <w:rPr>
                <w:rFonts w:ascii="宋体" w:hAnsi="宋体" w:cs="宋体"/>
                <w:b/>
                <w:bCs/>
                <w:sz w:val="24"/>
                <w:szCs w:val="24"/>
              </w:rPr>
            </w:pPr>
            <w:r>
              <w:rPr>
                <w:rFonts w:hint="eastAsia" w:ascii="宋体" w:hAnsi="宋体" w:cs="宋体"/>
                <w:b/>
                <w:bCs/>
                <w:sz w:val="24"/>
                <w:szCs w:val="24"/>
              </w:rPr>
              <w:t>分项名称</w:t>
            </w:r>
          </w:p>
        </w:tc>
        <w:tc>
          <w:tcPr>
            <w:tcW w:w="3665" w:type="dxa"/>
            <w:vAlign w:val="center"/>
          </w:tcPr>
          <w:p>
            <w:pPr>
              <w:jc w:val="center"/>
              <w:rPr>
                <w:rFonts w:ascii="宋体" w:hAnsi="宋体" w:cs="宋体"/>
                <w:b/>
                <w:bCs/>
                <w:sz w:val="24"/>
                <w:szCs w:val="24"/>
              </w:rPr>
            </w:pPr>
            <w:r>
              <w:rPr>
                <w:rFonts w:hint="eastAsia" w:ascii="宋体" w:hAnsi="宋体" w:cs="宋体"/>
                <w:b/>
                <w:bCs/>
                <w:sz w:val="24"/>
                <w:szCs w:val="24"/>
              </w:rPr>
              <w:t>分项内容</w:t>
            </w:r>
          </w:p>
        </w:tc>
        <w:tc>
          <w:tcPr>
            <w:tcW w:w="2131" w:type="dxa"/>
            <w:vAlign w:val="center"/>
          </w:tcPr>
          <w:p>
            <w:pPr>
              <w:jc w:val="center"/>
              <w:rPr>
                <w:rFonts w:ascii="宋体" w:hAnsi="宋体" w:cs="宋体"/>
                <w:b/>
                <w:bCs/>
                <w:sz w:val="24"/>
                <w:szCs w:val="24"/>
              </w:rPr>
            </w:pPr>
            <w:r>
              <w:rPr>
                <w:rFonts w:hint="eastAsia" w:ascii="宋体" w:hAnsi="宋体" w:cs="宋体"/>
                <w:b/>
                <w:bCs/>
                <w:sz w:val="24"/>
                <w:szCs w:val="24"/>
              </w:rPr>
              <w:t>采购包预算金额（万元）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jc w:val="center"/>
              <w:rPr>
                <w:rFonts w:ascii="宋体" w:hAnsi="宋体" w:cs="宋体"/>
                <w:sz w:val="24"/>
                <w:szCs w:val="24"/>
              </w:rPr>
            </w:pPr>
            <w:bookmarkStart w:id="12" w:name="OLE_LINK3" w:colFirst="3" w:colLast="3"/>
            <w:r>
              <w:rPr>
                <w:rFonts w:hint="eastAsia" w:ascii="宋体" w:hAnsi="宋体" w:cs="宋体"/>
                <w:sz w:val="24"/>
                <w:szCs w:val="24"/>
              </w:rPr>
              <w:t>第一包</w:t>
            </w:r>
          </w:p>
        </w:tc>
        <w:tc>
          <w:tcPr>
            <w:tcW w:w="1740" w:type="dxa"/>
            <w:vAlign w:val="center"/>
          </w:tcPr>
          <w:p>
            <w:pPr>
              <w:jc w:val="center"/>
              <w:rPr>
                <w:rFonts w:ascii="宋体" w:hAnsi="宋体" w:cs="宋体"/>
                <w:sz w:val="24"/>
                <w:szCs w:val="24"/>
              </w:rPr>
            </w:pPr>
            <w:r>
              <w:rPr>
                <w:rFonts w:hint="eastAsia" w:ascii="宋体" w:hAnsi="宋体" w:cs="宋体"/>
                <w:sz w:val="24"/>
              </w:rPr>
              <w:t>多语言网站内容建设与运营推广</w:t>
            </w:r>
          </w:p>
        </w:tc>
        <w:tc>
          <w:tcPr>
            <w:tcW w:w="3665" w:type="dxa"/>
          </w:tcPr>
          <w:p>
            <w:pPr>
              <w:rPr>
                <w:rFonts w:ascii="宋体" w:hAnsi="宋体" w:cs="宋体"/>
                <w:sz w:val="24"/>
                <w:szCs w:val="24"/>
              </w:rPr>
            </w:pPr>
            <w:r>
              <w:rPr>
                <w:rFonts w:hint="eastAsia" w:asciiTheme="minorEastAsia" w:hAnsiTheme="minorEastAsia"/>
                <w:sz w:val="24"/>
              </w:rPr>
              <w:t>项目内容主要是对中文、英文、韩文、日文、法文、西文、俄文、繁体中文7个语种、8种语言版本网站进行内容运维与宣传推广工作；对中英韩文的3G网站进行内容运维；维护旅游资源库平台；版权图库采购：借助多种渠道和资源对重点工作、重大活动进行宣推。</w:t>
            </w:r>
          </w:p>
        </w:tc>
        <w:tc>
          <w:tcPr>
            <w:tcW w:w="2131" w:type="dxa"/>
            <w:vAlign w:val="center"/>
          </w:tcPr>
          <w:p>
            <w:pPr>
              <w:jc w:val="center"/>
              <w:rPr>
                <w:rFonts w:ascii="宋体" w:hAnsi="宋体" w:cs="宋体"/>
                <w:sz w:val="24"/>
                <w:szCs w:val="24"/>
              </w:rPr>
            </w:pPr>
            <w:r>
              <w:rPr>
                <w:rFonts w:hint="eastAsia" w:ascii="宋体" w:hAnsi="宋体" w:cs="宋体"/>
                <w:sz w:val="24"/>
                <w:szCs w:val="24"/>
              </w:rPr>
              <w:t>599.725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jc w:val="center"/>
              <w:rPr>
                <w:rFonts w:ascii="宋体" w:hAnsi="宋体" w:cs="宋体"/>
                <w:sz w:val="24"/>
                <w:szCs w:val="24"/>
              </w:rPr>
            </w:pPr>
            <w:r>
              <w:rPr>
                <w:rFonts w:hint="eastAsia" w:ascii="宋体" w:hAnsi="宋体" w:cs="宋体"/>
                <w:sz w:val="24"/>
                <w:szCs w:val="24"/>
              </w:rPr>
              <w:t>第二包</w:t>
            </w:r>
          </w:p>
        </w:tc>
        <w:tc>
          <w:tcPr>
            <w:tcW w:w="1740" w:type="dxa"/>
            <w:vAlign w:val="center"/>
          </w:tcPr>
          <w:p>
            <w:pPr>
              <w:jc w:val="center"/>
              <w:rPr>
                <w:rFonts w:ascii="宋体" w:hAnsi="宋体" w:cs="宋体"/>
                <w:sz w:val="24"/>
                <w:szCs w:val="24"/>
              </w:rPr>
            </w:pPr>
            <w:r>
              <w:rPr>
                <w:rFonts w:hint="eastAsia" w:ascii="宋体" w:hAnsi="宋体" w:cs="宋体"/>
                <w:sz w:val="24"/>
              </w:rPr>
              <w:t>项目监理</w:t>
            </w:r>
          </w:p>
        </w:tc>
        <w:tc>
          <w:tcPr>
            <w:tcW w:w="3665" w:type="dxa"/>
          </w:tcPr>
          <w:p>
            <w:pPr>
              <w:rPr>
                <w:rFonts w:ascii="宋体" w:hAnsi="宋体" w:cs="宋体"/>
                <w:sz w:val="24"/>
                <w:szCs w:val="24"/>
              </w:rPr>
            </w:pPr>
            <w:r>
              <w:rPr>
                <w:rFonts w:hint="eastAsia" w:ascii="宋体" w:hAnsi="宋体" w:cs="宋体"/>
                <w:sz w:val="24"/>
              </w:rPr>
              <w:t>对多语言网站内容建设与运营推广进行监理</w:t>
            </w:r>
          </w:p>
        </w:tc>
        <w:tc>
          <w:tcPr>
            <w:tcW w:w="2131" w:type="dxa"/>
            <w:vAlign w:val="center"/>
          </w:tcPr>
          <w:p>
            <w:pPr>
              <w:jc w:val="center"/>
              <w:rPr>
                <w:rFonts w:ascii="宋体" w:hAnsi="宋体" w:cs="宋体"/>
                <w:sz w:val="24"/>
                <w:szCs w:val="24"/>
              </w:rPr>
            </w:pPr>
            <w:r>
              <w:rPr>
                <w:rFonts w:hint="eastAsia" w:ascii="宋体" w:hAnsi="宋体" w:cs="宋体"/>
                <w:sz w:val="24"/>
                <w:szCs w:val="24"/>
              </w:rPr>
              <w:t>19.8</w:t>
            </w:r>
          </w:p>
        </w:tc>
      </w:tr>
      <w:bookmarkEnd w:id="12"/>
    </w:tbl>
    <w:p>
      <w:pPr>
        <w:spacing w:line="360" w:lineRule="auto"/>
        <w:ind w:firstLine="460" w:firstLineChars="192"/>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合同履行期限：15个月（2025年1月1日至2026年3月31日）</w:t>
      </w:r>
    </w:p>
    <w:p>
      <w:pPr>
        <w:spacing w:line="360" w:lineRule="auto"/>
        <w:ind w:firstLine="460" w:firstLineChars="192"/>
        <w:rPr>
          <w:rFonts w:ascii="宋体" w:hAnsi="宋体" w:cs="宋体"/>
          <w:sz w:val="24"/>
          <w:szCs w:val="24"/>
        </w:rPr>
      </w:pPr>
      <w:r>
        <w:rPr>
          <w:rFonts w:hint="eastAsia" w:ascii="宋体" w:hAnsi="宋体" w:cs="宋体"/>
          <w:sz w:val="24"/>
          <w:szCs w:val="24"/>
        </w:rPr>
        <w:t>本项目不接受联合体投标。</w:t>
      </w:r>
    </w:p>
    <w:p>
      <w:pPr>
        <w:spacing w:line="360" w:lineRule="auto"/>
        <w:ind w:firstLine="463" w:firstLineChars="192"/>
        <w:rPr>
          <w:rFonts w:ascii="宋体" w:hAnsi="宋体" w:cs="宋体"/>
          <w:b/>
          <w:sz w:val="24"/>
          <w:szCs w:val="24"/>
        </w:rPr>
      </w:pPr>
      <w:r>
        <w:rPr>
          <w:rFonts w:hint="eastAsia" w:ascii="宋体" w:hAnsi="宋体" w:cs="宋体"/>
          <w:b/>
          <w:sz w:val="24"/>
          <w:szCs w:val="24"/>
        </w:rPr>
        <w:t>二、申请人的资格要求：</w:t>
      </w:r>
    </w:p>
    <w:p>
      <w:pPr>
        <w:spacing w:line="360" w:lineRule="auto"/>
        <w:ind w:firstLine="460" w:firstLineChars="192"/>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ind w:firstLine="460" w:firstLineChars="192"/>
        <w:rPr>
          <w:rFonts w:ascii="宋体" w:hAnsi="宋体" w:cs="宋体"/>
          <w:sz w:val="24"/>
        </w:rPr>
      </w:pPr>
      <w:r>
        <w:rPr>
          <w:rFonts w:hint="eastAsia" w:ascii="宋体" w:hAnsi="宋体" w:cs="宋体"/>
          <w:sz w:val="24"/>
          <w:szCs w:val="24"/>
        </w:rPr>
        <w:t>2.落实政府采购政策需满足的资格要求：本项目预留部分采购项目预算专门面向中小/小微企业采购。对于预留份额，提供的货物由符合政策要求的中小/小微企业制造、服务由符合政策要求的中小/小微企业承接。预留份额通过以下措施进行：第一包设置采购包专门面向中小企业采购。</w:t>
      </w:r>
    </w:p>
    <w:p>
      <w:pPr>
        <w:spacing w:line="360" w:lineRule="auto"/>
        <w:ind w:firstLine="460" w:firstLineChars="192"/>
        <w:rPr>
          <w:rFonts w:ascii="宋体" w:hAnsi="宋体" w:cs="宋体"/>
          <w:sz w:val="24"/>
          <w:szCs w:val="24"/>
        </w:rPr>
      </w:pPr>
      <w:r>
        <w:rPr>
          <w:rFonts w:hint="eastAsia" w:ascii="宋体" w:hAnsi="宋体" w:cs="宋体"/>
          <w:sz w:val="24"/>
          <w:szCs w:val="24"/>
        </w:rPr>
        <w:t>3.本项目的特定资格要求：</w:t>
      </w:r>
    </w:p>
    <w:p>
      <w:pPr>
        <w:spacing w:line="360" w:lineRule="auto"/>
        <w:ind w:firstLine="460" w:firstLineChars="192"/>
        <w:rPr>
          <w:rFonts w:ascii="宋体" w:hAnsi="宋体" w:cs="宋体"/>
          <w:sz w:val="24"/>
          <w:szCs w:val="24"/>
        </w:rPr>
      </w:pPr>
      <w:r>
        <w:rPr>
          <w:rFonts w:hint="eastAsia" w:ascii="宋体" w:hAnsi="宋体" w:cs="宋体"/>
          <w:sz w:val="24"/>
          <w:szCs w:val="24"/>
        </w:rPr>
        <w:t>1）供应商不得存在下列情形之一：</w:t>
      </w:r>
    </w:p>
    <w:p>
      <w:pPr>
        <w:spacing w:line="360" w:lineRule="auto"/>
        <w:ind w:firstLine="460" w:firstLineChars="192"/>
        <w:rPr>
          <w:rFonts w:ascii="宋体" w:hAnsi="宋体" w:cs="宋体"/>
          <w:sz w:val="24"/>
          <w:szCs w:val="24"/>
        </w:rPr>
      </w:pPr>
      <w:r>
        <w:rPr>
          <w:rFonts w:hint="eastAsia" w:ascii="宋体" w:hAnsi="宋体" w:cs="宋体"/>
          <w:sz w:val="24"/>
          <w:szCs w:val="24"/>
        </w:rPr>
        <w:t>（1）单位负责人为同一人或者存在直接控股、管理关系的不同供应商，不得参加同一合同项下的政府采购活动；</w:t>
      </w:r>
    </w:p>
    <w:p>
      <w:pPr>
        <w:spacing w:line="360" w:lineRule="auto"/>
        <w:ind w:firstLine="460" w:firstLineChars="192"/>
        <w:rPr>
          <w:rFonts w:ascii="宋体" w:hAnsi="宋体" w:cs="宋体"/>
          <w:sz w:val="24"/>
          <w:szCs w:val="24"/>
        </w:rPr>
      </w:pPr>
      <w:r>
        <w:rPr>
          <w:rFonts w:hint="eastAsia" w:ascii="宋体" w:hAnsi="宋体" w:cs="宋体"/>
          <w:sz w:val="24"/>
          <w:szCs w:val="24"/>
        </w:rPr>
        <w:t>（2）除单一来源采购项目外，为采购项目提供整体设计、规范编制或者项目管理、监理、检测等服务的供应商，不得再参加该采购项目的其他采购活动。</w:t>
      </w:r>
    </w:p>
    <w:p>
      <w:pPr>
        <w:spacing w:line="360" w:lineRule="auto"/>
        <w:ind w:firstLine="460" w:firstLineChars="192"/>
        <w:rPr>
          <w:rFonts w:ascii="宋体" w:hAnsi="宋体" w:cs="宋体"/>
          <w:sz w:val="24"/>
          <w:szCs w:val="24"/>
        </w:rPr>
      </w:pPr>
      <w:r>
        <w:rPr>
          <w:rFonts w:hint="eastAsia" w:ascii="宋体" w:hAnsi="宋体" w:cs="宋体"/>
          <w:sz w:val="24"/>
          <w:szCs w:val="24"/>
        </w:rPr>
        <w:t>2）供应商不能被列入“信用中国”网站（www.creditchina.gov.cn）失信被执行人、重大税收违法案件当事人名单和中国政府采购网（www.ccgp.gov.cn）政府采购严重违法失信行为记录名单。否则其投标将被拒绝；</w:t>
      </w:r>
    </w:p>
    <w:p>
      <w:pPr>
        <w:spacing w:line="360" w:lineRule="auto"/>
        <w:ind w:firstLine="460" w:firstLineChars="192"/>
        <w:rPr>
          <w:rFonts w:ascii="宋体" w:hAnsi="宋体" w:cs="宋体"/>
          <w:sz w:val="24"/>
          <w:szCs w:val="24"/>
        </w:rPr>
      </w:pPr>
      <w:r>
        <w:rPr>
          <w:rFonts w:hint="eastAsia" w:ascii="宋体" w:hAnsi="宋体" w:cs="宋体"/>
          <w:sz w:val="24"/>
          <w:szCs w:val="24"/>
        </w:rPr>
        <w:t xml:space="preserve">3）本项目是否接受分支机构参与投标：■是   □否； </w:t>
      </w:r>
    </w:p>
    <w:p>
      <w:pPr>
        <w:spacing w:line="360" w:lineRule="auto"/>
        <w:ind w:firstLine="460" w:firstLineChars="192"/>
        <w:rPr>
          <w:rFonts w:ascii="宋体" w:hAnsi="宋体" w:cs="宋体"/>
          <w:sz w:val="24"/>
          <w:szCs w:val="24"/>
        </w:rPr>
      </w:pPr>
      <w:r>
        <w:rPr>
          <w:rFonts w:hint="eastAsia" w:ascii="宋体" w:hAnsi="宋体" w:cs="宋体"/>
          <w:sz w:val="24"/>
          <w:szCs w:val="24"/>
        </w:rPr>
        <w:t>4）本项目是否属于政府购买服务：</w:t>
      </w:r>
    </w:p>
    <w:p>
      <w:pPr>
        <w:spacing w:line="360" w:lineRule="auto"/>
        <w:ind w:firstLine="460" w:firstLineChars="192"/>
        <w:rPr>
          <w:rFonts w:ascii="宋体" w:hAnsi="宋体" w:cs="宋体"/>
          <w:sz w:val="24"/>
          <w:szCs w:val="24"/>
        </w:rPr>
      </w:pPr>
      <w:r>
        <w:rPr>
          <w:rFonts w:hint="eastAsia" w:ascii="宋体" w:hAnsi="宋体" w:cs="宋体"/>
          <w:sz w:val="24"/>
          <w:szCs w:val="24"/>
        </w:rPr>
        <w:t>■否</w:t>
      </w:r>
    </w:p>
    <w:p>
      <w:pPr>
        <w:spacing w:line="360" w:lineRule="auto"/>
        <w:ind w:firstLine="460" w:firstLineChars="192"/>
        <w:rPr>
          <w:rFonts w:ascii="宋体" w:hAnsi="宋体" w:cs="宋体"/>
          <w:sz w:val="24"/>
          <w:szCs w:val="24"/>
        </w:rPr>
      </w:pPr>
      <w:r>
        <w:rPr>
          <w:rFonts w:hint="eastAsia" w:ascii="宋体" w:hAnsi="宋体" w:cs="宋体"/>
          <w:sz w:val="24"/>
          <w:szCs w:val="24"/>
        </w:rPr>
        <w:t>□是，公益一类事业单位、使用事业编制且由财政拨款保障的群团组织，不得作为承接主体。</w:t>
      </w:r>
    </w:p>
    <w:p>
      <w:pPr>
        <w:pStyle w:val="43"/>
        <w:shd w:val="clear" w:color="auto" w:fill="FFFFFF"/>
        <w:spacing w:before="0" w:beforeAutospacing="0" w:after="300" w:afterAutospacing="0"/>
        <w:ind w:firstLine="420" w:firstLineChars="175"/>
        <w:rPr>
          <w:rFonts w:cs="宋体"/>
          <w:kern w:val="2"/>
        </w:rPr>
      </w:pPr>
      <w:r>
        <w:rPr>
          <w:rFonts w:hint="eastAsia" w:cs="宋体"/>
        </w:rPr>
        <w:t>5）</w:t>
      </w:r>
      <w:r>
        <w:rPr>
          <w:rFonts w:hint="eastAsia" w:cs="宋体"/>
          <w:kern w:val="2"/>
        </w:rPr>
        <w:t>其他特定资格要求：无。</w:t>
      </w:r>
    </w:p>
    <w:p>
      <w:pPr>
        <w:spacing w:line="360" w:lineRule="auto"/>
        <w:ind w:firstLine="463" w:firstLineChars="192"/>
        <w:rPr>
          <w:rFonts w:ascii="宋体" w:hAnsi="宋体" w:cs="宋体"/>
          <w:b/>
          <w:sz w:val="24"/>
          <w:szCs w:val="24"/>
        </w:rPr>
      </w:pPr>
      <w:r>
        <w:rPr>
          <w:rFonts w:hint="eastAsia" w:ascii="宋体" w:hAnsi="宋体" w:cs="宋体"/>
          <w:b/>
          <w:sz w:val="24"/>
          <w:szCs w:val="24"/>
        </w:rPr>
        <w:t>三、获取招标文件：</w:t>
      </w:r>
    </w:p>
    <w:p>
      <w:pPr>
        <w:spacing w:line="360" w:lineRule="auto"/>
        <w:ind w:firstLine="460" w:firstLineChars="192"/>
        <w:rPr>
          <w:rFonts w:ascii="宋体" w:hAnsi="宋体" w:cs="宋体"/>
          <w:sz w:val="24"/>
          <w:szCs w:val="24"/>
        </w:rPr>
      </w:pPr>
      <w:r>
        <w:rPr>
          <w:rFonts w:hint="eastAsia" w:ascii="宋体" w:hAnsi="宋体" w:cs="宋体"/>
          <w:sz w:val="24"/>
          <w:szCs w:val="24"/>
        </w:rPr>
        <w:t>1.时间：</w:t>
      </w:r>
      <w:r>
        <w:rPr>
          <w:rFonts w:hint="eastAsia" w:ascii="宋体" w:hAnsi="宋体" w:cs="宋体"/>
          <w:sz w:val="24"/>
          <w:szCs w:val="24"/>
          <w:u w:val="single"/>
        </w:rPr>
        <w:t>202</w:t>
      </w:r>
      <w:r>
        <w:rPr>
          <w:rFonts w:ascii="宋体" w:hAnsi="宋体" w:cs="宋体"/>
          <w:sz w:val="24"/>
          <w:szCs w:val="24"/>
          <w:u w:val="single"/>
        </w:rPr>
        <w:t>5</w:t>
      </w:r>
      <w:r>
        <w:rPr>
          <w:rFonts w:hint="eastAsia" w:ascii="宋体" w:hAnsi="宋体" w:cs="宋体"/>
          <w:sz w:val="24"/>
          <w:szCs w:val="24"/>
          <w:u w:val="single"/>
        </w:rPr>
        <w:t>年</w:t>
      </w:r>
      <w:r>
        <w:rPr>
          <w:rFonts w:hint="eastAsia" w:ascii="宋体" w:hAnsi="宋体" w:cs="宋体"/>
          <w:sz w:val="24"/>
          <w:szCs w:val="24"/>
          <w:u w:val="single"/>
          <w:lang w:val="en-US" w:eastAsia="zh-CN"/>
        </w:rPr>
        <w:t>1</w:t>
      </w:r>
      <w:r>
        <w:rPr>
          <w:rFonts w:hint="eastAsia" w:ascii="宋体" w:hAnsi="宋体" w:cs="宋体"/>
          <w:sz w:val="24"/>
          <w:szCs w:val="24"/>
          <w:u w:val="single"/>
        </w:rPr>
        <w:t>月</w:t>
      </w:r>
      <w:r>
        <w:rPr>
          <w:rFonts w:hint="eastAsia" w:ascii="宋体" w:hAnsi="宋体" w:cs="宋体"/>
          <w:sz w:val="24"/>
          <w:szCs w:val="24"/>
          <w:u w:val="single"/>
          <w:lang w:val="en-US" w:eastAsia="zh-CN"/>
        </w:rPr>
        <w:t>24</w:t>
      </w:r>
      <w:r>
        <w:rPr>
          <w:rFonts w:hint="eastAsia" w:ascii="宋体" w:hAnsi="宋体" w:cs="宋体"/>
          <w:sz w:val="24"/>
          <w:szCs w:val="24"/>
          <w:u w:val="single"/>
        </w:rPr>
        <w:t>日</w:t>
      </w:r>
      <w:r>
        <w:rPr>
          <w:rFonts w:hint="eastAsia" w:ascii="宋体" w:hAnsi="宋体" w:cs="宋体"/>
          <w:sz w:val="24"/>
          <w:szCs w:val="24"/>
        </w:rPr>
        <w:t>至</w:t>
      </w:r>
      <w:r>
        <w:rPr>
          <w:rFonts w:hint="eastAsia" w:ascii="宋体" w:hAnsi="宋体" w:cs="宋体"/>
          <w:sz w:val="24"/>
          <w:szCs w:val="24"/>
          <w:u w:val="single"/>
        </w:rPr>
        <w:t>202</w:t>
      </w:r>
      <w:r>
        <w:rPr>
          <w:rFonts w:ascii="宋体" w:hAnsi="宋体" w:cs="宋体"/>
          <w:sz w:val="24"/>
          <w:szCs w:val="24"/>
          <w:u w:val="single"/>
        </w:rPr>
        <w:t>5</w:t>
      </w:r>
      <w:r>
        <w:rPr>
          <w:rFonts w:hint="eastAsia" w:ascii="宋体" w:hAnsi="宋体" w:cs="宋体"/>
          <w:sz w:val="24"/>
          <w:szCs w:val="24"/>
          <w:u w:val="single"/>
        </w:rPr>
        <w:t>年</w:t>
      </w:r>
      <w:r>
        <w:rPr>
          <w:rFonts w:hint="eastAsia" w:ascii="宋体" w:hAnsi="宋体" w:cs="宋体"/>
          <w:sz w:val="24"/>
          <w:szCs w:val="24"/>
          <w:u w:val="single"/>
          <w:lang w:val="en-US" w:eastAsia="zh-CN"/>
        </w:rPr>
        <w:t>2</w:t>
      </w:r>
      <w:r>
        <w:rPr>
          <w:rFonts w:hint="eastAsia" w:ascii="宋体" w:hAnsi="宋体" w:cs="宋体"/>
          <w:sz w:val="24"/>
          <w:szCs w:val="24"/>
          <w:u w:val="single"/>
        </w:rPr>
        <w:t>月</w:t>
      </w:r>
      <w:r>
        <w:rPr>
          <w:rFonts w:hint="eastAsia" w:ascii="宋体" w:hAnsi="宋体" w:cs="宋体"/>
          <w:sz w:val="24"/>
          <w:szCs w:val="24"/>
          <w:u w:val="single"/>
          <w:lang w:val="en-US" w:eastAsia="zh-CN"/>
        </w:rPr>
        <w:t>7</w:t>
      </w:r>
      <w:r>
        <w:rPr>
          <w:rFonts w:hint="eastAsia" w:ascii="宋体" w:hAnsi="宋体" w:cs="宋体"/>
          <w:sz w:val="24"/>
          <w:szCs w:val="24"/>
          <w:u w:val="single"/>
        </w:rPr>
        <w:t>日</w:t>
      </w:r>
      <w:r>
        <w:rPr>
          <w:rFonts w:hint="eastAsia" w:ascii="宋体" w:hAnsi="宋体" w:cs="宋体"/>
          <w:sz w:val="24"/>
          <w:szCs w:val="24"/>
        </w:rPr>
        <w:t>。</w:t>
      </w:r>
    </w:p>
    <w:p>
      <w:pPr>
        <w:spacing w:line="360" w:lineRule="auto"/>
        <w:ind w:firstLine="460" w:firstLineChars="192"/>
        <w:rPr>
          <w:rFonts w:ascii="宋体" w:hAnsi="宋体" w:cs="宋体"/>
          <w:sz w:val="24"/>
          <w:szCs w:val="24"/>
        </w:rPr>
      </w:pPr>
      <w:r>
        <w:rPr>
          <w:rFonts w:hint="eastAsia" w:ascii="宋体" w:hAnsi="宋体" w:cs="宋体"/>
          <w:sz w:val="24"/>
          <w:szCs w:val="24"/>
        </w:rPr>
        <w:t>2.地点：北京市政府采购电子交易平台。</w:t>
      </w:r>
    </w:p>
    <w:p>
      <w:pPr>
        <w:spacing w:line="360" w:lineRule="auto"/>
        <w:ind w:firstLine="460" w:firstLineChars="192"/>
        <w:rPr>
          <w:rFonts w:ascii="宋体" w:hAnsi="宋体" w:cs="宋体"/>
          <w:sz w:val="24"/>
          <w:szCs w:val="24"/>
        </w:rPr>
      </w:pPr>
      <w:r>
        <w:rPr>
          <w:rFonts w:hint="eastAsia" w:ascii="宋体" w:hAnsi="宋体" w:cs="宋体"/>
          <w:sz w:val="24"/>
          <w:szCs w:val="24"/>
        </w:rPr>
        <w:t>3.方式：供应商持CA数字认证证书登录北京市政府采购电子交易平台（http://zbcg-bjzc.zhongcy.com/bjczj-portal-site/index.html#/home）获取电子版招标文件。</w:t>
      </w:r>
    </w:p>
    <w:p>
      <w:pPr>
        <w:spacing w:line="360" w:lineRule="auto"/>
        <w:ind w:firstLine="460" w:firstLineChars="192"/>
        <w:rPr>
          <w:rFonts w:ascii="宋体" w:hAnsi="宋体" w:cs="宋体"/>
          <w:sz w:val="24"/>
          <w:szCs w:val="24"/>
        </w:rPr>
      </w:pPr>
      <w:r>
        <w:rPr>
          <w:rFonts w:hint="eastAsia" w:ascii="宋体" w:hAnsi="宋体" w:cs="宋体"/>
          <w:sz w:val="24"/>
          <w:szCs w:val="24"/>
        </w:rPr>
        <w:t>4.售价：0元。</w:t>
      </w:r>
    </w:p>
    <w:p>
      <w:pPr>
        <w:spacing w:line="360" w:lineRule="auto"/>
        <w:ind w:firstLine="463" w:firstLineChars="192"/>
        <w:rPr>
          <w:rFonts w:ascii="宋体" w:hAnsi="宋体" w:cs="宋体"/>
          <w:b/>
          <w:sz w:val="24"/>
          <w:szCs w:val="24"/>
        </w:rPr>
      </w:pPr>
      <w:r>
        <w:rPr>
          <w:rFonts w:hint="eastAsia" w:ascii="宋体" w:hAnsi="宋体" w:cs="宋体"/>
          <w:b/>
          <w:sz w:val="24"/>
          <w:szCs w:val="24"/>
        </w:rPr>
        <w:t>四、提交投标文件截止时间、开标时间和地点：</w:t>
      </w:r>
    </w:p>
    <w:p>
      <w:pPr>
        <w:spacing w:line="360" w:lineRule="auto"/>
        <w:ind w:firstLine="460" w:firstLineChars="192"/>
        <w:rPr>
          <w:rFonts w:ascii="宋体" w:hAnsi="宋体" w:cs="宋体"/>
          <w:bCs/>
          <w:sz w:val="24"/>
          <w:szCs w:val="24"/>
          <w:u w:val="single"/>
        </w:rPr>
      </w:pPr>
      <w:r>
        <w:rPr>
          <w:rFonts w:hint="eastAsia" w:ascii="宋体" w:hAnsi="宋体" w:cs="宋体"/>
          <w:sz w:val="24"/>
        </w:rPr>
        <w:t>投标截止时间、开标时间：</w:t>
      </w:r>
      <w:r>
        <w:rPr>
          <w:rFonts w:hint="eastAsia" w:ascii="宋体" w:hAnsi="宋体" w:cs="宋体"/>
          <w:sz w:val="24"/>
          <w:szCs w:val="24"/>
          <w:u w:val="single"/>
        </w:rPr>
        <w:t>202</w:t>
      </w:r>
      <w:r>
        <w:rPr>
          <w:rFonts w:ascii="宋体" w:hAnsi="宋体" w:cs="宋体"/>
          <w:sz w:val="24"/>
          <w:szCs w:val="24"/>
          <w:u w:val="single"/>
        </w:rPr>
        <w:t>5</w:t>
      </w:r>
      <w:r>
        <w:rPr>
          <w:rFonts w:hint="eastAsia" w:ascii="宋体" w:hAnsi="宋体" w:cs="宋体"/>
          <w:sz w:val="24"/>
          <w:szCs w:val="24"/>
          <w:u w:val="single"/>
        </w:rPr>
        <w:t>年</w:t>
      </w:r>
      <w:r>
        <w:rPr>
          <w:rFonts w:hint="eastAsia" w:ascii="宋体" w:hAnsi="宋体" w:cs="宋体"/>
          <w:sz w:val="24"/>
          <w:szCs w:val="24"/>
          <w:u w:val="single"/>
          <w:lang w:val="en-US" w:eastAsia="zh-CN"/>
        </w:rPr>
        <w:t>2</w:t>
      </w:r>
      <w:r>
        <w:rPr>
          <w:rFonts w:hint="eastAsia" w:ascii="宋体" w:hAnsi="宋体" w:cs="宋体"/>
          <w:sz w:val="24"/>
          <w:szCs w:val="24"/>
          <w:u w:val="single"/>
        </w:rPr>
        <w:t>月</w:t>
      </w:r>
      <w:r>
        <w:rPr>
          <w:rFonts w:hint="eastAsia" w:ascii="宋体" w:hAnsi="宋体" w:cs="宋体"/>
          <w:sz w:val="24"/>
          <w:szCs w:val="24"/>
          <w:u w:val="single"/>
          <w:lang w:val="en-US" w:eastAsia="zh-CN"/>
        </w:rPr>
        <w:t>14</w:t>
      </w:r>
      <w:r>
        <w:rPr>
          <w:rFonts w:hint="eastAsia" w:ascii="宋体" w:hAnsi="宋体" w:cs="宋体"/>
          <w:sz w:val="24"/>
          <w:szCs w:val="24"/>
          <w:u w:val="single"/>
        </w:rPr>
        <w:t>日上午</w:t>
      </w:r>
      <w:r>
        <w:rPr>
          <w:rFonts w:hint="eastAsia" w:ascii="宋体" w:hAnsi="宋体" w:cs="宋体"/>
          <w:bCs/>
          <w:sz w:val="24"/>
          <w:szCs w:val="24"/>
          <w:u w:val="single"/>
        </w:rPr>
        <w:t>9点30分</w:t>
      </w:r>
      <w:r>
        <w:rPr>
          <w:rFonts w:hint="eastAsia" w:ascii="宋体" w:hAnsi="宋体" w:cs="宋体"/>
          <w:bCs/>
          <w:sz w:val="24"/>
          <w:szCs w:val="24"/>
        </w:rPr>
        <w:t>（北京时间）</w:t>
      </w:r>
    </w:p>
    <w:p>
      <w:pPr>
        <w:spacing w:line="360" w:lineRule="auto"/>
        <w:ind w:firstLine="460" w:firstLineChars="192"/>
        <w:rPr>
          <w:rFonts w:ascii="宋体" w:hAnsi="宋体" w:cs="宋体"/>
          <w:b/>
          <w:sz w:val="24"/>
          <w:szCs w:val="24"/>
          <w:u w:val="single"/>
        </w:rPr>
      </w:pPr>
      <w:r>
        <w:rPr>
          <w:rFonts w:hint="eastAsia" w:ascii="宋体" w:hAnsi="宋体" w:cs="宋体"/>
          <w:sz w:val="24"/>
          <w:szCs w:val="24"/>
        </w:rPr>
        <w:t>地点：</w:t>
      </w:r>
      <w:r>
        <w:rPr>
          <w:rFonts w:hint="eastAsia" w:ascii="宋体" w:hAnsi="宋体" w:cs="宋体"/>
          <w:sz w:val="24"/>
          <w:szCs w:val="24"/>
          <w:u w:val="single"/>
        </w:rPr>
        <w:t>北京市京发招标有限公司</w:t>
      </w:r>
      <w:r>
        <w:rPr>
          <w:rFonts w:hint="eastAsia" w:ascii="宋体" w:hAnsi="宋体" w:cs="宋体"/>
          <w:sz w:val="24"/>
          <w:szCs w:val="24"/>
          <w:u w:val="single"/>
          <w:lang w:val="en-US" w:eastAsia="zh-CN"/>
        </w:rPr>
        <w:t>315</w:t>
      </w:r>
      <w:r>
        <w:rPr>
          <w:rFonts w:hint="eastAsia" w:ascii="宋体" w:hAnsi="宋体" w:cs="宋体"/>
          <w:sz w:val="24"/>
          <w:szCs w:val="24"/>
          <w:u w:val="single"/>
        </w:rPr>
        <w:t>会议室</w:t>
      </w:r>
      <w:r>
        <w:rPr>
          <w:rFonts w:hint="eastAsia" w:ascii="宋体" w:hAnsi="宋体" w:cs="宋体"/>
          <w:sz w:val="24"/>
          <w:szCs w:val="24"/>
        </w:rPr>
        <w:t>。</w:t>
      </w:r>
    </w:p>
    <w:p>
      <w:pPr>
        <w:spacing w:line="360" w:lineRule="auto"/>
        <w:ind w:firstLine="463" w:firstLineChars="192"/>
        <w:rPr>
          <w:rFonts w:ascii="宋体" w:hAnsi="宋体" w:cs="宋体"/>
          <w:b/>
          <w:sz w:val="24"/>
          <w:szCs w:val="24"/>
        </w:rPr>
      </w:pPr>
      <w:r>
        <w:rPr>
          <w:rFonts w:hint="eastAsia" w:ascii="宋体" w:hAnsi="宋体" w:cs="宋体"/>
          <w:b/>
          <w:sz w:val="24"/>
          <w:szCs w:val="24"/>
        </w:rPr>
        <w:t>五、公告期限：</w:t>
      </w:r>
    </w:p>
    <w:p>
      <w:pPr>
        <w:spacing w:line="360" w:lineRule="auto"/>
        <w:ind w:firstLine="460" w:firstLineChars="192"/>
        <w:rPr>
          <w:rFonts w:ascii="宋体" w:hAnsi="宋体" w:cs="宋体"/>
          <w:sz w:val="24"/>
          <w:szCs w:val="24"/>
        </w:rPr>
      </w:pPr>
      <w:r>
        <w:rPr>
          <w:rFonts w:hint="eastAsia" w:ascii="宋体" w:hAnsi="宋体" w:cs="宋体"/>
          <w:sz w:val="24"/>
          <w:szCs w:val="24"/>
        </w:rPr>
        <w:t>自本公告发布之日起5个工作日。</w:t>
      </w:r>
    </w:p>
    <w:p>
      <w:pPr>
        <w:spacing w:line="360" w:lineRule="auto"/>
        <w:ind w:firstLine="463" w:firstLineChars="192"/>
        <w:rPr>
          <w:rFonts w:ascii="宋体" w:hAnsi="宋体" w:cs="宋体"/>
          <w:b/>
          <w:sz w:val="24"/>
          <w:szCs w:val="24"/>
        </w:rPr>
      </w:pPr>
      <w:r>
        <w:rPr>
          <w:rFonts w:hint="eastAsia" w:ascii="宋体" w:hAnsi="宋体" w:cs="宋体"/>
          <w:b/>
          <w:sz w:val="24"/>
          <w:szCs w:val="24"/>
        </w:rPr>
        <w:t>六、其他补充事宜：</w:t>
      </w:r>
    </w:p>
    <w:p>
      <w:pPr>
        <w:spacing w:line="360" w:lineRule="auto"/>
        <w:ind w:firstLine="460" w:firstLineChars="192"/>
        <w:rPr>
          <w:rFonts w:ascii="宋体" w:hAnsi="宋体" w:cs="宋体"/>
          <w:sz w:val="24"/>
          <w:szCs w:val="24"/>
          <w:u w:val="single"/>
        </w:rPr>
      </w:pPr>
      <w:r>
        <w:rPr>
          <w:rFonts w:hint="eastAsia" w:ascii="宋体" w:hAnsi="宋体" w:cs="宋体"/>
          <w:sz w:val="24"/>
          <w:szCs w:val="24"/>
        </w:rPr>
        <w:t>1、采购标的对应的中小企业划分标准所属行业</w:t>
      </w:r>
      <w:r>
        <w:rPr>
          <w:rFonts w:hint="eastAsia" w:ascii="宋体" w:hAnsi="宋体" w:cs="宋体"/>
          <w:sz w:val="24"/>
          <w:szCs w:val="24"/>
          <w:u w:val="single"/>
        </w:rPr>
        <w:t>：第一包：</w:t>
      </w:r>
      <w:r>
        <w:rPr>
          <w:rFonts w:hint="eastAsia" w:ascii="宋体" w:hAnsi="宋体" w:cs="宋体"/>
          <w:kern w:val="0"/>
          <w:sz w:val="24"/>
          <w:u w:val="single"/>
        </w:rPr>
        <w:t>信息传输业；第二包：软件和信息技术服务业。</w:t>
      </w:r>
    </w:p>
    <w:p>
      <w:pPr>
        <w:spacing w:line="360" w:lineRule="auto"/>
        <w:ind w:firstLine="460" w:firstLineChars="192"/>
        <w:rPr>
          <w:rFonts w:ascii="宋体" w:hAnsi="宋体" w:cs="宋体"/>
          <w:sz w:val="24"/>
          <w:szCs w:val="24"/>
        </w:rPr>
      </w:pPr>
      <w:r>
        <w:rPr>
          <w:rFonts w:hint="eastAsia" w:ascii="宋体" w:hAnsi="宋体" w:cs="宋体"/>
          <w:sz w:val="24"/>
          <w:szCs w:val="24"/>
        </w:rPr>
        <w:t>2、本次招标公告在《中国政府采购网》、《北京市政府采购网》上发布。</w:t>
      </w:r>
    </w:p>
    <w:p>
      <w:pPr>
        <w:spacing w:line="360" w:lineRule="auto"/>
        <w:ind w:firstLine="460" w:firstLineChars="192"/>
        <w:rPr>
          <w:rFonts w:ascii="宋体" w:hAnsi="宋体" w:cs="宋体"/>
          <w:sz w:val="24"/>
          <w:szCs w:val="24"/>
        </w:rPr>
      </w:pPr>
      <w:r>
        <w:rPr>
          <w:rFonts w:hint="eastAsia" w:ascii="宋体" w:hAnsi="宋体" w:cs="宋体"/>
          <w:sz w:val="24"/>
          <w:szCs w:val="24"/>
        </w:rPr>
        <w:t>3、本项目需要落实的政府采购政策：</w:t>
      </w:r>
    </w:p>
    <w:p>
      <w:pPr>
        <w:spacing w:line="360" w:lineRule="auto"/>
        <w:ind w:firstLine="460" w:firstLineChars="192"/>
        <w:rPr>
          <w:rFonts w:ascii="宋体" w:hAnsi="宋体" w:cs="宋体"/>
          <w:sz w:val="24"/>
          <w:szCs w:val="24"/>
        </w:rPr>
      </w:pPr>
      <w:r>
        <w:rPr>
          <w:rFonts w:hint="eastAsia" w:ascii="宋体" w:hAnsi="宋体" w:cs="宋体"/>
          <w:sz w:val="24"/>
          <w:szCs w:val="24"/>
        </w:rPr>
        <w:t>（1）执行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Style w:val="55"/>
          <w:rFonts w:hint="eastAsia" w:ascii="宋体" w:hAnsi="宋体" w:cs="宋体"/>
          <w:color w:val="auto"/>
          <w:sz w:val="24"/>
          <w:szCs w:val="24"/>
        </w:rPr>
        <w:t>关于印发节能产品政府采购品目清单的通知（财库〔2019〕19号）</w:t>
      </w:r>
      <w:r>
        <w:rPr>
          <w:rStyle w:val="55"/>
          <w:rFonts w:hint="eastAsia" w:ascii="宋体" w:hAnsi="宋体" w:cs="宋体"/>
          <w:color w:val="auto"/>
          <w:sz w:val="24"/>
          <w:szCs w:val="24"/>
        </w:rPr>
        <w:fldChar w:fldCharType="end"/>
      </w:r>
      <w:r>
        <w:rPr>
          <w:rFonts w:hint="eastAsia" w:ascii="宋体" w:hAnsi="宋体" w:cs="宋体"/>
          <w:sz w:val="24"/>
          <w:szCs w:val="24"/>
        </w:rPr>
        <w:t>；</w:t>
      </w:r>
    </w:p>
    <w:p>
      <w:pPr>
        <w:spacing w:line="360" w:lineRule="auto"/>
        <w:ind w:firstLine="460" w:firstLineChars="192"/>
        <w:rPr>
          <w:rFonts w:ascii="宋体" w:hAnsi="宋体" w:cs="宋体"/>
          <w:sz w:val="24"/>
          <w:szCs w:val="24"/>
        </w:rPr>
      </w:pPr>
      <w:r>
        <w:rPr>
          <w:rFonts w:hint="eastAsia" w:ascii="宋体" w:hAnsi="宋体" w:cs="宋体"/>
          <w:sz w:val="24"/>
          <w:szCs w:val="24"/>
        </w:rPr>
        <w:t>（2）执行关于印发环境标志产品政府采购品目清单的通知（财库〔2019〕18号）；</w:t>
      </w:r>
    </w:p>
    <w:p>
      <w:pPr>
        <w:spacing w:line="360" w:lineRule="auto"/>
        <w:ind w:firstLine="460" w:firstLineChars="192"/>
        <w:rPr>
          <w:rFonts w:ascii="宋体" w:hAnsi="宋体" w:cs="宋体"/>
          <w:sz w:val="24"/>
          <w:szCs w:val="24"/>
        </w:rPr>
      </w:pPr>
      <w:r>
        <w:rPr>
          <w:rFonts w:hint="eastAsia" w:ascii="宋体" w:hAnsi="宋体" w:cs="宋体"/>
          <w:sz w:val="24"/>
          <w:szCs w:val="24"/>
        </w:rPr>
        <w:t>（3）执行关于印发《政府采购促进中小企业发展管理办法》（财库[2020]46号；</w:t>
      </w:r>
    </w:p>
    <w:p>
      <w:pPr>
        <w:spacing w:line="360" w:lineRule="auto"/>
        <w:ind w:firstLine="460" w:firstLineChars="192"/>
        <w:rPr>
          <w:rFonts w:ascii="宋体" w:hAnsi="宋体" w:cs="宋体"/>
          <w:sz w:val="24"/>
          <w:szCs w:val="24"/>
        </w:rPr>
      </w:pPr>
      <w:r>
        <w:rPr>
          <w:rFonts w:hint="eastAsia" w:ascii="宋体" w:hAnsi="宋体" w:cs="宋体"/>
          <w:sz w:val="24"/>
          <w:szCs w:val="24"/>
        </w:rPr>
        <w:t>（4）执行《财政部、司法部关于政府采购支持监狱企业发展有关问题的通知》（财库[2014]68号）；</w:t>
      </w:r>
    </w:p>
    <w:p>
      <w:pPr>
        <w:spacing w:line="360" w:lineRule="auto"/>
        <w:ind w:firstLine="460" w:firstLineChars="192"/>
        <w:rPr>
          <w:rFonts w:ascii="宋体" w:hAnsi="宋体" w:cs="宋体"/>
          <w:sz w:val="24"/>
          <w:szCs w:val="24"/>
        </w:rPr>
      </w:pPr>
      <w:r>
        <w:rPr>
          <w:rFonts w:hint="eastAsia" w:ascii="宋体" w:hAnsi="宋体" w:cs="宋体"/>
          <w:sz w:val="24"/>
          <w:szCs w:val="24"/>
        </w:rPr>
        <w:t>（5）执行《关于促进残疾人就业政府采购政策的通知》（财库〔2017〕141号）；</w:t>
      </w:r>
    </w:p>
    <w:p>
      <w:pPr>
        <w:spacing w:line="360" w:lineRule="auto"/>
        <w:ind w:firstLine="460" w:firstLineChars="192"/>
        <w:rPr>
          <w:rFonts w:ascii="宋体" w:hAnsi="宋体" w:cs="宋体"/>
          <w:sz w:val="24"/>
          <w:szCs w:val="24"/>
        </w:rPr>
      </w:pPr>
      <w:r>
        <w:rPr>
          <w:rFonts w:hint="eastAsia" w:ascii="宋体" w:hAnsi="宋体" w:cs="宋体"/>
          <w:sz w:val="24"/>
          <w:szCs w:val="24"/>
        </w:rPr>
        <w:t>（6）执行《财政部关于在政府采购活动中查询及使用信用记录有关问题的通知》（财库[2016]125号）。</w:t>
      </w:r>
    </w:p>
    <w:p>
      <w:pPr>
        <w:spacing w:line="360" w:lineRule="auto"/>
        <w:ind w:firstLine="460" w:firstLineChars="192"/>
        <w:rPr>
          <w:rFonts w:ascii="宋体" w:hAnsi="宋体" w:cs="宋体"/>
          <w:bCs/>
          <w:sz w:val="24"/>
          <w:szCs w:val="24"/>
        </w:rPr>
      </w:pPr>
      <w:r>
        <w:rPr>
          <w:rFonts w:hint="eastAsia" w:ascii="宋体" w:hAnsi="宋体" w:cs="宋体"/>
          <w:sz w:val="24"/>
          <w:szCs w:val="24"/>
        </w:rPr>
        <w:t>4、本项目采用电子化采购方式，请供应商认真学习北京市政府采购电子交易平台发布的相关操作手册，办理CA认证证书、进行北京市政府采购电子交易平台注册绑定，并认真核实</w:t>
      </w:r>
      <w:r>
        <w:rPr>
          <w:rFonts w:hint="eastAsia" w:ascii="宋体" w:hAnsi="宋体" w:cs="宋体"/>
          <w:bCs/>
          <w:sz w:val="24"/>
          <w:szCs w:val="24"/>
        </w:rPr>
        <w:t>数字认证证书情况确认是否符合本项目电子化采购流程要求。</w:t>
      </w:r>
    </w:p>
    <w:p>
      <w:pPr>
        <w:spacing w:line="360" w:lineRule="auto"/>
        <w:ind w:firstLine="460" w:firstLineChars="192"/>
        <w:rPr>
          <w:rFonts w:ascii="宋体" w:hAnsi="宋体" w:cs="宋体"/>
          <w:sz w:val="24"/>
          <w:szCs w:val="24"/>
        </w:rPr>
      </w:pPr>
      <w:r>
        <w:rPr>
          <w:rFonts w:hint="eastAsia" w:ascii="宋体" w:hAnsi="宋体" w:cs="宋体"/>
          <w:sz w:val="24"/>
          <w:szCs w:val="24"/>
        </w:rPr>
        <w:t>CA认证证书服务热线 010-58511086</w:t>
      </w:r>
    </w:p>
    <w:p>
      <w:pPr>
        <w:spacing w:line="360" w:lineRule="auto"/>
        <w:ind w:firstLine="460" w:firstLineChars="192"/>
        <w:rPr>
          <w:rFonts w:ascii="宋体" w:hAnsi="宋体" w:cs="宋体"/>
          <w:sz w:val="24"/>
          <w:szCs w:val="24"/>
        </w:rPr>
      </w:pPr>
      <w:r>
        <w:rPr>
          <w:rFonts w:hint="eastAsia" w:ascii="宋体" w:hAnsi="宋体" w:cs="宋体"/>
          <w:sz w:val="24"/>
          <w:szCs w:val="24"/>
        </w:rPr>
        <w:t xml:space="preserve">技术支持服务热线   010-86483801相关操作如下： </w:t>
      </w:r>
    </w:p>
    <w:p>
      <w:pPr>
        <w:spacing w:line="360" w:lineRule="auto"/>
        <w:ind w:firstLine="460" w:firstLineChars="192"/>
        <w:rPr>
          <w:rFonts w:ascii="宋体" w:hAnsi="宋体" w:cs="宋体"/>
          <w:sz w:val="24"/>
          <w:szCs w:val="24"/>
        </w:rPr>
      </w:pPr>
      <w:r>
        <w:rPr>
          <w:rFonts w:hint="eastAsia" w:ascii="宋体" w:hAnsi="宋体" w:cs="宋体"/>
          <w:sz w:val="24"/>
          <w:szCs w:val="24"/>
        </w:rPr>
        <w:t>4.1办理CA认证证书，详见北京市政府采购电子交易平台。</w:t>
      </w:r>
    </w:p>
    <w:p>
      <w:pPr>
        <w:spacing w:line="360" w:lineRule="auto"/>
        <w:ind w:firstLine="460" w:firstLineChars="192"/>
        <w:rPr>
          <w:rFonts w:ascii="宋体" w:hAnsi="宋体" w:cs="宋体"/>
          <w:sz w:val="24"/>
          <w:szCs w:val="24"/>
        </w:rPr>
      </w:pPr>
      <w:r>
        <w:rPr>
          <w:rFonts w:hint="eastAsia" w:ascii="宋体" w:hAnsi="宋体" w:cs="宋体"/>
          <w:sz w:val="24"/>
          <w:szCs w:val="24"/>
        </w:rPr>
        <w:t>（http://zbcg-bjzc.zhongcy.com/bjczj-portal-site/index.html#/home）供应商登录北京市政府采购电子交易平台查阅 “用户指南”—“操作指南”—“市场主体CA办理操作流程指引”，按照程序要求办理。</w:t>
      </w:r>
    </w:p>
    <w:p>
      <w:pPr>
        <w:spacing w:line="360" w:lineRule="auto"/>
        <w:ind w:firstLine="460" w:firstLineChars="192"/>
        <w:rPr>
          <w:rFonts w:ascii="宋体" w:hAnsi="宋体" w:cs="宋体"/>
          <w:sz w:val="24"/>
          <w:szCs w:val="24"/>
        </w:rPr>
      </w:pPr>
      <w:r>
        <w:rPr>
          <w:rFonts w:hint="eastAsia" w:ascii="宋体" w:hAnsi="宋体" w:cs="宋体"/>
          <w:sz w:val="24"/>
          <w:szCs w:val="24"/>
        </w:rPr>
        <w:t>4.2注册</w:t>
      </w:r>
    </w:p>
    <w:p>
      <w:pPr>
        <w:spacing w:line="360" w:lineRule="auto"/>
        <w:ind w:firstLine="460" w:firstLineChars="192"/>
        <w:rPr>
          <w:rFonts w:ascii="宋体" w:hAnsi="宋体" w:cs="宋体"/>
          <w:sz w:val="24"/>
          <w:szCs w:val="24"/>
        </w:rPr>
      </w:pPr>
      <w:r>
        <w:rPr>
          <w:rFonts w:hint="eastAsia" w:ascii="宋体" w:hAnsi="宋体" w:cs="宋体"/>
          <w:sz w:val="24"/>
          <w:szCs w:val="24"/>
        </w:rPr>
        <w:t>供应商登录北京市政府采购电子交易平台“用户指南”—“操作指南”—“市场主体注册入库操作流程指引”进行自助注册绑定。</w:t>
      </w:r>
    </w:p>
    <w:p>
      <w:pPr>
        <w:spacing w:line="360" w:lineRule="auto"/>
        <w:ind w:firstLine="460" w:firstLineChars="192"/>
        <w:rPr>
          <w:rFonts w:ascii="宋体" w:hAnsi="宋体" w:cs="宋体"/>
          <w:sz w:val="24"/>
          <w:szCs w:val="24"/>
        </w:rPr>
      </w:pPr>
      <w:r>
        <w:rPr>
          <w:rFonts w:hint="eastAsia" w:ascii="宋体" w:hAnsi="宋体" w:cs="宋体"/>
          <w:sz w:val="24"/>
          <w:szCs w:val="24"/>
        </w:rPr>
        <w:t>4.3驱动、客户端下载</w:t>
      </w:r>
    </w:p>
    <w:p>
      <w:pPr>
        <w:spacing w:line="360" w:lineRule="auto"/>
        <w:ind w:firstLine="460" w:firstLineChars="192"/>
        <w:rPr>
          <w:rFonts w:ascii="宋体" w:hAnsi="宋体" w:cs="宋体"/>
          <w:sz w:val="24"/>
          <w:szCs w:val="24"/>
        </w:rPr>
      </w:pPr>
      <w:r>
        <w:rPr>
          <w:rFonts w:hint="eastAsia" w:ascii="宋体" w:hAnsi="宋体" w:cs="宋体"/>
          <w:sz w:val="24"/>
          <w:szCs w:val="24"/>
        </w:rPr>
        <w:t>供应商登录北京市政府采购电子交易平台“用户指南”—“工具下载”—“招标采购系统文件驱动安装包”下载相关驱动。</w:t>
      </w:r>
    </w:p>
    <w:p>
      <w:pPr>
        <w:spacing w:line="360" w:lineRule="auto"/>
        <w:ind w:firstLine="460" w:firstLineChars="192"/>
        <w:rPr>
          <w:rFonts w:ascii="宋体" w:hAnsi="宋体" w:cs="宋体"/>
          <w:sz w:val="24"/>
          <w:szCs w:val="24"/>
        </w:rPr>
      </w:pPr>
      <w:r>
        <w:rPr>
          <w:rFonts w:hint="eastAsia" w:ascii="宋体" w:hAnsi="宋体" w:cs="宋体"/>
          <w:sz w:val="24"/>
          <w:szCs w:val="24"/>
        </w:rPr>
        <w:t>供应商登录北京市政府采购电子交易平台“用户指南”—“工具下载”—“投标文件编制工具”下载相关客户端。</w:t>
      </w:r>
    </w:p>
    <w:p>
      <w:pPr>
        <w:spacing w:line="360" w:lineRule="auto"/>
        <w:ind w:firstLine="460" w:firstLineChars="192"/>
        <w:rPr>
          <w:rFonts w:ascii="宋体" w:hAnsi="宋体" w:cs="宋体"/>
          <w:sz w:val="24"/>
          <w:szCs w:val="24"/>
        </w:rPr>
      </w:pPr>
      <w:r>
        <w:rPr>
          <w:rFonts w:hint="eastAsia" w:ascii="宋体" w:hAnsi="宋体" w:cs="宋体"/>
          <w:sz w:val="24"/>
          <w:szCs w:val="24"/>
        </w:rPr>
        <w:t>4.4获取电子招标文件</w:t>
      </w:r>
    </w:p>
    <w:p>
      <w:pPr>
        <w:spacing w:line="360" w:lineRule="auto"/>
        <w:ind w:firstLine="460" w:firstLineChars="192"/>
        <w:rPr>
          <w:rFonts w:ascii="宋体" w:hAnsi="宋体" w:cs="宋体"/>
          <w:sz w:val="24"/>
          <w:szCs w:val="24"/>
        </w:rPr>
      </w:pPr>
      <w:r>
        <w:rPr>
          <w:rFonts w:hint="eastAsia" w:ascii="宋体" w:hAnsi="宋体" w:cs="宋体"/>
          <w:sz w:val="24"/>
          <w:szCs w:val="24"/>
        </w:rPr>
        <w:t>供应商持CA数字认证证书登录北京市政府采购电子交易平台获取电子招标文件。未在规定期限内通过北京市政府采购电子交易平台获取招标文件的</w:t>
      </w:r>
      <w:r>
        <w:rPr>
          <w:rFonts w:hint="eastAsia" w:ascii="宋体" w:hAnsi="宋体" w:cs="宋体"/>
          <w:b/>
          <w:sz w:val="24"/>
          <w:szCs w:val="24"/>
        </w:rPr>
        <w:t>投标无效</w:t>
      </w:r>
      <w:r>
        <w:rPr>
          <w:rFonts w:hint="eastAsia" w:ascii="宋体" w:hAnsi="宋体" w:cs="宋体"/>
          <w:sz w:val="24"/>
          <w:szCs w:val="24"/>
        </w:rPr>
        <w:t>。</w:t>
      </w:r>
    </w:p>
    <w:p>
      <w:pPr>
        <w:spacing w:line="360" w:lineRule="auto"/>
        <w:ind w:firstLine="463" w:firstLineChars="192"/>
        <w:rPr>
          <w:rFonts w:ascii="宋体" w:hAnsi="宋体" w:cs="宋体"/>
          <w:b/>
          <w:sz w:val="24"/>
          <w:szCs w:val="24"/>
        </w:rPr>
      </w:pPr>
      <w:r>
        <w:rPr>
          <w:rFonts w:hint="eastAsia" w:ascii="宋体" w:hAnsi="宋体" w:cs="宋体"/>
          <w:b/>
          <w:sz w:val="24"/>
          <w:szCs w:val="24"/>
        </w:rPr>
        <w:t>七、对本次招标提出询问，请按以下方式联系</w:t>
      </w:r>
    </w:p>
    <w:p>
      <w:pPr>
        <w:spacing w:line="360" w:lineRule="auto"/>
        <w:ind w:firstLine="460" w:firstLineChars="192"/>
        <w:rPr>
          <w:rFonts w:ascii="宋体" w:hAnsi="宋体" w:cs="宋体"/>
          <w:sz w:val="24"/>
          <w:szCs w:val="24"/>
        </w:rPr>
      </w:pPr>
      <w:r>
        <w:rPr>
          <w:rFonts w:hint="eastAsia" w:ascii="宋体" w:hAnsi="宋体" w:cs="宋体"/>
          <w:sz w:val="24"/>
          <w:szCs w:val="24"/>
        </w:rPr>
        <w:t>1.采购人信息</w:t>
      </w:r>
    </w:p>
    <w:p>
      <w:pPr>
        <w:spacing w:line="360" w:lineRule="auto"/>
        <w:ind w:firstLine="460" w:firstLineChars="192"/>
        <w:rPr>
          <w:rFonts w:ascii="宋体" w:hAnsi="宋体" w:cs="宋体"/>
          <w:sz w:val="24"/>
          <w:szCs w:val="24"/>
        </w:rPr>
      </w:pPr>
      <w:bookmarkStart w:id="13" w:name="_Toc28359009"/>
      <w:bookmarkStart w:id="14" w:name="_Toc28359086"/>
      <w:r>
        <w:rPr>
          <w:rFonts w:hint="eastAsia" w:ascii="宋体" w:hAnsi="宋体" w:cs="宋体"/>
          <w:sz w:val="24"/>
          <w:szCs w:val="24"/>
        </w:rPr>
        <w:t>名 称：北京市文化和旅游局宣传中心（北京市旅游运行监测中心）</w:t>
      </w:r>
    </w:p>
    <w:p>
      <w:pPr>
        <w:spacing w:line="360" w:lineRule="auto"/>
        <w:ind w:firstLine="460" w:firstLineChars="192"/>
        <w:rPr>
          <w:rFonts w:ascii="宋体" w:hAnsi="宋体" w:cs="宋体"/>
          <w:sz w:val="24"/>
          <w:szCs w:val="24"/>
        </w:rPr>
      </w:pPr>
      <w:r>
        <w:rPr>
          <w:rFonts w:hint="eastAsia" w:ascii="宋体" w:hAnsi="宋体" w:cs="宋体"/>
          <w:sz w:val="24"/>
          <w:szCs w:val="24"/>
        </w:rPr>
        <w:t>地 址：北京市通州区留庄路</w:t>
      </w:r>
      <w:r>
        <w:rPr>
          <w:rFonts w:ascii="宋体" w:hAnsi="宋体" w:cs="宋体"/>
          <w:sz w:val="24"/>
          <w:szCs w:val="24"/>
        </w:rPr>
        <w:t>1号院1号楼</w:t>
      </w:r>
    </w:p>
    <w:p>
      <w:pPr>
        <w:spacing w:line="360" w:lineRule="auto"/>
        <w:ind w:firstLine="460" w:firstLineChars="192"/>
        <w:rPr>
          <w:rFonts w:ascii="宋体" w:hAnsi="宋体" w:cs="宋体"/>
          <w:sz w:val="24"/>
          <w:szCs w:val="24"/>
        </w:rPr>
      </w:pPr>
      <w:r>
        <w:rPr>
          <w:rFonts w:hint="eastAsia" w:ascii="宋体" w:hAnsi="宋体" w:cs="宋体"/>
          <w:sz w:val="24"/>
          <w:szCs w:val="24"/>
        </w:rPr>
        <w:t>联系方式：纪老师  55525998</w:t>
      </w:r>
    </w:p>
    <w:p>
      <w:pPr>
        <w:spacing w:line="360" w:lineRule="auto"/>
        <w:ind w:firstLine="460" w:firstLineChars="192"/>
        <w:rPr>
          <w:rFonts w:ascii="宋体" w:hAnsi="宋体" w:cs="宋体"/>
          <w:sz w:val="24"/>
          <w:szCs w:val="24"/>
        </w:rPr>
      </w:pPr>
      <w:r>
        <w:rPr>
          <w:rFonts w:hint="eastAsia" w:ascii="宋体" w:hAnsi="宋体" w:cs="宋体"/>
          <w:sz w:val="24"/>
          <w:szCs w:val="24"/>
        </w:rPr>
        <w:t>2.采购代理机构信息</w:t>
      </w:r>
      <w:bookmarkEnd w:id="13"/>
      <w:bookmarkEnd w:id="14"/>
    </w:p>
    <w:p>
      <w:pPr>
        <w:spacing w:line="360" w:lineRule="auto"/>
        <w:ind w:firstLine="460" w:firstLineChars="192"/>
        <w:rPr>
          <w:rFonts w:ascii="宋体" w:hAnsi="宋体" w:cs="宋体"/>
          <w:sz w:val="24"/>
          <w:szCs w:val="24"/>
        </w:rPr>
      </w:pPr>
      <w:r>
        <w:rPr>
          <w:rFonts w:hint="eastAsia" w:ascii="宋体" w:hAnsi="宋体" w:cs="宋体"/>
          <w:sz w:val="24"/>
          <w:szCs w:val="24"/>
        </w:rPr>
        <w:t>名 称：北京市京发招标有限公司</w:t>
      </w:r>
    </w:p>
    <w:p>
      <w:pPr>
        <w:spacing w:line="360" w:lineRule="auto"/>
        <w:ind w:firstLine="460" w:firstLineChars="192"/>
        <w:rPr>
          <w:rFonts w:ascii="宋体" w:hAnsi="宋体" w:cs="宋体"/>
          <w:sz w:val="24"/>
          <w:szCs w:val="24"/>
        </w:rPr>
      </w:pPr>
      <w:r>
        <w:rPr>
          <w:rFonts w:hint="eastAsia" w:ascii="宋体" w:hAnsi="宋体" w:cs="宋体"/>
          <w:sz w:val="24"/>
          <w:szCs w:val="24"/>
        </w:rPr>
        <w:t xml:space="preserve">地 址：北京市东城区崇文门外大街90号 </w:t>
      </w:r>
    </w:p>
    <w:p>
      <w:pPr>
        <w:spacing w:line="360" w:lineRule="auto"/>
        <w:ind w:firstLine="460" w:firstLineChars="192"/>
        <w:rPr>
          <w:rFonts w:ascii="宋体" w:hAnsi="宋体" w:cs="宋体"/>
          <w:sz w:val="24"/>
          <w:szCs w:val="24"/>
        </w:rPr>
      </w:pPr>
      <w:r>
        <w:rPr>
          <w:rFonts w:hint="eastAsia" w:ascii="宋体" w:hAnsi="宋体" w:cs="宋体"/>
          <w:sz w:val="24"/>
          <w:szCs w:val="24"/>
        </w:rPr>
        <w:t>联系方式：</w:t>
      </w:r>
      <w:bookmarkStart w:id="15" w:name="_Toc28359087"/>
      <w:bookmarkStart w:id="16" w:name="_Toc28359010"/>
      <w:r>
        <w:rPr>
          <w:rFonts w:hint="eastAsia" w:ascii="宋体" w:hAnsi="宋体" w:cs="宋体"/>
          <w:sz w:val="24"/>
          <w:szCs w:val="24"/>
        </w:rPr>
        <w:t>张超、李丁、马若莎 67169727</w:t>
      </w:r>
    </w:p>
    <w:p>
      <w:pPr>
        <w:spacing w:line="360" w:lineRule="auto"/>
        <w:ind w:firstLine="460" w:firstLineChars="192"/>
        <w:rPr>
          <w:rFonts w:ascii="宋体" w:hAnsi="宋体" w:cs="宋体"/>
          <w:sz w:val="24"/>
          <w:szCs w:val="24"/>
        </w:rPr>
      </w:pPr>
      <w:r>
        <w:rPr>
          <w:rFonts w:hint="eastAsia" w:ascii="宋体" w:hAnsi="宋体" w:cs="宋体"/>
          <w:sz w:val="24"/>
          <w:szCs w:val="24"/>
        </w:rPr>
        <w:t>3.项目联系方式</w:t>
      </w:r>
      <w:bookmarkEnd w:id="15"/>
      <w:bookmarkEnd w:id="16"/>
    </w:p>
    <w:p>
      <w:pPr>
        <w:spacing w:line="360" w:lineRule="auto"/>
        <w:ind w:firstLine="460" w:firstLineChars="192"/>
        <w:rPr>
          <w:rFonts w:ascii="宋体" w:hAnsi="宋体" w:cs="宋体"/>
          <w:sz w:val="24"/>
          <w:szCs w:val="24"/>
        </w:rPr>
      </w:pPr>
      <w:r>
        <w:rPr>
          <w:rFonts w:hint="eastAsia" w:ascii="宋体" w:hAnsi="宋体" w:cs="宋体"/>
          <w:sz w:val="24"/>
          <w:szCs w:val="24"/>
        </w:rPr>
        <w:t>项目联系人：张超</w:t>
      </w:r>
    </w:p>
    <w:p>
      <w:pPr>
        <w:spacing w:line="360" w:lineRule="auto"/>
        <w:ind w:firstLine="460" w:firstLineChars="192"/>
        <w:rPr>
          <w:rFonts w:ascii="宋体" w:hAnsi="宋体" w:cs="宋体"/>
          <w:sz w:val="24"/>
          <w:szCs w:val="24"/>
        </w:rPr>
      </w:pPr>
      <w:r>
        <w:rPr>
          <w:rFonts w:hint="eastAsia" w:ascii="宋体" w:hAnsi="宋体" w:cs="宋体"/>
          <w:sz w:val="24"/>
          <w:szCs w:val="24"/>
        </w:rPr>
        <w:t>电  话：67169727</w:t>
      </w:r>
      <w:r>
        <w:rPr>
          <w:rFonts w:hint="eastAsia" w:ascii="宋体" w:hAnsi="宋体" w:cs="宋体"/>
          <w:sz w:val="24"/>
          <w:szCs w:val="24"/>
        </w:rPr>
        <w:br w:type="page"/>
      </w:r>
      <w:bookmarkStart w:id="17" w:name="_Toc8927"/>
    </w:p>
    <w:p>
      <w:pPr>
        <w:pStyle w:val="45"/>
        <w:spacing w:line="360" w:lineRule="auto"/>
        <w:ind w:firstLine="602"/>
        <w:rPr>
          <w:rFonts w:ascii="宋体" w:hAnsi="宋体" w:eastAsia="宋体" w:cs="宋体"/>
          <w:sz w:val="30"/>
          <w:szCs w:val="30"/>
        </w:rPr>
      </w:pPr>
      <w:bookmarkStart w:id="18" w:name="_Toc100786134"/>
      <w:r>
        <w:rPr>
          <w:rFonts w:hint="eastAsia" w:ascii="宋体" w:hAnsi="宋体" w:eastAsia="宋体" w:cs="宋体"/>
          <w:sz w:val="30"/>
          <w:szCs w:val="30"/>
        </w:rPr>
        <w:t>第二章  投标人须知</w:t>
      </w:r>
      <w:bookmarkEnd w:id="17"/>
      <w:bookmarkEnd w:id="18"/>
    </w:p>
    <w:p>
      <w:pPr>
        <w:pStyle w:val="45"/>
        <w:spacing w:line="360" w:lineRule="auto"/>
        <w:ind w:firstLine="602"/>
        <w:rPr>
          <w:rFonts w:ascii="宋体" w:hAnsi="宋体" w:eastAsia="宋体" w:cs="宋体"/>
          <w:sz w:val="30"/>
          <w:szCs w:val="30"/>
        </w:rPr>
      </w:pPr>
      <w:bookmarkStart w:id="19" w:name="_Toc100786135"/>
      <w:r>
        <w:rPr>
          <w:rFonts w:hint="eastAsia" w:ascii="宋体" w:hAnsi="宋体" w:eastAsia="宋体" w:cs="宋体"/>
          <w:sz w:val="30"/>
          <w:szCs w:val="30"/>
        </w:rPr>
        <w:t>投标人须知资料表</w:t>
      </w:r>
      <w:bookmarkEnd w:id="19"/>
    </w:p>
    <w:p>
      <w:pPr>
        <w:snapToGrid w:val="0"/>
        <w:spacing w:before="100" w:beforeAutospacing="1" w:after="100" w:afterAutospacing="1" w:line="360" w:lineRule="auto"/>
        <w:ind w:firstLine="408" w:firstLineChars="170"/>
        <w:rPr>
          <w:rFonts w:ascii="宋体" w:hAnsi="宋体" w:cs="宋体"/>
          <w:sz w:val="24"/>
          <w:szCs w:val="24"/>
        </w:rPr>
      </w:pPr>
      <w:r>
        <w:rPr>
          <w:rFonts w:hint="eastAsia" w:ascii="宋体" w:hAnsi="宋体" w:cs="宋体"/>
          <w:sz w:val="24"/>
          <w:szCs w:val="24"/>
        </w:rPr>
        <w:t>本表是对投标人须知的具体补充和修改，如有矛盾，均以本资料表为准。标记“</w:t>
      </w:r>
      <w:r>
        <w:rPr>
          <w:rFonts w:hint="eastAsia" w:ascii="宋体" w:hAnsi="宋体" w:cs="宋体"/>
          <w:b/>
          <w:sz w:val="24"/>
          <w:szCs w:val="24"/>
        </w:rPr>
        <w:t>■</w:t>
      </w:r>
      <w:r>
        <w:rPr>
          <w:rFonts w:hint="eastAsia" w:ascii="宋体" w:hAnsi="宋体" w:cs="宋体"/>
          <w:sz w:val="24"/>
          <w:szCs w:val="24"/>
        </w:rPr>
        <w:t>”的选项意为适用于本项目，标记“□”的选项意为不适用于本项目。</w:t>
      </w:r>
    </w:p>
    <w:tbl>
      <w:tblPr>
        <w:tblStyle w:val="48"/>
        <w:tblW w:w="8704"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24"/>
        <w:gridCol w:w="1717"/>
        <w:gridCol w:w="5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trPr>
        <w:tc>
          <w:tcPr>
            <w:tcW w:w="1324"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章节号</w:t>
            </w:r>
          </w:p>
        </w:tc>
        <w:tc>
          <w:tcPr>
            <w:tcW w:w="1717"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条款名称</w:t>
            </w:r>
          </w:p>
        </w:tc>
        <w:tc>
          <w:tcPr>
            <w:tcW w:w="5663" w:type="dxa"/>
            <w:tcBorders>
              <w:top w:val="single" w:color="auto" w:sz="12" w:space="0"/>
              <w:left w:val="single" w:color="auto" w:sz="6" w:space="0"/>
              <w:bottom w:val="single" w:color="auto" w:sz="6" w:space="0"/>
              <w:right w:val="single" w:color="auto" w:sz="12"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现场考察</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■不组织。</w:t>
            </w:r>
          </w:p>
          <w:p>
            <w:pPr>
              <w:snapToGrid w:val="0"/>
              <w:spacing w:line="360" w:lineRule="auto"/>
              <w:jc w:val="left"/>
              <w:rPr>
                <w:rFonts w:ascii="宋体" w:hAnsi="宋体" w:cs="宋体"/>
                <w:bCs/>
                <w:sz w:val="24"/>
                <w:szCs w:val="24"/>
              </w:rPr>
            </w:pPr>
            <w:r>
              <w:rPr>
                <w:rFonts w:hint="eastAsia" w:ascii="宋体" w:hAnsi="宋体" w:cs="宋体"/>
                <w:sz w:val="24"/>
                <w:szCs w:val="24"/>
              </w:rPr>
              <w:t>□组织，考察时间：</w:t>
            </w:r>
            <w:r>
              <w:rPr>
                <w:rFonts w:hint="eastAsia" w:ascii="宋体" w:hAnsi="宋体" w:cs="宋体"/>
                <w:sz w:val="24"/>
                <w:szCs w:val="24"/>
                <w:u w:val="single"/>
              </w:rPr>
              <w:t>/</w:t>
            </w:r>
            <w:r>
              <w:rPr>
                <w:rFonts w:hint="eastAsia" w:ascii="宋体" w:hAnsi="宋体" w:cs="宋体"/>
                <w:sz w:val="24"/>
                <w:szCs w:val="24"/>
              </w:rPr>
              <w:t>年</w:t>
            </w:r>
            <w:r>
              <w:rPr>
                <w:rFonts w:hint="eastAsia" w:ascii="宋体" w:hAnsi="宋体" w:cs="宋体"/>
                <w:sz w:val="24"/>
                <w:szCs w:val="24"/>
                <w:u w:val="single"/>
              </w:rPr>
              <w:t>/</w:t>
            </w:r>
            <w:r>
              <w:rPr>
                <w:rFonts w:hint="eastAsia" w:ascii="宋体" w:hAnsi="宋体" w:cs="宋体"/>
                <w:sz w:val="24"/>
                <w:szCs w:val="24"/>
              </w:rPr>
              <w:t>月</w:t>
            </w:r>
            <w:r>
              <w:rPr>
                <w:rFonts w:hint="eastAsia" w:ascii="宋体" w:hAnsi="宋体" w:cs="宋体"/>
                <w:sz w:val="24"/>
                <w:szCs w:val="24"/>
                <w:u w:val="single"/>
              </w:rPr>
              <w:t>/</w:t>
            </w:r>
            <w:r>
              <w:rPr>
                <w:rFonts w:hint="eastAsia" w:ascii="宋体" w:hAnsi="宋体" w:cs="宋体"/>
                <w:sz w:val="24"/>
                <w:szCs w:val="24"/>
              </w:rPr>
              <w:t>日/</w:t>
            </w:r>
            <w:r>
              <w:rPr>
                <w:rFonts w:hint="eastAsia" w:ascii="宋体" w:hAnsi="宋体" w:cs="宋体"/>
                <w:bCs/>
                <w:sz w:val="24"/>
                <w:szCs w:val="24"/>
              </w:rPr>
              <w:t>点</w:t>
            </w:r>
            <w:r>
              <w:rPr>
                <w:rFonts w:hint="eastAsia" w:ascii="宋体" w:hAnsi="宋体" w:cs="宋体"/>
                <w:sz w:val="24"/>
                <w:szCs w:val="24"/>
                <w:u w:val="single"/>
              </w:rPr>
              <w:t>/</w:t>
            </w:r>
            <w:r>
              <w:rPr>
                <w:rFonts w:hint="eastAsia" w:ascii="宋体" w:hAnsi="宋体" w:cs="宋体"/>
                <w:bCs/>
                <w:sz w:val="24"/>
                <w:szCs w:val="24"/>
              </w:rPr>
              <w:t>分。</w:t>
            </w:r>
          </w:p>
          <w:p>
            <w:pPr>
              <w:snapToGrid w:val="0"/>
              <w:spacing w:line="360" w:lineRule="auto"/>
              <w:jc w:val="left"/>
              <w:rPr>
                <w:rFonts w:ascii="宋体" w:hAnsi="宋体" w:cs="宋体"/>
                <w:sz w:val="24"/>
                <w:szCs w:val="24"/>
              </w:rPr>
            </w:pPr>
            <w:r>
              <w:rPr>
                <w:rFonts w:hint="eastAsia" w:ascii="宋体" w:hAnsi="宋体" w:cs="宋体"/>
                <w:sz w:val="24"/>
                <w:szCs w:val="24"/>
              </w:rPr>
              <w:t>考察地点：</w:t>
            </w:r>
            <w:r>
              <w:rPr>
                <w:rFonts w:hint="eastAsia" w:ascii="宋体" w:hAnsi="宋体" w:cs="宋体"/>
                <w:sz w:val="24"/>
                <w:szCs w:val="24"/>
                <w:u w:val="single"/>
              </w:rPr>
              <w:t>/</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开标前答疑会</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■不召开。</w:t>
            </w:r>
          </w:p>
          <w:p>
            <w:pPr>
              <w:snapToGrid w:val="0"/>
              <w:spacing w:line="360" w:lineRule="auto"/>
              <w:jc w:val="left"/>
              <w:rPr>
                <w:rFonts w:ascii="宋体" w:hAnsi="宋体" w:cs="宋体"/>
                <w:sz w:val="24"/>
                <w:szCs w:val="24"/>
              </w:rPr>
            </w:pPr>
            <w:r>
              <w:rPr>
                <w:rFonts w:hint="eastAsia" w:ascii="宋体" w:hAnsi="宋体" w:cs="宋体"/>
                <w:sz w:val="24"/>
                <w:szCs w:val="24"/>
              </w:rPr>
              <w:t>□召开，召开时间：</w:t>
            </w:r>
            <w:r>
              <w:rPr>
                <w:rFonts w:hint="eastAsia" w:ascii="宋体" w:hAnsi="宋体" w:cs="宋体"/>
                <w:sz w:val="24"/>
                <w:szCs w:val="24"/>
                <w:u w:val="single"/>
              </w:rPr>
              <w:t>/</w:t>
            </w:r>
            <w:r>
              <w:rPr>
                <w:rFonts w:hint="eastAsia" w:ascii="宋体" w:hAnsi="宋体" w:cs="宋体"/>
                <w:sz w:val="24"/>
                <w:szCs w:val="24"/>
              </w:rPr>
              <w:t>年</w:t>
            </w:r>
            <w:r>
              <w:rPr>
                <w:rFonts w:hint="eastAsia" w:ascii="宋体" w:hAnsi="宋体" w:cs="宋体"/>
                <w:sz w:val="24"/>
                <w:szCs w:val="24"/>
                <w:u w:val="single"/>
              </w:rPr>
              <w:t>/</w:t>
            </w:r>
            <w:r>
              <w:rPr>
                <w:rFonts w:hint="eastAsia" w:ascii="宋体" w:hAnsi="宋体" w:cs="宋体"/>
                <w:sz w:val="24"/>
                <w:szCs w:val="24"/>
              </w:rPr>
              <w:t>月</w:t>
            </w:r>
            <w:r>
              <w:rPr>
                <w:rFonts w:hint="eastAsia" w:ascii="宋体" w:hAnsi="宋体" w:cs="宋体"/>
                <w:sz w:val="24"/>
                <w:szCs w:val="24"/>
                <w:u w:val="single"/>
              </w:rPr>
              <w:t>/</w:t>
            </w:r>
            <w:r>
              <w:rPr>
                <w:rFonts w:hint="eastAsia" w:ascii="宋体" w:hAnsi="宋体" w:cs="宋体"/>
                <w:sz w:val="24"/>
                <w:szCs w:val="24"/>
              </w:rPr>
              <w:t>日</w:t>
            </w:r>
            <w:r>
              <w:rPr>
                <w:rFonts w:hint="eastAsia" w:ascii="宋体" w:hAnsi="宋体" w:cs="宋体"/>
                <w:sz w:val="24"/>
                <w:szCs w:val="24"/>
                <w:u w:val="single"/>
              </w:rPr>
              <w:t>/</w:t>
            </w:r>
            <w:r>
              <w:rPr>
                <w:rFonts w:hint="eastAsia" w:ascii="宋体" w:hAnsi="宋体" w:cs="宋体"/>
                <w:bCs/>
                <w:sz w:val="24"/>
                <w:szCs w:val="24"/>
              </w:rPr>
              <w:t>点</w:t>
            </w:r>
            <w:r>
              <w:rPr>
                <w:rFonts w:hint="eastAsia" w:ascii="宋体" w:hAnsi="宋体" w:cs="宋体"/>
                <w:sz w:val="24"/>
                <w:szCs w:val="24"/>
                <w:u w:val="single"/>
              </w:rPr>
              <w:t>/</w:t>
            </w:r>
            <w:r>
              <w:rPr>
                <w:rFonts w:hint="eastAsia" w:ascii="宋体" w:hAnsi="宋体" w:cs="宋体"/>
                <w:bCs/>
                <w:sz w:val="24"/>
                <w:szCs w:val="24"/>
              </w:rPr>
              <w:t>分。</w:t>
            </w:r>
          </w:p>
          <w:p>
            <w:pPr>
              <w:snapToGrid w:val="0"/>
              <w:spacing w:line="360" w:lineRule="auto"/>
              <w:jc w:val="left"/>
              <w:rPr>
                <w:rFonts w:ascii="宋体" w:hAnsi="宋体" w:cs="宋体"/>
                <w:sz w:val="24"/>
                <w:szCs w:val="24"/>
              </w:rPr>
            </w:pPr>
            <w:r>
              <w:rPr>
                <w:rFonts w:hint="eastAsia" w:ascii="宋体" w:hAnsi="宋体" w:cs="宋体"/>
                <w:sz w:val="24"/>
                <w:szCs w:val="24"/>
              </w:rPr>
              <w:t>召开地点：</w:t>
            </w:r>
            <w:r>
              <w:rPr>
                <w:rFonts w:hint="eastAsia" w:ascii="宋体" w:hAnsi="宋体" w:cs="宋体"/>
                <w:sz w:val="24"/>
                <w:szCs w:val="24"/>
                <w:u w:val="single"/>
              </w:rPr>
              <w:t>/</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4</w:t>
            </w:r>
          </w:p>
        </w:tc>
        <w:tc>
          <w:tcPr>
            <w:tcW w:w="1717" w:type="dxa"/>
            <w:vMerge w:val="restart"/>
            <w:tcBorders>
              <w:top w:val="single" w:color="auto" w:sz="6" w:space="0"/>
              <w:left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szCs w:val="24"/>
              </w:rPr>
              <w:t>资金来源</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 w:firstLineChars="20"/>
              <w:rPr>
                <w:rFonts w:ascii="宋体" w:hAnsi="宋体" w:cs="宋体"/>
                <w:sz w:val="24"/>
                <w:szCs w:val="24"/>
              </w:rPr>
            </w:pPr>
            <w:r>
              <w:rPr>
                <w:rFonts w:hint="eastAsia" w:ascii="宋体" w:hAnsi="宋体" w:cs="宋体"/>
                <w:sz w:val="24"/>
                <w:szCs w:val="24"/>
              </w:rPr>
              <w:t>财政性资金。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jc w:val="center"/>
              <w:rPr>
                <w:rFonts w:ascii="宋体" w:hAnsi="宋体" w:cs="宋体"/>
                <w:sz w:val="24"/>
                <w:szCs w:val="24"/>
              </w:rPr>
            </w:pPr>
          </w:p>
        </w:tc>
        <w:tc>
          <w:tcPr>
            <w:tcW w:w="1717" w:type="dxa"/>
            <w:vMerge w:val="continue"/>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 w:firstLineChars="20"/>
              <w:rPr>
                <w:rFonts w:ascii="宋体" w:hAnsi="宋体" w:cs="宋体"/>
                <w:sz w:val="24"/>
                <w:szCs w:val="24"/>
              </w:rPr>
            </w:pPr>
            <w:r>
              <w:rPr>
                <w:rFonts w:hint="eastAsia" w:ascii="宋体" w:hAnsi="宋体" w:cs="宋体"/>
                <w:sz w:val="24"/>
                <w:szCs w:val="24"/>
              </w:rPr>
              <w:t>本次招标预算金额为619.525万元。</w:t>
            </w:r>
          </w:p>
          <w:p>
            <w:pPr>
              <w:snapToGrid w:val="0"/>
              <w:spacing w:line="360" w:lineRule="auto"/>
              <w:ind w:firstLine="48" w:firstLineChars="20"/>
              <w:rPr>
                <w:rFonts w:ascii="宋体" w:hAnsi="宋体" w:cs="宋体"/>
                <w:sz w:val="24"/>
                <w:szCs w:val="24"/>
              </w:rPr>
            </w:pPr>
            <w:r>
              <w:rPr>
                <w:rFonts w:hint="eastAsia" w:ascii="宋体" w:hAnsi="宋体" w:cs="宋体"/>
                <w:sz w:val="24"/>
                <w:szCs w:val="24"/>
              </w:rPr>
              <w:t>采购包预算金额为：</w:t>
            </w:r>
            <w:r>
              <w:rPr>
                <w:rFonts w:hint="eastAsia" w:ascii="宋体" w:hAnsi="宋体" w:cs="宋体"/>
                <w:sz w:val="24"/>
              </w:rPr>
              <w:t>第一包：599.725万</w:t>
            </w:r>
            <w:r>
              <w:rPr>
                <w:rFonts w:hint="eastAsia" w:ascii="宋体" w:hAnsi="宋体" w:cs="宋体"/>
                <w:sz w:val="24"/>
                <w:szCs w:val="24"/>
              </w:rPr>
              <w:t>元；第二包：19.8万元。</w:t>
            </w:r>
          </w:p>
          <w:p>
            <w:pPr>
              <w:snapToGrid w:val="0"/>
              <w:spacing w:line="360" w:lineRule="auto"/>
              <w:ind w:firstLine="48" w:firstLineChars="20"/>
              <w:rPr>
                <w:rFonts w:ascii="宋体" w:hAnsi="宋体" w:cs="宋体"/>
                <w:sz w:val="24"/>
                <w:szCs w:val="24"/>
              </w:rPr>
            </w:pPr>
            <w:r>
              <w:rPr>
                <w:rFonts w:hint="eastAsia" w:ascii="宋体" w:hAnsi="宋体" w:cs="宋体"/>
                <w:b/>
                <w:sz w:val="24"/>
                <w:szCs w:val="24"/>
              </w:rPr>
              <w:t>超出最高限价或预算金额的为无效投标。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ind w:firstLine="42" w:firstLineChars="20"/>
              <w:jc w:val="center"/>
              <w:rPr>
                <w:rFonts w:ascii="宋体" w:hAnsi="宋体" w:cs="宋体"/>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szCs w:val="24"/>
              </w:rPr>
              <w:t>项目属性</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szCs w:val="24"/>
              </w:rPr>
            </w:pPr>
            <w:r>
              <w:rPr>
                <w:rFonts w:hint="eastAsia" w:ascii="宋体" w:hAnsi="宋体" w:cs="宋体"/>
                <w:sz w:val="24"/>
                <w:szCs w:val="24"/>
              </w:rPr>
              <w:t>项目属性：</w:t>
            </w:r>
          </w:p>
          <w:p>
            <w:pPr>
              <w:spacing w:line="360" w:lineRule="auto"/>
              <w:jc w:val="left"/>
              <w:rPr>
                <w:rFonts w:ascii="宋体" w:hAnsi="宋体" w:cs="宋体"/>
                <w:sz w:val="24"/>
                <w:szCs w:val="24"/>
              </w:rPr>
            </w:pPr>
            <w:r>
              <w:rPr>
                <w:rFonts w:hint="eastAsia" w:ascii="宋体" w:hAnsi="宋体" w:cs="宋体"/>
                <w:sz w:val="24"/>
                <w:szCs w:val="24"/>
              </w:rPr>
              <w:t>■服务。</w:t>
            </w:r>
          </w:p>
          <w:p>
            <w:pPr>
              <w:spacing w:line="360" w:lineRule="auto"/>
              <w:jc w:val="left"/>
              <w:rPr>
                <w:rFonts w:ascii="宋体" w:hAnsi="宋体" w:cs="宋体"/>
                <w:sz w:val="24"/>
                <w:szCs w:val="24"/>
              </w:rPr>
            </w:pPr>
            <w:r>
              <w:rPr>
                <w:rFonts w:hint="eastAsia" w:ascii="宋体" w:hAnsi="宋体" w:cs="宋体"/>
                <w:sz w:val="24"/>
                <w:szCs w:val="24"/>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ind w:firstLine="42" w:firstLineChars="20"/>
              <w:jc w:val="center"/>
              <w:rPr>
                <w:rFonts w:ascii="宋体" w:hAnsi="宋体" w:cs="宋体"/>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szCs w:val="24"/>
              </w:rPr>
              <w:t>科研仪器设备</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szCs w:val="24"/>
              </w:rPr>
            </w:pPr>
            <w:r>
              <w:rPr>
                <w:rFonts w:hint="eastAsia" w:ascii="宋体" w:hAnsi="宋体" w:cs="宋体"/>
                <w:sz w:val="24"/>
                <w:szCs w:val="24"/>
              </w:rPr>
              <w:t>是否属于科研仪器设备采购项目：</w:t>
            </w:r>
          </w:p>
          <w:p>
            <w:pPr>
              <w:spacing w:line="360" w:lineRule="auto"/>
              <w:jc w:val="left"/>
              <w:rPr>
                <w:rFonts w:ascii="宋体" w:hAnsi="宋体" w:cs="宋体"/>
                <w:sz w:val="24"/>
                <w:szCs w:val="24"/>
              </w:rPr>
            </w:pPr>
            <w:r>
              <w:rPr>
                <w:rFonts w:hint="eastAsia" w:ascii="宋体" w:hAnsi="宋体" w:cs="宋体"/>
                <w:sz w:val="24"/>
                <w:szCs w:val="24"/>
              </w:rPr>
              <w:t>□是。</w:t>
            </w:r>
          </w:p>
          <w:p>
            <w:pPr>
              <w:spacing w:line="360" w:lineRule="auto"/>
              <w:jc w:val="left"/>
              <w:rPr>
                <w:rFonts w:ascii="宋体" w:hAnsi="宋体" w:cs="宋体"/>
                <w:sz w:val="24"/>
                <w:szCs w:val="24"/>
              </w:rPr>
            </w:pPr>
            <w:r>
              <w:rPr>
                <w:rFonts w:hint="eastAsia" w:ascii="宋体" w:hAnsi="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ind w:firstLine="42" w:firstLineChars="20"/>
              <w:jc w:val="center"/>
              <w:rPr>
                <w:rFonts w:ascii="宋体" w:hAnsi="宋体" w:cs="宋体"/>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szCs w:val="24"/>
              </w:rPr>
              <w:t>核心产品</w:t>
            </w:r>
          </w:p>
        </w:tc>
        <w:tc>
          <w:tcPr>
            <w:tcW w:w="5663" w:type="dxa"/>
            <w:tcBorders>
              <w:top w:val="single" w:color="auto" w:sz="6" w:space="0"/>
              <w:left w:val="single" w:color="auto" w:sz="6" w:space="0"/>
              <w:bottom w:val="single" w:color="auto" w:sz="6" w:space="0"/>
              <w:right w:val="single" w:color="auto" w:sz="12" w:space="0"/>
            </w:tcBorders>
            <w:vAlign w:val="center"/>
          </w:tcPr>
          <w:p>
            <w:pPr>
              <w:pStyle w:val="25"/>
              <w:adjustRightInd w:val="0"/>
              <w:snapToGrid w:val="0"/>
              <w:spacing w:line="360" w:lineRule="auto"/>
              <w:rPr>
                <w:rFonts w:hAnsi="宋体" w:cs="宋体"/>
                <w:sz w:val="24"/>
                <w:szCs w:val="24"/>
              </w:rPr>
            </w:pPr>
            <w:r>
              <w:rPr>
                <w:rFonts w:hint="eastAsia" w:hAnsi="宋体" w:cs="宋体"/>
                <w:sz w:val="24"/>
                <w:szCs w:val="24"/>
              </w:rPr>
              <w:t>■关于核心产品本项目不适用。</w:t>
            </w:r>
          </w:p>
          <w:p>
            <w:pPr>
              <w:pStyle w:val="25"/>
              <w:adjustRightInd w:val="0"/>
              <w:snapToGrid w:val="0"/>
              <w:spacing w:line="360" w:lineRule="auto"/>
              <w:rPr>
                <w:rFonts w:hAnsi="宋体" w:cs="宋体"/>
                <w:sz w:val="24"/>
                <w:szCs w:val="24"/>
              </w:rPr>
            </w:pPr>
            <w:r>
              <w:rPr>
                <w:rFonts w:hint="eastAsia" w:hAnsi="宋体" w:cs="宋体"/>
                <w:sz w:val="24"/>
                <w:szCs w:val="24"/>
              </w:rPr>
              <w:t>□本项目</w:t>
            </w:r>
            <w:r>
              <w:rPr>
                <w:rFonts w:hint="eastAsia" w:hAnsi="宋体" w:cs="宋体"/>
                <w:sz w:val="24"/>
                <w:szCs w:val="24"/>
                <w:u w:val="single"/>
              </w:rPr>
              <w:t>/</w:t>
            </w:r>
            <w:r>
              <w:rPr>
                <w:rFonts w:hint="eastAsia" w:hAnsi="宋体" w:cs="宋体"/>
                <w:sz w:val="24"/>
                <w:szCs w:val="24"/>
              </w:rPr>
              <w:t>包为单一产品采购项目。</w:t>
            </w:r>
          </w:p>
          <w:p>
            <w:pPr>
              <w:spacing w:line="360" w:lineRule="auto"/>
              <w:jc w:val="left"/>
              <w:rPr>
                <w:rFonts w:ascii="宋体" w:hAnsi="宋体" w:cs="宋体"/>
                <w:sz w:val="24"/>
                <w:szCs w:val="24"/>
              </w:rPr>
            </w:pPr>
            <w:r>
              <w:rPr>
                <w:rFonts w:hint="eastAsia" w:ascii="宋体" w:hAnsi="宋体" w:cs="宋体"/>
                <w:sz w:val="24"/>
                <w:szCs w:val="24"/>
              </w:rPr>
              <w:t>□本项目</w:t>
            </w:r>
            <w:r>
              <w:rPr>
                <w:rFonts w:hint="eastAsia" w:ascii="宋体" w:hAnsi="宋体" w:cs="宋体"/>
                <w:sz w:val="24"/>
                <w:szCs w:val="24"/>
                <w:u w:val="single"/>
              </w:rPr>
              <w:t>/</w:t>
            </w:r>
            <w:r>
              <w:rPr>
                <w:rFonts w:hint="eastAsia" w:ascii="宋体" w:hAnsi="宋体" w:cs="宋体"/>
                <w:sz w:val="24"/>
                <w:szCs w:val="24"/>
              </w:rPr>
              <w:t>包为非单一产品采购项目，核心产品为：</w:t>
            </w:r>
            <w:r>
              <w:rPr>
                <w:rFonts w:hint="eastAsia" w:ascii="宋体" w:hAnsi="宋体" w:cs="宋体"/>
                <w:sz w:val="24"/>
                <w:szCs w:val="24"/>
                <w:u w:val="single"/>
              </w:rPr>
              <w:t>/</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34</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招标文件的</w:t>
            </w:r>
          </w:p>
          <w:p>
            <w:pPr>
              <w:snapToGrid w:val="0"/>
              <w:spacing w:line="360" w:lineRule="auto"/>
              <w:jc w:val="center"/>
              <w:rPr>
                <w:rFonts w:ascii="宋体" w:hAnsi="宋体" w:cs="宋体"/>
                <w:sz w:val="24"/>
                <w:szCs w:val="24"/>
              </w:rPr>
            </w:pPr>
            <w:r>
              <w:rPr>
                <w:rFonts w:hint="eastAsia" w:ascii="宋体" w:hAnsi="宋体" w:cs="宋体"/>
                <w:sz w:val="24"/>
                <w:szCs w:val="24"/>
              </w:rPr>
              <w:t>询问或质疑</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1．截止时间：收到招标文件之日起7个工作日。</w:t>
            </w:r>
          </w:p>
          <w:p>
            <w:pPr>
              <w:snapToGrid w:val="0"/>
              <w:spacing w:line="360" w:lineRule="auto"/>
              <w:jc w:val="left"/>
              <w:rPr>
                <w:rFonts w:ascii="宋体" w:hAnsi="宋体" w:cs="宋体"/>
                <w:sz w:val="24"/>
                <w:szCs w:val="24"/>
              </w:rPr>
            </w:pPr>
            <w:r>
              <w:rPr>
                <w:rFonts w:hint="eastAsia" w:ascii="宋体" w:hAnsi="宋体" w:cs="宋体"/>
                <w:sz w:val="24"/>
                <w:szCs w:val="24"/>
              </w:rPr>
              <w:t>2．方式：以</w:t>
            </w:r>
            <w:r>
              <w:rPr>
                <w:rFonts w:hint="eastAsia" w:ascii="宋体" w:hAnsi="宋体" w:cs="宋体"/>
                <w:sz w:val="24"/>
                <w:szCs w:val="24"/>
                <w:u w:val="single"/>
              </w:rPr>
              <w:t>书面、传真或邮件（扫描原件）</w:t>
            </w:r>
            <w:r>
              <w:rPr>
                <w:rFonts w:hint="eastAsia" w:ascii="宋体" w:hAnsi="宋体" w:cs="宋体"/>
                <w:sz w:val="24"/>
                <w:szCs w:val="24"/>
              </w:rPr>
              <w:t>的形式，电子邮箱：</w:t>
            </w:r>
            <w:r>
              <w:fldChar w:fldCharType="begin"/>
            </w:r>
            <w:r>
              <w:instrText xml:space="preserve"> HYPERLINK "mailto:710280222@qq.com" </w:instrText>
            </w:r>
            <w:r>
              <w:fldChar w:fldCharType="separate"/>
            </w:r>
            <w:r>
              <w:rPr>
                <w:rFonts w:hint="eastAsia" w:ascii="宋体" w:hAnsi="宋体" w:cs="宋体"/>
                <w:sz w:val="24"/>
                <w:szCs w:val="24"/>
                <w:u w:val="single"/>
              </w:rPr>
              <w:t>710280222@qq.com</w:t>
            </w:r>
            <w:r>
              <w:rPr>
                <w:rFonts w:hint="eastAsia" w:ascii="宋体" w:hAnsi="宋体" w:cs="宋体"/>
                <w:sz w:val="24"/>
                <w:szCs w:val="24"/>
                <w:u w:val="single"/>
              </w:rPr>
              <w:fldChar w:fldCharType="end"/>
            </w:r>
          </w:p>
          <w:p>
            <w:pPr>
              <w:snapToGrid w:val="0"/>
              <w:spacing w:line="360" w:lineRule="auto"/>
              <w:jc w:val="left"/>
              <w:rPr>
                <w:rFonts w:ascii="宋体" w:hAnsi="宋体" w:cs="宋体"/>
                <w:sz w:val="24"/>
                <w:szCs w:val="24"/>
              </w:rPr>
            </w:pPr>
            <w:r>
              <w:rPr>
                <w:rFonts w:hint="eastAsia" w:ascii="宋体" w:hAnsi="宋体" w:cs="宋体"/>
                <w:sz w:val="24"/>
                <w:szCs w:val="24"/>
              </w:rPr>
              <w:t>3、联系电话：</w:t>
            </w:r>
            <w:r>
              <w:rPr>
                <w:rFonts w:hint="eastAsia" w:ascii="宋体" w:hAnsi="宋体" w:cs="宋体"/>
                <w:sz w:val="24"/>
                <w:szCs w:val="24"/>
                <w:u w:val="single"/>
              </w:rPr>
              <w:t>67169727</w:t>
            </w:r>
            <w:r>
              <w:rPr>
                <w:rFonts w:hint="eastAsia" w:ascii="宋体" w:hAnsi="宋体" w:cs="宋体"/>
                <w:sz w:val="24"/>
                <w:szCs w:val="24"/>
              </w:rPr>
              <w:t>。</w:t>
            </w:r>
          </w:p>
          <w:p>
            <w:pPr>
              <w:snapToGrid w:val="0"/>
              <w:spacing w:line="360" w:lineRule="auto"/>
              <w:jc w:val="left"/>
              <w:rPr>
                <w:rFonts w:ascii="宋体" w:hAnsi="宋体" w:cs="宋体"/>
              </w:rPr>
            </w:pPr>
            <w:r>
              <w:rPr>
                <w:rFonts w:hint="eastAsia" w:ascii="宋体" w:hAnsi="宋体" w:cs="宋体"/>
                <w:sz w:val="24"/>
                <w:szCs w:val="24"/>
              </w:rPr>
              <w:t>4、地址：</w:t>
            </w:r>
            <w:r>
              <w:rPr>
                <w:rFonts w:hint="eastAsia" w:ascii="宋体" w:hAnsi="宋体" w:cs="宋体"/>
                <w:sz w:val="24"/>
                <w:szCs w:val="24"/>
                <w:u w:val="single"/>
              </w:rPr>
              <w:t>北京市京发招标有限公司705房间。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12</w:t>
            </w:r>
          </w:p>
        </w:tc>
        <w:tc>
          <w:tcPr>
            <w:tcW w:w="1717" w:type="dxa"/>
            <w:vMerge w:val="restart"/>
            <w:tcBorders>
              <w:top w:val="single" w:color="auto" w:sz="6" w:space="0"/>
              <w:left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投标保证金</w:t>
            </w:r>
          </w:p>
        </w:tc>
        <w:tc>
          <w:tcPr>
            <w:tcW w:w="5663" w:type="dxa"/>
            <w:tcBorders>
              <w:top w:val="single" w:color="auto" w:sz="6" w:space="0"/>
              <w:left w:val="single" w:color="auto" w:sz="6" w:space="0"/>
              <w:bottom w:val="single" w:color="auto" w:sz="4" w:space="0"/>
              <w:right w:val="single" w:color="auto" w:sz="12" w:space="0"/>
            </w:tcBorders>
            <w:vAlign w:val="center"/>
          </w:tcPr>
          <w:p>
            <w:pPr>
              <w:spacing w:line="360" w:lineRule="auto"/>
              <w:rPr>
                <w:rFonts w:ascii="宋体" w:hAnsi="宋体" w:cs="宋体"/>
                <w:sz w:val="24"/>
                <w:szCs w:val="24"/>
              </w:rPr>
            </w:pPr>
            <w:r>
              <w:rPr>
                <w:rFonts w:hint="eastAsia" w:ascii="宋体" w:hAnsi="宋体" w:cs="宋体"/>
                <w:sz w:val="24"/>
                <w:szCs w:val="24"/>
              </w:rPr>
              <w:t>■第一包：人民币</w:t>
            </w:r>
            <w:r>
              <w:rPr>
                <w:rFonts w:hint="eastAsia" w:ascii="宋体" w:hAnsi="宋体" w:cs="宋体"/>
                <w:sz w:val="24"/>
                <w:szCs w:val="24"/>
                <w:u w:val="single"/>
              </w:rPr>
              <w:t>50000</w:t>
            </w:r>
            <w:r>
              <w:rPr>
                <w:rFonts w:hint="eastAsia" w:ascii="宋体" w:hAnsi="宋体" w:cs="宋体"/>
                <w:sz w:val="24"/>
                <w:szCs w:val="24"/>
              </w:rPr>
              <w:t>元；第二包：人民币</w:t>
            </w:r>
            <w:r>
              <w:rPr>
                <w:rFonts w:hint="eastAsia" w:ascii="宋体" w:hAnsi="宋体" w:cs="宋体"/>
                <w:sz w:val="24"/>
                <w:szCs w:val="24"/>
                <w:u w:val="single"/>
              </w:rPr>
              <w:t>3000</w:t>
            </w:r>
            <w:r>
              <w:rPr>
                <w:rFonts w:hint="eastAsia" w:ascii="宋体" w:hAnsi="宋体" w:cs="宋体"/>
                <w:sz w:val="24"/>
                <w:szCs w:val="24"/>
              </w:rPr>
              <w:t>元。</w:t>
            </w:r>
          </w:p>
          <w:p>
            <w:pPr>
              <w:spacing w:line="360" w:lineRule="auto"/>
              <w:rPr>
                <w:rFonts w:ascii="宋体" w:hAnsi="宋体" w:cs="宋体"/>
                <w:sz w:val="24"/>
              </w:rPr>
            </w:pPr>
            <w:r>
              <w:rPr>
                <w:rFonts w:hint="eastAsia" w:ascii="宋体" w:hAnsi="宋体" w:cs="宋体"/>
                <w:sz w:val="24"/>
              </w:rPr>
              <w:t>投标保证金收受人信息：</w:t>
            </w:r>
          </w:p>
          <w:p>
            <w:pPr>
              <w:spacing w:line="360" w:lineRule="auto"/>
              <w:rPr>
                <w:rFonts w:ascii="宋体" w:hAnsi="宋体" w:cs="宋体"/>
                <w:bCs/>
                <w:sz w:val="24"/>
                <w:u w:val="single"/>
              </w:rPr>
            </w:pPr>
            <w:r>
              <w:rPr>
                <w:rFonts w:hint="eastAsia" w:ascii="宋体" w:hAnsi="宋体" w:cs="宋体"/>
                <w:bCs/>
                <w:sz w:val="24"/>
              </w:rPr>
              <w:t>开户名（全称）：</w:t>
            </w:r>
            <w:r>
              <w:rPr>
                <w:rFonts w:hint="eastAsia" w:ascii="宋体" w:hAnsi="宋体" w:cs="宋体"/>
                <w:bCs/>
                <w:sz w:val="24"/>
                <w:u w:val="single"/>
              </w:rPr>
              <w:t>北京市京发招标有限公司；</w:t>
            </w:r>
          </w:p>
          <w:p>
            <w:pPr>
              <w:spacing w:line="360" w:lineRule="auto"/>
              <w:rPr>
                <w:rFonts w:ascii="宋体" w:hAnsi="宋体" w:cs="宋体"/>
                <w:bCs/>
                <w:sz w:val="24"/>
                <w:u w:val="single"/>
              </w:rPr>
            </w:pPr>
            <w:r>
              <w:rPr>
                <w:rFonts w:hint="eastAsia" w:ascii="宋体" w:hAnsi="宋体" w:cs="宋体"/>
                <w:bCs/>
                <w:sz w:val="24"/>
              </w:rPr>
              <w:t>开户银行：</w:t>
            </w:r>
            <w:r>
              <w:rPr>
                <w:rFonts w:hint="eastAsia" w:ascii="宋体" w:hAnsi="宋体" w:cs="宋体"/>
                <w:bCs/>
                <w:sz w:val="24"/>
                <w:u w:val="single"/>
              </w:rPr>
              <w:t>招商银行北京分行崇文门支行；</w:t>
            </w:r>
          </w:p>
          <w:p>
            <w:pPr>
              <w:spacing w:line="360" w:lineRule="auto"/>
              <w:rPr>
                <w:rFonts w:ascii="宋体" w:hAnsi="宋体" w:cs="宋体"/>
                <w:bCs/>
                <w:sz w:val="24"/>
                <w:u w:val="single"/>
              </w:rPr>
            </w:pPr>
            <w:r>
              <w:rPr>
                <w:rFonts w:hint="eastAsia" w:ascii="宋体" w:hAnsi="宋体" w:cs="宋体"/>
                <w:bCs/>
                <w:sz w:val="24"/>
              </w:rPr>
              <w:t>账    号：</w:t>
            </w:r>
            <w:r>
              <w:rPr>
                <w:rFonts w:hint="eastAsia" w:ascii="宋体" w:hAnsi="宋体" w:cs="宋体"/>
                <w:bCs/>
                <w:sz w:val="24"/>
                <w:u w:val="single"/>
              </w:rPr>
              <w:t>1109 1881 6710 6010 0000 00007。</w:t>
            </w:r>
          </w:p>
          <w:p>
            <w:pPr>
              <w:spacing w:line="360" w:lineRule="auto"/>
              <w:rPr>
                <w:rFonts w:ascii="宋体" w:hAnsi="宋体" w:cs="宋体"/>
                <w:bCs/>
                <w:sz w:val="24"/>
                <w:u w:val="single"/>
              </w:rPr>
            </w:pPr>
            <w:r>
              <w:rPr>
                <w:rFonts w:hint="eastAsia" w:ascii="宋体" w:hAnsi="宋体" w:cs="宋体"/>
                <w:sz w:val="24"/>
                <w:szCs w:val="24"/>
              </w:rPr>
              <w:t>投标保证金以支票、汇票、本票或者金融机构、担保机构出具的保函（含政府采购投标担保函）等非现金形式提交。</w:t>
            </w:r>
          </w:p>
          <w:p>
            <w:pPr>
              <w:snapToGrid w:val="0"/>
              <w:spacing w:line="360" w:lineRule="auto"/>
              <w:jc w:val="left"/>
              <w:rPr>
                <w:rFonts w:ascii="宋体" w:hAnsi="宋体" w:cs="宋体"/>
                <w:highlight w:val="yellow"/>
              </w:rPr>
            </w:pPr>
            <w:r>
              <w:rPr>
                <w:rFonts w:hint="eastAsia" w:ascii="宋体" w:hAnsi="宋体" w:cs="宋体"/>
                <w:sz w:val="24"/>
                <w:szCs w:val="24"/>
              </w:rPr>
              <w:t>□本项目不要求。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p>
        </w:tc>
        <w:tc>
          <w:tcPr>
            <w:tcW w:w="1717" w:type="dxa"/>
            <w:vMerge w:val="continue"/>
            <w:tcBorders>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p>
        </w:tc>
        <w:tc>
          <w:tcPr>
            <w:tcW w:w="5663" w:type="dxa"/>
            <w:tcBorders>
              <w:top w:val="single" w:color="auto" w:sz="4"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投标保证金可以不予退还的其他情形：</w:t>
            </w:r>
          </w:p>
          <w:p>
            <w:pPr>
              <w:snapToGrid w:val="0"/>
              <w:spacing w:line="360" w:lineRule="auto"/>
              <w:jc w:val="left"/>
              <w:rPr>
                <w:rFonts w:ascii="宋体" w:hAnsi="宋体" w:cs="宋体"/>
                <w:sz w:val="24"/>
                <w:szCs w:val="24"/>
              </w:rPr>
            </w:pPr>
            <w:r>
              <w:rPr>
                <w:rFonts w:hint="eastAsia" w:ascii="宋体" w:hAnsi="宋体" w:cs="宋体"/>
                <w:sz w:val="24"/>
                <w:szCs w:val="24"/>
              </w:rPr>
              <w:t>■无</w:t>
            </w:r>
          </w:p>
          <w:p>
            <w:pPr>
              <w:spacing w:line="360" w:lineRule="auto"/>
              <w:rPr>
                <w:rFonts w:ascii="宋体" w:hAnsi="宋体" w:cs="宋体"/>
              </w:rPr>
            </w:pPr>
            <w:r>
              <w:rPr>
                <w:rFonts w:hint="eastAsia" w:ascii="宋体" w:hAnsi="宋体" w:cs="宋体"/>
                <w:sz w:val="24"/>
                <w:szCs w:val="24"/>
              </w:rPr>
              <w:t>□有，具体情形：</w:t>
            </w:r>
          </w:p>
          <w:p>
            <w:pPr>
              <w:spacing w:line="360" w:lineRule="auto"/>
              <w:rPr>
                <w:rFonts w:ascii="宋体" w:hAnsi="宋体" w:cs="宋体"/>
                <w:sz w:val="24"/>
                <w:szCs w:val="24"/>
              </w:rPr>
            </w:pPr>
            <w:r>
              <w:rPr>
                <w:rFonts w:hint="eastAsia" w:ascii="宋体" w:hAnsi="宋体" w:cs="宋体"/>
                <w:sz w:val="24"/>
                <w:szCs w:val="24"/>
              </w:rPr>
              <w:t>1）在投标有效期内，供应商擅自撤销投标的；</w:t>
            </w:r>
          </w:p>
          <w:p>
            <w:pPr>
              <w:spacing w:line="360" w:lineRule="auto"/>
              <w:rPr>
                <w:rFonts w:ascii="宋体" w:hAnsi="宋体" w:cs="宋体"/>
                <w:sz w:val="24"/>
                <w:szCs w:val="24"/>
              </w:rPr>
            </w:pPr>
            <w:r>
              <w:rPr>
                <w:rFonts w:hint="eastAsia" w:ascii="宋体" w:hAnsi="宋体" w:cs="宋体"/>
                <w:sz w:val="24"/>
                <w:szCs w:val="24"/>
              </w:rPr>
              <w:t>2）中标人未能在规定期限内提交履约担保或未按本须知第33条规定签订合同的；</w:t>
            </w:r>
          </w:p>
          <w:p>
            <w:pPr>
              <w:spacing w:line="360" w:lineRule="auto"/>
              <w:jc w:val="left"/>
              <w:rPr>
                <w:rFonts w:ascii="宋体" w:hAnsi="宋体" w:cs="宋体"/>
                <w:sz w:val="24"/>
                <w:szCs w:val="24"/>
              </w:rPr>
            </w:pPr>
            <w:r>
              <w:rPr>
                <w:rFonts w:hint="eastAsia" w:ascii="宋体" w:hAnsi="宋体" w:cs="宋体"/>
                <w:sz w:val="24"/>
                <w:szCs w:val="24"/>
              </w:rPr>
              <w:t>3）中标人不按本须知第37.1条规定交纳中标服务费的；</w:t>
            </w:r>
          </w:p>
          <w:p>
            <w:pPr>
              <w:spacing w:line="360" w:lineRule="auto"/>
              <w:rPr>
                <w:rFonts w:ascii="宋体" w:hAnsi="宋体" w:cs="宋体"/>
              </w:rPr>
            </w:pPr>
            <w:r>
              <w:rPr>
                <w:rFonts w:hint="eastAsia" w:ascii="宋体" w:hAnsi="宋体" w:cs="宋体"/>
                <w:sz w:val="24"/>
                <w:szCs w:val="24"/>
              </w:rPr>
              <w:t>4）中标人擅自放弃中标的。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1324" w:type="dxa"/>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11</w:t>
            </w:r>
          </w:p>
        </w:tc>
        <w:tc>
          <w:tcPr>
            <w:tcW w:w="1717" w:type="dxa"/>
            <w:tcBorders>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投标报价</w:t>
            </w:r>
          </w:p>
        </w:tc>
        <w:tc>
          <w:tcPr>
            <w:tcW w:w="5663" w:type="dxa"/>
            <w:tcBorders>
              <w:top w:val="single" w:color="auto" w:sz="4"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投标报价的特殊规定：</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无</w:t>
            </w:r>
          </w:p>
          <w:p>
            <w:pPr>
              <w:snapToGrid w:val="0"/>
              <w:spacing w:line="360" w:lineRule="auto"/>
              <w:jc w:val="left"/>
              <w:rPr>
                <w:rFonts w:ascii="宋体" w:hAnsi="宋体" w:cs="宋体"/>
                <w:sz w:val="24"/>
                <w:szCs w:val="24"/>
              </w:rPr>
            </w:pPr>
            <w:r>
              <w:rPr>
                <w:rFonts w:hint="eastAsia" w:ascii="宋体" w:hAnsi="宋体" w:cs="宋体"/>
                <w:sz w:val="24"/>
                <w:szCs w:val="24"/>
              </w:rPr>
              <w:t>□</w:t>
            </w:r>
            <w:r>
              <w:rPr>
                <w:rFonts w:hint="eastAsia" w:ascii="宋体" w:hAnsi="宋体" w:cs="宋体"/>
                <w:sz w:val="24"/>
              </w:rPr>
              <w:t>有，具体情形：_____。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4"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13．1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投标有效期</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自提交投标文件的截止之日起算_90_日历天。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14．1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投标文件的</w:t>
            </w:r>
          </w:p>
          <w:p>
            <w:pPr>
              <w:snapToGrid w:val="0"/>
              <w:spacing w:line="360" w:lineRule="auto"/>
              <w:jc w:val="center"/>
              <w:rPr>
                <w:rFonts w:ascii="宋体" w:hAnsi="宋体" w:cs="宋体"/>
                <w:sz w:val="24"/>
                <w:szCs w:val="24"/>
              </w:rPr>
            </w:pPr>
            <w:r>
              <w:rPr>
                <w:rFonts w:hint="eastAsia" w:ascii="宋体" w:hAnsi="宋体" w:cs="宋体"/>
                <w:sz w:val="24"/>
                <w:szCs w:val="24"/>
              </w:rPr>
              <w:t>份数</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投标文件：正本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肆</w:t>
            </w:r>
            <w:r>
              <w:rPr>
                <w:rFonts w:hint="eastAsia" w:ascii="宋体" w:hAnsi="宋体" w:cs="宋体"/>
                <w:sz w:val="24"/>
                <w:szCs w:val="24"/>
              </w:rPr>
              <w:t>份，电子版</w:t>
            </w:r>
            <w:r>
              <w:rPr>
                <w:rFonts w:hint="eastAsia" w:ascii="宋体" w:hAnsi="宋体" w:cs="宋体"/>
                <w:sz w:val="24"/>
                <w:szCs w:val="24"/>
                <w:u w:val="single"/>
              </w:rPr>
              <w:t>壹</w:t>
            </w:r>
            <w:r>
              <w:rPr>
                <w:rFonts w:hint="eastAsia" w:ascii="宋体" w:hAnsi="宋体" w:cs="宋体"/>
                <w:sz w:val="24"/>
                <w:szCs w:val="24"/>
              </w:rPr>
              <w:t>份（word版和正本盖章后彩色扫描pdf版），以</w:t>
            </w:r>
            <w:r>
              <w:rPr>
                <w:rFonts w:hint="eastAsia" w:ascii="宋体" w:hAnsi="宋体" w:cs="宋体"/>
                <w:sz w:val="24"/>
                <w:szCs w:val="24"/>
                <w:u w:val="single"/>
              </w:rPr>
              <w:t>u盘</w:t>
            </w:r>
            <w:r>
              <w:rPr>
                <w:rFonts w:hint="eastAsia" w:ascii="宋体" w:hAnsi="宋体" w:cs="宋体"/>
                <w:sz w:val="24"/>
                <w:szCs w:val="24"/>
              </w:rPr>
              <w:t>等形式现场提供。</w:t>
            </w:r>
          </w:p>
          <w:p>
            <w:pPr>
              <w:snapToGrid w:val="0"/>
              <w:spacing w:line="360" w:lineRule="auto"/>
              <w:jc w:val="left"/>
              <w:rPr>
                <w:rFonts w:ascii="宋体" w:hAnsi="宋体" w:cs="宋体"/>
                <w:sz w:val="24"/>
                <w:szCs w:val="24"/>
              </w:rPr>
            </w:pPr>
            <w:r>
              <w:rPr>
                <w:rFonts w:hint="eastAsia" w:ascii="宋体" w:hAnsi="宋体" w:cs="宋体"/>
                <w:sz w:val="24"/>
                <w:szCs w:val="24"/>
              </w:rPr>
              <w:t>开标一览表：单独密封递交纸质文件</w:t>
            </w:r>
            <w:r>
              <w:rPr>
                <w:rFonts w:hint="eastAsia" w:ascii="宋体" w:hAnsi="宋体" w:cs="宋体"/>
                <w:sz w:val="24"/>
                <w:szCs w:val="24"/>
                <w:u w:val="single"/>
              </w:rPr>
              <w:t>壹</w:t>
            </w:r>
            <w:r>
              <w:rPr>
                <w:rFonts w:hint="eastAsia" w:ascii="宋体" w:hAnsi="宋体" w:cs="宋体"/>
                <w:sz w:val="24"/>
                <w:szCs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15</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投标文件的装订、密封和标记</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u w:val="single"/>
              </w:rPr>
            </w:pPr>
            <w:r>
              <w:rPr>
                <w:rFonts w:hint="eastAsia" w:ascii="宋体" w:hAnsi="宋体" w:cs="宋体"/>
                <w:sz w:val="24"/>
                <w:szCs w:val="24"/>
              </w:rPr>
              <w:t>见《投标人须知》。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18</w:t>
            </w:r>
          </w:p>
          <w:p>
            <w:pPr>
              <w:snapToGrid w:val="0"/>
              <w:spacing w:line="360" w:lineRule="auto"/>
              <w:jc w:val="center"/>
              <w:rPr>
                <w:rFonts w:ascii="宋体" w:hAnsi="宋体" w:cs="宋体"/>
                <w:sz w:val="24"/>
                <w:szCs w:val="24"/>
              </w:rPr>
            </w:pPr>
            <w:r>
              <w:rPr>
                <w:rFonts w:hint="eastAsia" w:ascii="宋体" w:hAnsi="宋体" w:cs="宋体"/>
                <w:sz w:val="24"/>
                <w:szCs w:val="24"/>
              </w:rPr>
              <w:t>18．1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投标文件的提交和截止时间</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投标文件递交地点：北京市京发招标有限公司</w:t>
            </w:r>
            <w:r>
              <w:rPr>
                <w:rFonts w:hint="eastAsia" w:ascii="宋体" w:hAnsi="宋体" w:cs="宋体"/>
                <w:sz w:val="24"/>
                <w:szCs w:val="24"/>
                <w:lang w:val="en-US" w:eastAsia="zh-CN"/>
              </w:rPr>
              <w:t>315</w:t>
            </w:r>
            <w:r>
              <w:rPr>
                <w:rFonts w:hint="eastAsia" w:ascii="宋体" w:hAnsi="宋体" w:cs="宋体"/>
                <w:sz w:val="24"/>
                <w:szCs w:val="24"/>
              </w:rPr>
              <w:t>会议室。</w:t>
            </w:r>
          </w:p>
          <w:p>
            <w:pPr>
              <w:snapToGrid w:val="0"/>
              <w:spacing w:line="360" w:lineRule="auto"/>
              <w:jc w:val="left"/>
              <w:rPr>
                <w:rFonts w:ascii="宋体" w:hAnsi="宋体" w:cs="宋体"/>
                <w:sz w:val="24"/>
                <w:szCs w:val="24"/>
              </w:rPr>
            </w:pPr>
            <w:r>
              <w:rPr>
                <w:rFonts w:hint="eastAsia" w:ascii="宋体" w:hAnsi="宋体" w:cs="宋体"/>
                <w:sz w:val="24"/>
                <w:szCs w:val="24"/>
              </w:rPr>
              <w:t>投标截止时间：</w:t>
            </w:r>
            <w:r>
              <w:rPr>
                <w:rFonts w:hint="eastAsia" w:ascii="宋体" w:hAnsi="宋体" w:cs="宋体"/>
                <w:sz w:val="24"/>
                <w:szCs w:val="24"/>
                <w:u w:val="single"/>
              </w:rPr>
              <w:t>202</w:t>
            </w:r>
            <w:r>
              <w:rPr>
                <w:rFonts w:ascii="宋体" w:hAnsi="宋体" w:cs="宋体"/>
                <w:sz w:val="24"/>
                <w:szCs w:val="24"/>
                <w:u w:val="single"/>
              </w:rPr>
              <w:t>5</w:t>
            </w:r>
            <w:r>
              <w:rPr>
                <w:rFonts w:hint="eastAsia" w:ascii="宋体" w:hAnsi="宋体" w:cs="宋体"/>
                <w:sz w:val="24"/>
                <w:szCs w:val="24"/>
                <w:u w:val="single"/>
              </w:rPr>
              <w:t>年</w:t>
            </w:r>
            <w:r>
              <w:rPr>
                <w:rFonts w:hint="eastAsia" w:ascii="宋体" w:hAnsi="宋体" w:cs="宋体"/>
                <w:sz w:val="24"/>
                <w:szCs w:val="24"/>
                <w:u w:val="single"/>
                <w:lang w:val="en-US" w:eastAsia="zh-CN"/>
              </w:rPr>
              <w:t>2</w:t>
            </w:r>
            <w:r>
              <w:rPr>
                <w:rFonts w:hint="eastAsia" w:ascii="宋体" w:hAnsi="宋体" w:cs="宋体"/>
                <w:sz w:val="24"/>
                <w:szCs w:val="24"/>
                <w:u w:val="single"/>
              </w:rPr>
              <w:t>月</w:t>
            </w:r>
            <w:r>
              <w:rPr>
                <w:rFonts w:hint="eastAsia" w:ascii="宋体" w:hAnsi="宋体" w:cs="宋体"/>
                <w:sz w:val="24"/>
                <w:szCs w:val="24"/>
                <w:u w:val="single"/>
                <w:lang w:val="en-US" w:eastAsia="zh-CN"/>
              </w:rPr>
              <w:t>14</w:t>
            </w:r>
            <w:r>
              <w:rPr>
                <w:rFonts w:hint="eastAsia" w:ascii="宋体" w:hAnsi="宋体" w:cs="宋体"/>
                <w:sz w:val="24"/>
                <w:szCs w:val="24"/>
                <w:u w:val="single"/>
              </w:rPr>
              <w:t>日9</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21．1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开标时间和开标地点</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u w:val="single"/>
              </w:rPr>
              <w:t>202</w:t>
            </w:r>
            <w:r>
              <w:rPr>
                <w:rFonts w:ascii="宋体" w:hAnsi="宋体" w:cs="宋体"/>
                <w:sz w:val="24"/>
                <w:szCs w:val="24"/>
                <w:u w:val="single"/>
              </w:rPr>
              <w:t>5</w:t>
            </w:r>
            <w:r>
              <w:rPr>
                <w:rFonts w:hint="eastAsia" w:ascii="宋体" w:hAnsi="宋体" w:cs="宋体"/>
                <w:sz w:val="24"/>
                <w:szCs w:val="24"/>
                <w:u w:val="single"/>
              </w:rPr>
              <w:t>年</w:t>
            </w:r>
            <w:r>
              <w:rPr>
                <w:rFonts w:hint="eastAsia" w:ascii="宋体" w:hAnsi="宋体" w:cs="宋体"/>
                <w:sz w:val="24"/>
                <w:szCs w:val="24"/>
                <w:u w:val="single"/>
                <w:lang w:val="en-US" w:eastAsia="zh-CN"/>
              </w:rPr>
              <w:t>2</w:t>
            </w:r>
            <w:r>
              <w:rPr>
                <w:rFonts w:hint="eastAsia" w:ascii="宋体" w:hAnsi="宋体" w:cs="宋体"/>
                <w:sz w:val="24"/>
                <w:szCs w:val="24"/>
                <w:u w:val="single"/>
              </w:rPr>
              <w:t>月</w:t>
            </w:r>
            <w:r>
              <w:rPr>
                <w:rFonts w:hint="eastAsia" w:ascii="宋体" w:hAnsi="宋体" w:cs="宋体"/>
                <w:sz w:val="24"/>
                <w:szCs w:val="24"/>
                <w:u w:val="single"/>
                <w:lang w:val="en-US" w:eastAsia="zh-CN"/>
              </w:rPr>
              <w:t>14</w:t>
            </w:r>
            <w:r>
              <w:rPr>
                <w:rFonts w:hint="eastAsia" w:ascii="宋体" w:hAnsi="宋体" w:cs="宋体"/>
                <w:sz w:val="24"/>
                <w:szCs w:val="24"/>
                <w:u w:val="single"/>
              </w:rPr>
              <w:t>日9</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w:t>
            </w:r>
          </w:p>
          <w:p>
            <w:pPr>
              <w:snapToGrid w:val="0"/>
              <w:spacing w:line="360" w:lineRule="auto"/>
              <w:jc w:val="left"/>
              <w:rPr>
                <w:rFonts w:ascii="宋体" w:hAnsi="宋体" w:cs="宋体"/>
                <w:sz w:val="24"/>
                <w:szCs w:val="24"/>
              </w:rPr>
            </w:pPr>
            <w:r>
              <w:rPr>
                <w:rFonts w:hint="eastAsia" w:ascii="宋体" w:hAnsi="宋体" w:cs="宋体"/>
                <w:sz w:val="24"/>
                <w:szCs w:val="24"/>
              </w:rPr>
              <w:t>开标地点：北京市京发招标有限公司</w:t>
            </w:r>
            <w:r>
              <w:rPr>
                <w:rFonts w:hint="eastAsia" w:ascii="宋体" w:hAnsi="宋体" w:cs="宋体"/>
                <w:sz w:val="24"/>
                <w:szCs w:val="24"/>
                <w:lang w:val="en-US" w:eastAsia="zh-CN"/>
              </w:rPr>
              <w:t>315</w:t>
            </w:r>
            <w:r>
              <w:rPr>
                <w:rFonts w:hint="eastAsia" w:ascii="宋体" w:hAnsi="宋体" w:cs="宋体"/>
                <w:sz w:val="24"/>
                <w:szCs w:val="24"/>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27</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评标方法和</w:t>
            </w:r>
          </w:p>
          <w:p>
            <w:pPr>
              <w:snapToGrid w:val="0"/>
              <w:spacing w:line="360" w:lineRule="auto"/>
              <w:jc w:val="center"/>
              <w:rPr>
                <w:rFonts w:ascii="宋体" w:hAnsi="宋体" w:cs="宋体"/>
                <w:sz w:val="24"/>
                <w:szCs w:val="24"/>
              </w:rPr>
            </w:pPr>
            <w:r>
              <w:rPr>
                <w:rFonts w:hint="eastAsia" w:ascii="宋体" w:hAnsi="宋体" w:cs="宋体"/>
                <w:sz w:val="24"/>
                <w:szCs w:val="24"/>
              </w:rPr>
              <w:t>标准</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综合评分法。</w:t>
            </w:r>
          </w:p>
          <w:p>
            <w:pPr>
              <w:snapToGrid w:val="0"/>
              <w:spacing w:line="360" w:lineRule="auto"/>
              <w:jc w:val="left"/>
              <w:rPr>
                <w:rFonts w:ascii="宋体" w:hAnsi="宋体" w:cs="宋体"/>
              </w:rPr>
            </w:pPr>
            <w:r>
              <w:rPr>
                <w:rFonts w:hint="eastAsia" w:ascii="宋体" w:hAnsi="宋体" w:cs="宋体"/>
                <w:bCs/>
                <w:sz w:val="24"/>
                <w:szCs w:val="24"/>
              </w:rPr>
              <w:t>□</w:t>
            </w:r>
            <w:r>
              <w:rPr>
                <w:rFonts w:hint="eastAsia" w:ascii="宋体" w:hAnsi="宋体" w:cs="宋体"/>
                <w:sz w:val="24"/>
                <w:szCs w:val="24"/>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29</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中标候选人的推荐原则</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评标委员会按评审后得分由高到低顺序排列，推荐</w:t>
            </w:r>
            <w:r>
              <w:rPr>
                <w:rFonts w:hint="eastAsia" w:ascii="宋体" w:hAnsi="宋体" w:cs="宋体"/>
                <w:sz w:val="24"/>
                <w:szCs w:val="24"/>
                <w:u w:val="single"/>
              </w:rPr>
              <w:t>3</w:t>
            </w:r>
            <w:r>
              <w:rPr>
                <w:rFonts w:hint="eastAsia" w:ascii="宋体" w:hAnsi="宋体" w:cs="宋体"/>
                <w:sz w:val="24"/>
                <w:szCs w:val="24"/>
              </w:rPr>
              <w:t>名中标候选人。得分相同的，按投标报价由低到高顺序排列，得分且投标报价相同的，按技术得分由高到低排列。得分、投标报价且技术得分相同的，采取随机抽取方式确定。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30</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确定中标人</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bCs/>
                <w:sz w:val="24"/>
                <w:szCs w:val="24"/>
              </w:rPr>
            </w:pPr>
            <w:r>
              <w:rPr>
                <w:rFonts w:hint="eastAsia" w:ascii="宋体" w:hAnsi="宋体" w:cs="宋体"/>
                <w:bCs/>
                <w:sz w:val="24"/>
                <w:szCs w:val="24"/>
              </w:rPr>
              <w:t>采购人将在评标报告确定的中标候选人名单中按顺序确定中标人。</w:t>
            </w:r>
          </w:p>
          <w:p>
            <w:pPr>
              <w:snapToGrid w:val="0"/>
              <w:spacing w:line="360" w:lineRule="auto"/>
              <w:jc w:val="left"/>
              <w:rPr>
                <w:rFonts w:ascii="宋体" w:hAnsi="宋体" w:cs="宋体"/>
                <w:bCs/>
                <w:sz w:val="24"/>
                <w:szCs w:val="24"/>
              </w:rPr>
            </w:pPr>
            <w:r>
              <w:rPr>
                <w:rFonts w:hint="eastAsia" w:ascii="宋体" w:hAnsi="宋体" w:cs="宋体"/>
                <w:bCs/>
                <w:sz w:val="24"/>
                <w:szCs w:val="24"/>
              </w:rPr>
              <w:t>中标候选人并列的，采购人是否委托评标委员会确定中标人：■否□是</w:t>
            </w:r>
          </w:p>
          <w:p>
            <w:pPr>
              <w:snapToGrid w:val="0"/>
              <w:spacing w:line="360" w:lineRule="auto"/>
              <w:jc w:val="left"/>
              <w:rPr>
                <w:rFonts w:ascii="宋体" w:hAnsi="宋体" w:cs="宋体"/>
                <w:bCs/>
                <w:sz w:val="24"/>
                <w:szCs w:val="24"/>
              </w:rPr>
            </w:pPr>
            <w:r>
              <w:rPr>
                <w:rFonts w:hint="eastAsia" w:ascii="宋体" w:hAnsi="宋体" w:cs="宋体"/>
                <w:bCs/>
                <w:sz w:val="24"/>
                <w:szCs w:val="24"/>
              </w:rPr>
              <w:t xml:space="preserve">中标候选人并列的，按照以下方式确定中标人： </w:t>
            </w:r>
          </w:p>
          <w:p>
            <w:pPr>
              <w:snapToGrid w:val="0"/>
              <w:spacing w:line="360" w:lineRule="auto"/>
              <w:jc w:val="left"/>
              <w:rPr>
                <w:rFonts w:ascii="宋体" w:hAnsi="宋体" w:cs="宋体"/>
                <w:bCs/>
                <w:sz w:val="24"/>
                <w:szCs w:val="24"/>
              </w:rPr>
            </w:pPr>
            <w:r>
              <w:rPr>
                <w:rFonts w:hint="eastAsia" w:ascii="宋体" w:hAnsi="宋体" w:cs="宋体"/>
                <w:bCs/>
                <w:sz w:val="24"/>
                <w:szCs w:val="24"/>
              </w:rPr>
              <w:t>□得分且投标报价均相同的，以</w:t>
            </w:r>
            <w:r>
              <w:rPr>
                <w:rFonts w:hint="eastAsia" w:ascii="宋体" w:hAnsi="宋体" w:cs="宋体"/>
                <w:bCs/>
                <w:sz w:val="24"/>
                <w:szCs w:val="24"/>
                <w:u w:val="single"/>
              </w:rPr>
              <w:t>/</w:t>
            </w:r>
            <w:r>
              <w:rPr>
                <w:rFonts w:hint="eastAsia" w:ascii="宋体" w:hAnsi="宋体" w:cs="宋体"/>
                <w:bCs/>
                <w:sz w:val="24"/>
                <w:szCs w:val="24"/>
              </w:rPr>
              <w:t>得分高者为中标人。</w:t>
            </w:r>
          </w:p>
          <w:p>
            <w:pPr>
              <w:snapToGrid w:val="0"/>
              <w:spacing w:line="360" w:lineRule="auto"/>
              <w:jc w:val="left"/>
              <w:rPr>
                <w:rFonts w:ascii="宋体" w:hAnsi="宋体" w:cs="宋体"/>
                <w:bCs/>
                <w:sz w:val="24"/>
                <w:szCs w:val="24"/>
              </w:rPr>
            </w:pPr>
            <w:r>
              <w:rPr>
                <w:rFonts w:hint="eastAsia" w:ascii="宋体" w:hAnsi="宋体" w:cs="宋体"/>
                <w:bCs/>
                <w:sz w:val="24"/>
                <w:szCs w:val="24"/>
              </w:rPr>
              <w:t>■随机抽取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33</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履约保证金</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□项目竣工验收后且合同期满，乙方向甲方提交合同总价的</w:t>
            </w:r>
            <w:r>
              <w:rPr>
                <w:rFonts w:hint="eastAsia" w:ascii="宋体" w:hAnsi="宋体" w:cs="宋体"/>
                <w:sz w:val="24"/>
                <w:szCs w:val="24"/>
                <w:u w:val="single"/>
              </w:rPr>
              <w:t>5</w:t>
            </w:r>
            <w:r>
              <w:rPr>
                <w:rFonts w:hint="eastAsia" w:ascii="宋体" w:hAnsi="宋体" w:cs="宋体"/>
                <w:sz w:val="24"/>
                <w:szCs w:val="24"/>
              </w:rPr>
              <w:t>%的履约保函，履约保函时效不少于3个月。</w:t>
            </w:r>
          </w:p>
          <w:p>
            <w:pPr>
              <w:snapToGrid w:val="0"/>
              <w:spacing w:line="360" w:lineRule="auto"/>
              <w:jc w:val="left"/>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本项目不要求。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32.8</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分包</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 xml:space="preserve">本项目的非主体、非关键性工作是否允许分包： </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不允许。</w:t>
            </w:r>
          </w:p>
          <w:p>
            <w:pPr>
              <w:spacing w:line="360" w:lineRule="auto"/>
              <w:jc w:val="left"/>
              <w:rPr>
                <w:rFonts w:ascii="宋体" w:hAnsi="宋体" w:cs="宋体"/>
                <w:sz w:val="24"/>
              </w:rPr>
            </w:pPr>
            <w:r>
              <w:rPr>
                <w:rFonts w:hint="eastAsia" w:ascii="宋体" w:hAnsi="宋体" w:cs="宋体"/>
                <w:sz w:val="24"/>
              </w:rPr>
              <w:t>□允许，具体要求：</w:t>
            </w:r>
          </w:p>
          <w:p>
            <w:pPr>
              <w:spacing w:line="360" w:lineRule="auto"/>
              <w:jc w:val="left"/>
              <w:rPr>
                <w:rFonts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w:t>
            </w:r>
            <w:r>
              <w:rPr>
                <w:rFonts w:hint="eastAsia" w:ascii="宋体" w:hAnsi="宋体" w:cs="宋体"/>
                <w:sz w:val="24"/>
              </w:rPr>
              <w:t>；</w:t>
            </w:r>
          </w:p>
          <w:p>
            <w:pPr>
              <w:snapToGrid w:val="0"/>
              <w:spacing w:line="360" w:lineRule="auto"/>
              <w:jc w:val="left"/>
              <w:rPr>
                <w:rFonts w:ascii="宋体" w:hAnsi="宋体" w:cs="宋体"/>
                <w:bCs/>
                <w:sz w:val="24"/>
                <w:szCs w:val="24"/>
              </w:rPr>
            </w:pPr>
            <w:r>
              <w:rPr>
                <w:rFonts w:hint="eastAsia" w:ascii="宋体" w:hAnsi="宋体" w:cs="宋体"/>
                <w:sz w:val="24"/>
              </w:rPr>
              <w:t>（3）其他要求：</w:t>
            </w:r>
            <w:r>
              <w:rPr>
                <w:rFonts w:hint="eastAsia" w:ascii="宋体" w:hAnsi="宋体" w:cs="宋体"/>
                <w:sz w:val="24"/>
                <w:u w:val="single"/>
              </w:rPr>
              <w:t>/</w:t>
            </w: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2"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第一章</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rPr>
              <w:t>标的所属行业</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本项目采购标的对应的中小企业划分标准所属行业：</w:t>
            </w:r>
          </w:p>
          <w:tbl>
            <w:tblPr>
              <w:tblStyle w:val="48"/>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6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标的名称</w:t>
                  </w:r>
                </w:p>
              </w:tc>
              <w:tc>
                <w:tcPr>
                  <w:tcW w:w="237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sz w:val="24"/>
                      <w:szCs w:val="24"/>
                    </w:rPr>
                    <w:t>多语言网站内容建设与运营推广</w:t>
                  </w:r>
                </w:p>
              </w:tc>
              <w:tc>
                <w:tcPr>
                  <w:tcW w:w="237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信息传输业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rPr>
                    <w:t>项目监理</w:t>
                  </w:r>
                </w:p>
              </w:tc>
              <w:tc>
                <w:tcPr>
                  <w:tcW w:w="237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软件和信息技术服务业</w:t>
                  </w:r>
                </w:p>
              </w:tc>
            </w:tr>
          </w:tbl>
          <w:p>
            <w:pPr>
              <w:snapToGrid w:val="0"/>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rPr>
            </w:pPr>
            <w:r>
              <w:rPr>
                <w:rFonts w:hint="eastAsia" w:ascii="宋体" w:hAnsi="宋体" w:cs="宋体"/>
                <w:sz w:val="24"/>
                <w:szCs w:val="24"/>
              </w:rPr>
              <w:t>5.2.4</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rPr>
            </w:pPr>
            <w:r>
              <w:rPr>
                <w:rFonts w:hint="eastAsia" w:ascii="宋体" w:hAnsi="宋体" w:cs="宋体"/>
                <w:sz w:val="24"/>
              </w:rPr>
              <w:t>中小企业政策</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□本项目不专门面向中小企业预留采购份额。</w:t>
            </w:r>
          </w:p>
          <w:p>
            <w:pPr>
              <w:spacing w:line="360" w:lineRule="auto"/>
              <w:jc w:val="left"/>
              <w:rPr>
                <w:rFonts w:ascii="宋体" w:hAnsi="宋体" w:cs="宋体"/>
                <w:sz w:val="24"/>
              </w:rPr>
            </w:pPr>
            <w:r>
              <w:rPr>
                <w:rFonts w:hint="eastAsia" w:ascii="宋体" w:hAnsi="宋体" w:cs="宋体"/>
                <w:sz w:val="24"/>
              </w:rPr>
              <w:t>□本项目专门面向□中小□小微企业采购。即：提供的服务全部由符合政策要求的中小/小微企业承接。</w:t>
            </w:r>
          </w:p>
          <w:p>
            <w:pPr>
              <w:spacing w:line="360" w:lineRule="auto"/>
              <w:jc w:val="left"/>
              <w:rPr>
                <w:rFonts w:ascii="宋体" w:hAnsi="宋体" w:cs="宋体"/>
                <w:sz w:val="24"/>
              </w:rPr>
            </w:pPr>
            <w:r>
              <w:rPr>
                <w:rFonts w:hint="eastAsia" w:ascii="宋体" w:hAnsi="宋体" w:cs="宋体"/>
                <w:sz w:val="24"/>
                <w:szCs w:val="24"/>
              </w:rPr>
              <w:t>■本项目预留部分采购项目预算专门面向中小/小微企业采购。对于预留份额，提供的货物由符合政策要求的中小/小微企业制造、服务由符合政策要求的中小/小微企业承接。预留份额通过以下措施进行：第一包设置采购包专门面向中小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第三章</w:t>
            </w:r>
          </w:p>
          <w:p>
            <w:pPr>
              <w:snapToGrid w:val="0"/>
              <w:spacing w:line="360" w:lineRule="auto"/>
              <w:jc w:val="center"/>
              <w:rPr>
                <w:rFonts w:ascii="宋体" w:hAnsi="宋体" w:cs="宋体"/>
              </w:rPr>
            </w:pPr>
            <w:r>
              <w:rPr>
                <w:rFonts w:hint="eastAsia" w:ascii="宋体" w:hAnsi="宋体" w:cs="宋体"/>
                <w:sz w:val="24"/>
                <w:szCs w:val="24"/>
              </w:rPr>
              <w:t>18</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rPr>
            </w:pPr>
            <w:r>
              <w:rPr>
                <w:rFonts w:hint="eastAsia" w:ascii="宋体" w:hAnsi="宋体" w:cs="宋体"/>
                <w:sz w:val="24"/>
              </w:rPr>
              <w:t>样品</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投标样品递交：</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不需要</w:t>
            </w:r>
          </w:p>
          <w:p>
            <w:pPr>
              <w:spacing w:line="360" w:lineRule="auto"/>
              <w:jc w:val="left"/>
              <w:rPr>
                <w:rFonts w:ascii="宋体" w:hAnsi="宋体" w:cs="宋体"/>
                <w:sz w:val="24"/>
              </w:rPr>
            </w:pPr>
            <w:r>
              <w:rPr>
                <w:rFonts w:hint="eastAsia" w:ascii="宋体" w:hAnsi="宋体" w:cs="宋体"/>
                <w:sz w:val="24"/>
              </w:rPr>
              <w:t>□需要，具体要求如下：</w:t>
            </w:r>
          </w:p>
          <w:p>
            <w:pPr>
              <w:spacing w:line="360" w:lineRule="auto"/>
              <w:jc w:val="left"/>
              <w:rPr>
                <w:rFonts w:ascii="宋体" w:hAnsi="宋体" w:cs="宋体"/>
                <w:sz w:val="24"/>
                <w:u w:val="single"/>
              </w:rPr>
            </w:pPr>
            <w:r>
              <w:rPr>
                <w:rFonts w:hint="eastAsia" w:ascii="宋体" w:hAnsi="宋体" w:cs="宋体"/>
                <w:sz w:val="24"/>
              </w:rPr>
              <w:t>（1）样品制作的标准和要求：</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（2）是否需要随样品提交相关检测报告：</w:t>
            </w:r>
          </w:p>
          <w:p>
            <w:pPr>
              <w:spacing w:line="360" w:lineRule="auto"/>
              <w:jc w:val="left"/>
              <w:rPr>
                <w:rFonts w:ascii="宋体" w:hAnsi="宋体" w:cs="宋体"/>
                <w:sz w:val="24"/>
              </w:rPr>
            </w:pPr>
            <w:r>
              <w:rPr>
                <w:rFonts w:hint="eastAsia" w:ascii="宋体" w:hAnsi="宋体" w:cs="宋体"/>
                <w:sz w:val="24"/>
              </w:rPr>
              <w:t>（3）样品递交要求：</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（4）未中标人样品退还：</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u w:val="single"/>
              </w:rPr>
            </w:pPr>
            <w:r>
              <w:rPr>
                <w:rFonts w:hint="eastAsia" w:ascii="宋体" w:hAnsi="宋体" w:cs="宋体"/>
                <w:sz w:val="24"/>
              </w:rPr>
              <w:t>（5）中标人样品保管、封存及退还：</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（6）其他要求（如有）：</w:t>
            </w:r>
            <w:r>
              <w:rPr>
                <w:rFonts w:hint="eastAsia" w:ascii="宋体" w:hAnsi="宋体" w:cs="宋体"/>
                <w:sz w:val="24"/>
                <w:u w:val="single"/>
              </w:rPr>
              <w:t>/</w:t>
            </w: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35</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rPr>
            </w:pPr>
            <w:r>
              <w:rPr>
                <w:rFonts w:hint="eastAsia" w:ascii="宋体" w:hAnsi="宋体" w:cs="宋体"/>
                <w:sz w:val="24"/>
              </w:rPr>
              <w:t>采购代理服务费</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收费对象：</w:t>
            </w:r>
          </w:p>
          <w:p>
            <w:pPr>
              <w:spacing w:line="360" w:lineRule="auto"/>
              <w:jc w:val="left"/>
              <w:rPr>
                <w:rFonts w:ascii="宋体" w:hAnsi="宋体" w:cs="宋体"/>
                <w:sz w:val="24"/>
              </w:rPr>
            </w:pPr>
            <w:r>
              <w:rPr>
                <w:rFonts w:hint="eastAsia" w:ascii="宋体" w:hAnsi="宋体" w:cs="宋体"/>
                <w:sz w:val="24"/>
              </w:rPr>
              <w:t>□采购人。</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中标人</w:t>
            </w:r>
          </w:p>
          <w:p>
            <w:pPr>
              <w:spacing w:line="360" w:lineRule="auto"/>
              <w:jc w:val="left"/>
              <w:rPr>
                <w:rFonts w:ascii="宋体" w:hAnsi="宋体" w:cs="宋体"/>
                <w:sz w:val="24"/>
              </w:rPr>
            </w:pPr>
            <w:r>
              <w:rPr>
                <w:rFonts w:hint="eastAsia" w:ascii="宋体" w:hAnsi="宋体" w:cs="宋体"/>
                <w:sz w:val="24"/>
              </w:rPr>
              <w:t>收费标准：</w:t>
            </w:r>
            <w:r>
              <w:rPr>
                <w:rFonts w:hint="eastAsia" w:ascii="宋体" w:hAnsi="宋体" w:cs="宋体"/>
                <w:sz w:val="24"/>
                <w:u w:val="single"/>
              </w:rPr>
              <w:t>参照国家发展计划委员会颁发的《招标代理服务收费管理暂行办法》（计价格[2002]1980号）和《国家发展改革委办公厅关于采购代理服务收费有关问题的通知》（发改办价格[2003]857号）执行。以最终中标金额为基数计算为准</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缴纳时间：</w:t>
            </w:r>
            <w:r>
              <w:rPr>
                <w:rFonts w:hint="eastAsia" w:ascii="宋体" w:hAnsi="宋体" w:cs="宋体"/>
                <w:sz w:val="24"/>
                <w:u w:val="single"/>
              </w:rPr>
              <w:t>中标人在中标通知书发出之日起5个工作日内向采购代理机构缴付中标服务费</w:t>
            </w:r>
            <w:r>
              <w:rPr>
                <w:rFonts w:hint="eastAsia" w:ascii="宋体" w:hAnsi="宋体" w:cs="宋体"/>
                <w:sz w:val="24"/>
              </w:rPr>
              <w:t>。</w:t>
            </w:r>
          </w:p>
        </w:tc>
      </w:tr>
    </w:tbl>
    <w:p>
      <w:pPr>
        <w:spacing w:line="276" w:lineRule="auto"/>
        <w:ind w:firstLine="410" w:firstLineChars="170"/>
        <w:rPr>
          <w:rFonts w:ascii="宋体" w:hAnsi="宋体" w:cs="宋体"/>
          <w:sz w:val="24"/>
          <w:szCs w:val="24"/>
        </w:rPr>
      </w:pPr>
      <w:r>
        <w:rPr>
          <w:rFonts w:hint="eastAsia" w:ascii="宋体" w:hAnsi="宋体" w:cs="宋体"/>
          <w:b/>
          <w:bCs/>
          <w:sz w:val="24"/>
          <w:szCs w:val="24"/>
        </w:rPr>
        <w:t>所谓实质上响应的投标文件应该是与招标文件要求的关键条款、条件和规格相符，没有重大偏离的投标。对于关键条款（招标文件中的黑体字部分、招标文件中带有“应、应当、须、必须、不得”等字样的要求），例如关于投标有效期、适用法律等内容的偏离、保留和反对，将被认为是实质上的偏离。</w:t>
      </w:r>
    </w:p>
    <w:p>
      <w:pPr>
        <w:pStyle w:val="45"/>
        <w:spacing w:line="360" w:lineRule="auto"/>
        <w:ind w:firstLine="482"/>
        <w:rPr>
          <w:rFonts w:ascii="宋体" w:hAnsi="宋体" w:eastAsia="宋体" w:cs="宋体"/>
          <w:sz w:val="24"/>
          <w:szCs w:val="24"/>
        </w:rPr>
      </w:pPr>
      <w:r>
        <w:rPr>
          <w:rFonts w:hint="eastAsia" w:ascii="宋体" w:hAnsi="宋体" w:eastAsia="宋体" w:cs="宋体"/>
          <w:sz w:val="24"/>
          <w:szCs w:val="24"/>
        </w:rPr>
        <w:br w:type="page"/>
      </w:r>
      <w:bookmarkStart w:id="20" w:name="_Toc100786136"/>
      <w:bookmarkStart w:id="21" w:name="_Toc4409"/>
      <w:r>
        <w:rPr>
          <w:rFonts w:hint="eastAsia" w:ascii="宋体" w:hAnsi="宋体" w:eastAsia="宋体" w:cs="宋体"/>
          <w:sz w:val="30"/>
          <w:szCs w:val="30"/>
        </w:rPr>
        <w:t>投标人须知</w:t>
      </w:r>
      <w:bookmarkEnd w:id="20"/>
      <w:bookmarkEnd w:id="21"/>
    </w:p>
    <w:p>
      <w:pPr>
        <w:pStyle w:val="3"/>
        <w:spacing w:line="360" w:lineRule="auto"/>
        <w:ind w:firstLine="482"/>
        <w:rPr>
          <w:rFonts w:ascii="宋体" w:hAnsi="宋体"/>
          <w:sz w:val="24"/>
          <w:szCs w:val="24"/>
        </w:rPr>
      </w:pPr>
      <w:bookmarkStart w:id="22" w:name="_Toc5034"/>
      <w:bookmarkStart w:id="23" w:name="_Toc19912"/>
      <w:bookmarkStart w:id="24" w:name="_Toc92789198"/>
      <w:bookmarkStart w:id="25" w:name="_Toc21238"/>
      <w:bookmarkStart w:id="26" w:name="_Toc8154"/>
      <w:bookmarkStart w:id="27" w:name="_Toc447223725"/>
      <w:bookmarkStart w:id="28" w:name="_Toc100786137"/>
      <w:r>
        <w:rPr>
          <w:rFonts w:hint="eastAsia" w:ascii="宋体" w:hAnsi="宋体"/>
          <w:sz w:val="24"/>
          <w:szCs w:val="24"/>
        </w:rPr>
        <w:t>（一）</w:t>
      </w:r>
      <w:bookmarkEnd w:id="22"/>
      <w:bookmarkEnd w:id="23"/>
      <w:bookmarkEnd w:id="24"/>
      <w:bookmarkEnd w:id="25"/>
      <w:bookmarkEnd w:id="26"/>
      <w:bookmarkEnd w:id="27"/>
      <w:r>
        <w:rPr>
          <w:rFonts w:hint="eastAsia" w:ascii="宋体" w:hAnsi="宋体"/>
          <w:sz w:val="24"/>
          <w:szCs w:val="24"/>
        </w:rPr>
        <w:t>说   明</w:t>
      </w:r>
      <w:bookmarkEnd w:id="28"/>
    </w:p>
    <w:p>
      <w:pPr>
        <w:widowControl/>
        <w:snapToGrid w:val="0"/>
        <w:spacing w:line="360" w:lineRule="auto"/>
        <w:ind w:firstLine="482"/>
        <w:jc w:val="left"/>
        <w:rPr>
          <w:rFonts w:ascii="宋体" w:hAnsi="宋体" w:cs="宋体"/>
          <w:b/>
          <w:sz w:val="24"/>
          <w:szCs w:val="24"/>
        </w:rPr>
      </w:pPr>
      <w:r>
        <w:rPr>
          <w:rFonts w:hint="eastAsia" w:ascii="宋体" w:hAnsi="宋体" w:cs="宋体"/>
          <w:b/>
          <w:sz w:val="24"/>
          <w:szCs w:val="24"/>
        </w:rPr>
        <w:t>1.  招标采购单位及合格的投标人</w:t>
      </w:r>
    </w:p>
    <w:p>
      <w:pPr>
        <w:widowControl/>
        <w:snapToGrid w:val="0"/>
        <w:spacing w:line="360" w:lineRule="auto"/>
        <w:jc w:val="left"/>
        <w:rPr>
          <w:rFonts w:ascii="宋体" w:hAnsi="宋体" w:cs="宋体"/>
          <w:sz w:val="24"/>
          <w:szCs w:val="24"/>
        </w:rPr>
      </w:pPr>
      <w:r>
        <w:rPr>
          <w:rFonts w:hint="eastAsia" w:ascii="宋体" w:hAnsi="宋体" w:cs="宋体"/>
          <w:sz w:val="24"/>
          <w:szCs w:val="24"/>
        </w:rPr>
        <w:t>1.1  招标采购单位：</w:t>
      </w:r>
      <w:r>
        <w:rPr>
          <w:rFonts w:hint="eastAsia" w:ascii="宋体" w:hAnsi="宋体" w:cs="宋体"/>
          <w:sz w:val="24"/>
        </w:rPr>
        <w:t>指依法进行政府采购的国家机关、事业单位、团体组织，及其委托的采购代理机构。本项目采购人、采购代理机构见第一章《投标邀请》。</w:t>
      </w:r>
    </w:p>
    <w:p>
      <w:pPr>
        <w:snapToGrid w:val="0"/>
        <w:spacing w:line="360" w:lineRule="auto"/>
        <w:rPr>
          <w:rFonts w:ascii="宋体" w:hAnsi="宋体" w:cs="宋体"/>
          <w:sz w:val="24"/>
          <w:szCs w:val="24"/>
        </w:rPr>
      </w:pPr>
      <w:r>
        <w:rPr>
          <w:rFonts w:hint="eastAsia" w:ascii="宋体" w:hAnsi="宋体" w:cs="宋体"/>
          <w:sz w:val="24"/>
          <w:szCs w:val="24"/>
        </w:rPr>
        <w:t>1.2  满足以下条件的投标人是合格的投标人，可以参加本次投标：</w:t>
      </w:r>
      <w:r>
        <w:rPr>
          <w:rFonts w:hint="eastAsia" w:ascii="宋体" w:hAnsi="宋体" w:cs="宋体"/>
          <w:sz w:val="24"/>
        </w:rPr>
        <w:t>见第一章《投标邀请》。</w:t>
      </w:r>
    </w:p>
    <w:p>
      <w:pPr>
        <w:snapToGrid w:val="0"/>
        <w:spacing w:line="360" w:lineRule="auto"/>
        <w:rPr>
          <w:rFonts w:ascii="宋体" w:hAnsi="宋体" w:cs="宋体"/>
          <w:sz w:val="24"/>
          <w:szCs w:val="24"/>
        </w:rPr>
      </w:pPr>
      <w:r>
        <w:rPr>
          <w:rFonts w:hint="eastAsia" w:ascii="宋体" w:hAnsi="宋体" w:cs="宋体"/>
          <w:sz w:val="24"/>
          <w:szCs w:val="24"/>
        </w:rPr>
        <w:t>1.3  投标人在投标过程中不得向招标采购单位提供、给予任何有价值的物品，影响其正常决策行为。一经发现，其投标人资格将被取消。</w:t>
      </w:r>
    </w:p>
    <w:p>
      <w:pPr>
        <w:snapToGrid w:val="0"/>
        <w:spacing w:line="360" w:lineRule="auto"/>
        <w:rPr>
          <w:rFonts w:ascii="宋体" w:hAnsi="宋体" w:cs="宋体"/>
          <w:sz w:val="24"/>
          <w:szCs w:val="24"/>
        </w:rPr>
      </w:pPr>
      <w:r>
        <w:rPr>
          <w:rFonts w:hint="eastAsia" w:ascii="宋体" w:hAnsi="宋体" w:cs="宋体"/>
          <w:sz w:val="24"/>
          <w:szCs w:val="24"/>
        </w:rPr>
        <w:t>1.4  投标人应当按照招标文件的要求编制投标文件。投标文件应当对招标文件提出的实质性要求和条件做出响应。投标人应当在招标文件要求提交投标文件的截止时间前，将投标文件密封送达投标地点。</w:t>
      </w:r>
    </w:p>
    <w:p>
      <w:pPr>
        <w:snapToGrid w:val="0"/>
        <w:spacing w:line="360" w:lineRule="auto"/>
        <w:rPr>
          <w:rFonts w:ascii="宋体" w:hAnsi="宋体" w:cs="宋体"/>
          <w:sz w:val="24"/>
          <w:szCs w:val="24"/>
        </w:rPr>
      </w:pPr>
      <w:r>
        <w:rPr>
          <w:rFonts w:hint="eastAsia" w:ascii="宋体" w:hAnsi="宋体" w:cs="宋体"/>
          <w:sz w:val="24"/>
          <w:szCs w:val="24"/>
        </w:rPr>
        <w:t>1.5  招标采购单位在任何时候发现投标人提交的投标文件内容有下列情形之一时，有权依法追究投标人的责任：</w:t>
      </w:r>
    </w:p>
    <w:p>
      <w:pPr>
        <w:snapToGrid w:val="0"/>
        <w:spacing w:line="360" w:lineRule="auto"/>
        <w:rPr>
          <w:rFonts w:ascii="宋体" w:hAnsi="宋体" w:cs="宋体"/>
          <w:sz w:val="24"/>
          <w:szCs w:val="24"/>
        </w:rPr>
      </w:pPr>
      <w:r>
        <w:rPr>
          <w:rFonts w:hint="eastAsia" w:ascii="宋体" w:hAnsi="宋体" w:cs="宋体"/>
          <w:sz w:val="24"/>
          <w:szCs w:val="24"/>
        </w:rPr>
        <w:t>1.5.1</w:t>
      </w:r>
      <w:r>
        <w:rPr>
          <w:rFonts w:hint="eastAsia" w:ascii="宋体" w:hAnsi="宋体" w:cs="宋体"/>
          <w:sz w:val="24"/>
          <w:szCs w:val="24"/>
        </w:rPr>
        <w:tab/>
      </w:r>
      <w:r>
        <w:rPr>
          <w:rFonts w:hint="eastAsia" w:ascii="宋体" w:hAnsi="宋体" w:cs="宋体"/>
          <w:sz w:val="24"/>
          <w:szCs w:val="24"/>
        </w:rPr>
        <w:t xml:space="preserve"> 提供虚假的资料。</w:t>
      </w:r>
    </w:p>
    <w:p>
      <w:pPr>
        <w:snapToGrid w:val="0"/>
        <w:spacing w:line="360" w:lineRule="auto"/>
        <w:rPr>
          <w:rFonts w:ascii="宋体" w:hAnsi="宋体" w:cs="宋体"/>
          <w:sz w:val="24"/>
          <w:szCs w:val="24"/>
        </w:rPr>
      </w:pPr>
      <w:r>
        <w:rPr>
          <w:rFonts w:hint="eastAsia" w:ascii="宋体" w:hAnsi="宋体" w:cs="宋体"/>
          <w:sz w:val="24"/>
          <w:szCs w:val="24"/>
        </w:rPr>
        <w:t>1.5.2</w:t>
      </w:r>
      <w:r>
        <w:rPr>
          <w:rFonts w:hint="eastAsia" w:ascii="宋体" w:hAnsi="宋体" w:cs="宋体"/>
          <w:sz w:val="24"/>
          <w:szCs w:val="24"/>
        </w:rPr>
        <w:tab/>
      </w:r>
      <w:r>
        <w:rPr>
          <w:rFonts w:hint="eastAsia" w:ascii="宋体" w:hAnsi="宋体" w:cs="宋体"/>
          <w:sz w:val="24"/>
          <w:szCs w:val="24"/>
        </w:rPr>
        <w:t xml:space="preserve"> 响应投标实质性要求和条件的内容失实的。</w:t>
      </w:r>
    </w:p>
    <w:p>
      <w:pPr>
        <w:snapToGrid w:val="0"/>
        <w:spacing w:line="360" w:lineRule="auto"/>
        <w:rPr>
          <w:rFonts w:ascii="宋体" w:hAnsi="宋体" w:cs="宋体"/>
          <w:sz w:val="24"/>
          <w:szCs w:val="24"/>
        </w:rPr>
      </w:pPr>
      <w:r>
        <w:rPr>
          <w:rFonts w:hint="eastAsia" w:ascii="宋体" w:hAnsi="宋体" w:cs="宋体"/>
          <w:sz w:val="24"/>
          <w:szCs w:val="24"/>
        </w:rPr>
        <w:t>1.6  政府采购当事人之间不得相互串通投标。</w:t>
      </w:r>
    </w:p>
    <w:p>
      <w:pPr>
        <w:snapToGrid w:val="0"/>
        <w:spacing w:line="360" w:lineRule="auto"/>
        <w:rPr>
          <w:rFonts w:ascii="宋体" w:hAnsi="宋体" w:cs="宋体"/>
          <w:sz w:val="24"/>
          <w:szCs w:val="24"/>
        </w:rPr>
      </w:pPr>
      <w:r>
        <w:rPr>
          <w:rFonts w:hint="eastAsia" w:ascii="宋体" w:hAnsi="宋体" w:cs="宋体"/>
          <w:sz w:val="24"/>
          <w:szCs w:val="24"/>
        </w:rPr>
        <w:t>1.7  投标人不得实施下列法律禁止的行为：</w:t>
      </w:r>
    </w:p>
    <w:p>
      <w:pPr>
        <w:snapToGrid w:val="0"/>
        <w:spacing w:line="360" w:lineRule="auto"/>
        <w:rPr>
          <w:rFonts w:ascii="宋体" w:hAnsi="宋体" w:cs="宋体"/>
          <w:sz w:val="24"/>
          <w:szCs w:val="24"/>
        </w:rPr>
      </w:pPr>
      <w:r>
        <w:rPr>
          <w:rFonts w:hint="eastAsia" w:ascii="宋体" w:hAnsi="宋体" w:cs="宋体"/>
          <w:sz w:val="24"/>
          <w:szCs w:val="24"/>
        </w:rPr>
        <w:t>1.7.1  不同投标人的投标文件由同一单位或者个人编制；</w:t>
      </w:r>
    </w:p>
    <w:p>
      <w:pPr>
        <w:snapToGrid w:val="0"/>
        <w:spacing w:line="360" w:lineRule="auto"/>
        <w:rPr>
          <w:rFonts w:ascii="宋体" w:hAnsi="宋体" w:cs="宋体"/>
          <w:sz w:val="24"/>
          <w:szCs w:val="24"/>
        </w:rPr>
      </w:pPr>
      <w:r>
        <w:rPr>
          <w:rFonts w:hint="eastAsia" w:ascii="宋体" w:hAnsi="宋体" w:cs="宋体"/>
          <w:sz w:val="24"/>
          <w:szCs w:val="24"/>
        </w:rPr>
        <w:t>1.7.2  不同投标人委托同一单位或者个人办理投标事宜；</w:t>
      </w:r>
    </w:p>
    <w:p>
      <w:pPr>
        <w:snapToGrid w:val="0"/>
        <w:spacing w:line="360" w:lineRule="auto"/>
        <w:rPr>
          <w:rFonts w:ascii="宋体" w:hAnsi="宋体" w:cs="宋体"/>
          <w:sz w:val="24"/>
          <w:szCs w:val="24"/>
        </w:rPr>
      </w:pPr>
      <w:r>
        <w:rPr>
          <w:rFonts w:hint="eastAsia" w:ascii="宋体" w:hAnsi="宋体" w:cs="宋体"/>
          <w:sz w:val="24"/>
          <w:szCs w:val="24"/>
        </w:rPr>
        <w:t>1.7.3  不同投标人的投标文件载明的项目管理成员或者联系人员为同一人；</w:t>
      </w:r>
    </w:p>
    <w:p>
      <w:pPr>
        <w:snapToGrid w:val="0"/>
        <w:spacing w:line="360" w:lineRule="auto"/>
        <w:rPr>
          <w:rFonts w:ascii="宋体" w:hAnsi="宋体" w:cs="宋体"/>
          <w:sz w:val="24"/>
          <w:szCs w:val="24"/>
        </w:rPr>
      </w:pPr>
      <w:r>
        <w:rPr>
          <w:rFonts w:hint="eastAsia" w:ascii="宋体" w:hAnsi="宋体" w:cs="宋体"/>
          <w:sz w:val="24"/>
          <w:szCs w:val="24"/>
        </w:rPr>
        <w:t>1.7.4  不同投标人的投标文件异常一致或者投标报价呈规律性差异；</w:t>
      </w:r>
    </w:p>
    <w:p>
      <w:pPr>
        <w:snapToGrid w:val="0"/>
        <w:spacing w:line="360" w:lineRule="auto"/>
        <w:rPr>
          <w:rFonts w:ascii="宋体" w:hAnsi="宋体" w:cs="宋体"/>
          <w:sz w:val="24"/>
          <w:szCs w:val="24"/>
        </w:rPr>
      </w:pPr>
      <w:r>
        <w:rPr>
          <w:rFonts w:hint="eastAsia" w:ascii="宋体" w:hAnsi="宋体" w:cs="宋体"/>
          <w:sz w:val="24"/>
          <w:szCs w:val="24"/>
        </w:rPr>
        <w:t>1.7.5  不同投标人的投标文件相互混装；</w:t>
      </w:r>
    </w:p>
    <w:p>
      <w:pPr>
        <w:snapToGrid w:val="0"/>
        <w:spacing w:line="360" w:lineRule="auto"/>
        <w:rPr>
          <w:rFonts w:ascii="宋体" w:hAnsi="宋体" w:cs="宋体"/>
          <w:sz w:val="24"/>
          <w:szCs w:val="24"/>
        </w:rPr>
      </w:pPr>
      <w:r>
        <w:rPr>
          <w:rFonts w:hint="eastAsia" w:ascii="宋体" w:hAnsi="宋体" w:cs="宋体"/>
          <w:sz w:val="24"/>
          <w:szCs w:val="24"/>
        </w:rPr>
        <w:t>1.7.6  不同投标人的投标保证金从同一单位或者个人的账户转出。</w:t>
      </w:r>
    </w:p>
    <w:p>
      <w:pPr>
        <w:snapToGrid w:val="0"/>
        <w:spacing w:line="360" w:lineRule="auto"/>
        <w:rPr>
          <w:rFonts w:ascii="宋体" w:hAnsi="宋体" w:cs="宋体"/>
          <w:sz w:val="24"/>
          <w:szCs w:val="24"/>
        </w:rPr>
      </w:pPr>
      <w:r>
        <w:rPr>
          <w:rFonts w:hint="eastAsia" w:ascii="宋体" w:hAnsi="宋体" w:cs="宋体"/>
          <w:sz w:val="24"/>
          <w:szCs w:val="24"/>
        </w:rPr>
        <w:t>1.8  投标人不得实施下列法律禁止的行为：</w:t>
      </w:r>
    </w:p>
    <w:p>
      <w:pPr>
        <w:snapToGrid w:val="0"/>
        <w:spacing w:line="360" w:lineRule="auto"/>
        <w:rPr>
          <w:rFonts w:ascii="宋体" w:hAnsi="宋体" w:cs="宋体"/>
          <w:sz w:val="24"/>
          <w:szCs w:val="24"/>
        </w:rPr>
      </w:pPr>
      <w:r>
        <w:rPr>
          <w:rFonts w:hint="eastAsia" w:ascii="宋体" w:hAnsi="宋体" w:cs="宋体"/>
          <w:sz w:val="24"/>
          <w:szCs w:val="24"/>
        </w:rPr>
        <w:t>1.8.1  采取不正当手段诋毁、排挤其他投标人；</w:t>
      </w:r>
    </w:p>
    <w:p>
      <w:pPr>
        <w:snapToGrid w:val="0"/>
        <w:spacing w:line="360" w:lineRule="auto"/>
        <w:rPr>
          <w:rFonts w:ascii="宋体" w:hAnsi="宋体" w:cs="宋体"/>
          <w:sz w:val="24"/>
          <w:szCs w:val="24"/>
        </w:rPr>
      </w:pPr>
      <w:r>
        <w:rPr>
          <w:rFonts w:hint="eastAsia" w:ascii="宋体" w:hAnsi="宋体" w:cs="宋体"/>
          <w:sz w:val="24"/>
          <w:szCs w:val="24"/>
        </w:rPr>
        <w:t>1.8.2  与采购人、其他投标人或者采购人(采购代理机构)恶意串通；</w:t>
      </w:r>
    </w:p>
    <w:p>
      <w:pPr>
        <w:snapToGrid w:val="0"/>
        <w:spacing w:line="360" w:lineRule="auto"/>
        <w:rPr>
          <w:rFonts w:ascii="宋体" w:hAnsi="宋体" w:cs="宋体"/>
          <w:sz w:val="24"/>
          <w:szCs w:val="24"/>
        </w:rPr>
      </w:pPr>
      <w:r>
        <w:rPr>
          <w:rFonts w:hint="eastAsia" w:ascii="宋体" w:hAnsi="宋体" w:cs="宋体"/>
          <w:sz w:val="24"/>
          <w:szCs w:val="24"/>
        </w:rPr>
        <w:t>1.8.3  以低于成本的报价竞标；</w:t>
      </w:r>
    </w:p>
    <w:p>
      <w:pPr>
        <w:snapToGrid w:val="0"/>
        <w:spacing w:line="360" w:lineRule="auto"/>
        <w:rPr>
          <w:rFonts w:ascii="宋体" w:hAnsi="宋体" w:cs="宋体"/>
          <w:sz w:val="24"/>
          <w:szCs w:val="24"/>
        </w:rPr>
      </w:pPr>
      <w:r>
        <w:rPr>
          <w:rFonts w:hint="eastAsia" w:ascii="宋体" w:hAnsi="宋体" w:cs="宋体"/>
          <w:sz w:val="24"/>
          <w:szCs w:val="24"/>
        </w:rPr>
        <w:t>1.8.4  向招标采购单位、评标委员会成员行贿或者采取其他不正当手段谋取中标；</w:t>
      </w:r>
    </w:p>
    <w:p>
      <w:pPr>
        <w:snapToGrid w:val="0"/>
        <w:spacing w:line="360" w:lineRule="auto"/>
        <w:rPr>
          <w:rFonts w:ascii="宋体" w:hAnsi="宋体" w:cs="宋体"/>
          <w:sz w:val="24"/>
          <w:szCs w:val="24"/>
        </w:rPr>
      </w:pPr>
      <w:r>
        <w:rPr>
          <w:rFonts w:hint="eastAsia" w:ascii="宋体" w:hAnsi="宋体" w:cs="宋体"/>
          <w:sz w:val="24"/>
          <w:szCs w:val="24"/>
        </w:rPr>
        <w:t>1.8.5  以他人名义投标或者以其他方式弄虚作假，骗取中标。</w:t>
      </w:r>
    </w:p>
    <w:p>
      <w:pPr>
        <w:widowControl/>
        <w:snapToGrid w:val="0"/>
        <w:spacing w:line="360" w:lineRule="auto"/>
        <w:ind w:firstLine="482"/>
        <w:jc w:val="left"/>
        <w:rPr>
          <w:rFonts w:ascii="宋体" w:hAnsi="宋体" w:cs="宋体"/>
          <w:b/>
          <w:sz w:val="24"/>
          <w:szCs w:val="24"/>
        </w:rPr>
      </w:pPr>
      <w:r>
        <w:rPr>
          <w:rFonts w:hint="eastAsia" w:ascii="宋体" w:hAnsi="宋体" w:cs="宋体"/>
          <w:b/>
          <w:sz w:val="24"/>
          <w:szCs w:val="24"/>
        </w:rPr>
        <w:t>2.  现场考察、开标前答疑会</w:t>
      </w:r>
    </w:p>
    <w:p>
      <w:pPr>
        <w:snapToGrid w:val="0"/>
        <w:spacing w:line="360" w:lineRule="auto"/>
        <w:rPr>
          <w:rFonts w:ascii="宋体" w:hAnsi="宋体" w:cs="宋体"/>
          <w:sz w:val="24"/>
          <w:szCs w:val="24"/>
          <w:highlight w:val="yellow"/>
        </w:rPr>
      </w:pPr>
      <w:r>
        <w:rPr>
          <w:rFonts w:hint="eastAsia" w:ascii="宋体" w:hAnsi="宋体" w:cs="宋体"/>
          <w:sz w:val="24"/>
          <w:szCs w:val="24"/>
        </w:rPr>
        <w:t>2.1  若《投标人须知资料表》中规定了组织现场考察、召开开标前答疑会，则投标人应按要求在规定的时间和地点参加。</w:t>
      </w:r>
    </w:p>
    <w:p>
      <w:pPr>
        <w:snapToGrid w:val="0"/>
        <w:spacing w:line="360" w:lineRule="auto"/>
        <w:rPr>
          <w:rFonts w:ascii="宋体" w:hAnsi="宋体" w:cs="宋体"/>
          <w:sz w:val="24"/>
          <w:szCs w:val="24"/>
        </w:rPr>
      </w:pPr>
      <w:r>
        <w:rPr>
          <w:rFonts w:hint="eastAsia" w:ascii="宋体" w:hAnsi="宋体" w:cs="宋体"/>
          <w:sz w:val="24"/>
          <w:szCs w:val="24"/>
        </w:rPr>
        <w:t>2.2  由于未参加现场考察或开标前答疑会而导致对项目实际情况不了解，影响投标文件编制、投标报价准确性、综合因素响应不全面等问题的，由投标人自行承担不利评审后果。</w:t>
      </w:r>
    </w:p>
    <w:p>
      <w:pPr>
        <w:widowControl/>
        <w:snapToGrid w:val="0"/>
        <w:spacing w:line="360" w:lineRule="auto"/>
        <w:ind w:firstLine="482"/>
        <w:jc w:val="left"/>
        <w:rPr>
          <w:rFonts w:ascii="宋体" w:hAnsi="宋体" w:cs="宋体"/>
          <w:b/>
          <w:sz w:val="24"/>
          <w:szCs w:val="24"/>
        </w:rPr>
      </w:pPr>
      <w:r>
        <w:rPr>
          <w:rFonts w:hint="eastAsia" w:ascii="宋体" w:hAnsi="宋体" w:cs="宋体"/>
          <w:b/>
          <w:sz w:val="24"/>
          <w:szCs w:val="24"/>
        </w:rPr>
        <w:t>3.  联合体（本项目不涉及）</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指两个以上的自然人、法人或者其他组织组成一个联合体，以一个供应商的身份共同参加政府采购。</w:t>
      </w:r>
    </w:p>
    <w:p>
      <w:pPr>
        <w:widowControl/>
        <w:snapToGrid w:val="0"/>
        <w:spacing w:line="360" w:lineRule="auto"/>
        <w:ind w:firstLine="482"/>
        <w:jc w:val="left"/>
        <w:rPr>
          <w:rFonts w:ascii="宋体" w:hAnsi="宋体" w:cs="宋体"/>
          <w:b/>
          <w:sz w:val="24"/>
          <w:szCs w:val="24"/>
        </w:rPr>
      </w:pPr>
      <w:r>
        <w:rPr>
          <w:rFonts w:hint="eastAsia" w:ascii="宋体" w:hAnsi="宋体" w:cs="宋体"/>
          <w:b/>
          <w:sz w:val="24"/>
          <w:szCs w:val="24"/>
        </w:rPr>
        <w:t>4．</w:t>
      </w:r>
      <w:bookmarkStart w:id="29" w:name="_Toc226337216"/>
      <w:bookmarkStart w:id="30" w:name="_Toc127161434"/>
      <w:bookmarkStart w:id="31" w:name="_Toc226965793"/>
      <w:bookmarkStart w:id="32" w:name="_Toc151193618"/>
      <w:bookmarkStart w:id="33" w:name="_Toc164229361"/>
      <w:bookmarkStart w:id="34" w:name="_Toc142311022"/>
      <w:bookmarkStart w:id="35" w:name="_Toc164608789"/>
      <w:bookmarkStart w:id="36" w:name="_Toc264969210"/>
      <w:bookmarkStart w:id="37" w:name="_Toc149720813"/>
      <w:bookmarkStart w:id="38" w:name="_Toc150509271"/>
      <w:bookmarkStart w:id="39" w:name="_Toc265228358"/>
      <w:bookmarkStart w:id="40" w:name="_Toc226965710"/>
      <w:bookmarkStart w:id="41" w:name="_Toc151193690"/>
      <w:bookmarkStart w:id="42" w:name="_Toc305158788"/>
      <w:bookmarkStart w:id="43" w:name="_Toc127151520"/>
      <w:bookmarkStart w:id="44" w:name="_Toc151193908"/>
      <w:bookmarkStart w:id="45" w:name="_Toc195842885"/>
      <w:bookmarkStart w:id="46" w:name="_Toc305158862"/>
      <w:bookmarkStart w:id="47" w:name="_Toc151193834"/>
      <w:bookmarkStart w:id="48" w:name="_Toc164351614"/>
      <w:bookmarkStart w:id="49" w:name="_Toc164608634"/>
      <w:bookmarkStart w:id="50" w:name="_Toc150774620"/>
      <w:bookmarkStart w:id="51" w:name="_Toc151190147"/>
      <w:bookmarkStart w:id="52" w:name="_Toc151193762"/>
      <w:bookmarkStart w:id="53" w:name="_Toc226309764"/>
      <w:bookmarkStart w:id="54" w:name="_Toc150480758"/>
      <w:bookmarkStart w:id="55" w:name="_Toc164229215"/>
      <w:bookmarkStart w:id="56" w:name="_Toc127151721"/>
      <w:bookmarkStart w:id="57" w:name="_Toc150774725"/>
      <w:r>
        <w:rPr>
          <w:rFonts w:hint="eastAsia" w:ascii="宋体" w:hAnsi="宋体" w:cs="宋体"/>
          <w:b/>
          <w:sz w:val="24"/>
          <w:szCs w:val="24"/>
        </w:rPr>
        <w:t>资金来源</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ascii="宋体" w:hAnsi="宋体" w:cs="宋体"/>
          <w:b/>
          <w:sz w:val="24"/>
          <w:szCs w:val="24"/>
        </w:rPr>
        <w:t>、项目属性、科研仪器设备采购、核心产品</w:t>
      </w:r>
    </w:p>
    <w:p>
      <w:pPr>
        <w:widowControl/>
        <w:snapToGrid w:val="0"/>
        <w:spacing w:line="360" w:lineRule="auto"/>
        <w:jc w:val="left"/>
        <w:rPr>
          <w:rFonts w:ascii="宋体" w:hAnsi="宋体" w:cs="宋体"/>
          <w:sz w:val="24"/>
          <w:szCs w:val="24"/>
        </w:rPr>
      </w:pPr>
      <w:r>
        <w:rPr>
          <w:rFonts w:hint="eastAsia" w:ascii="宋体" w:hAnsi="宋体" w:cs="宋体"/>
          <w:sz w:val="24"/>
          <w:szCs w:val="24"/>
        </w:rPr>
        <w:t>4.1  第一章《投标邀请》中所述的采购人必须获得足以支付本次招标后所签订的合同项下的款项（财政性资金）</w:t>
      </w:r>
      <w:r>
        <w:rPr>
          <w:rFonts w:hint="eastAsia" w:ascii="宋体" w:hAnsi="宋体" w:cs="宋体"/>
          <w:bCs/>
          <w:kern w:val="0"/>
          <w:sz w:val="24"/>
          <w:szCs w:val="24"/>
        </w:rPr>
        <w:t>，采购金额不得超过</w:t>
      </w:r>
      <w:r>
        <w:rPr>
          <w:rFonts w:hint="eastAsia" w:ascii="宋体" w:hAnsi="宋体" w:cs="宋体"/>
          <w:sz w:val="24"/>
          <w:szCs w:val="24"/>
        </w:rPr>
        <w:t>最高限价或预算金额。</w:t>
      </w:r>
    </w:p>
    <w:p>
      <w:pPr>
        <w:widowControl/>
        <w:snapToGrid w:val="0"/>
        <w:spacing w:line="360" w:lineRule="auto"/>
        <w:ind w:left="480" w:hanging="480" w:hangingChars="200"/>
        <w:jc w:val="left"/>
        <w:rPr>
          <w:rFonts w:ascii="宋体" w:hAnsi="宋体" w:cs="宋体"/>
          <w:b/>
          <w:sz w:val="24"/>
          <w:szCs w:val="24"/>
        </w:rPr>
      </w:pPr>
      <w:r>
        <w:rPr>
          <w:rFonts w:hint="eastAsia" w:ascii="宋体" w:hAnsi="宋体" w:cs="宋体"/>
          <w:sz w:val="24"/>
          <w:szCs w:val="24"/>
        </w:rPr>
        <w:t xml:space="preserve">4.2  </w:t>
      </w:r>
      <w:r>
        <w:rPr>
          <w:rFonts w:hint="eastAsia" w:ascii="宋体" w:hAnsi="宋体" w:cs="宋体"/>
          <w:b/>
          <w:bCs/>
          <w:kern w:val="0"/>
          <w:sz w:val="24"/>
          <w:szCs w:val="24"/>
        </w:rPr>
        <w:t>本次资金来源为</w:t>
      </w:r>
      <w:r>
        <w:rPr>
          <w:rFonts w:hint="eastAsia" w:ascii="宋体" w:hAnsi="宋体" w:cs="宋体"/>
          <w:bCs/>
          <w:kern w:val="0"/>
          <w:sz w:val="24"/>
          <w:szCs w:val="24"/>
        </w:rPr>
        <w:t>财政性资金</w:t>
      </w:r>
      <w:r>
        <w:rPr>
          <w:rFonts w:hint="eastAsia" w:ascii="宋体" w:hAnsi="宋体" w:cs="宋体"/>
          <w:b/>
          <w:sz w:val="24"/>
          <w:szCs w:val="24"/>
        </w:rPr>
        <w:t>，超出最高限价或预算金额的报价为无效投标</w:t>
      </w:r>
    </w:p>
    <w:p>
      <w:pPr>
        <w:widowControl/>
        <w:snapToGrid w:val="0"/>
        <w:spacing w:line="360" w:lineRule="auto"/>
        <w:ind w:firstLine="482"/>
        <w:jc w:val="left"/>
        <w:rPr>
          <w:rFonts w:ascii="宋体" w:hAnsi="宋体" w:cs="宋体"/>
          <w:b/>
          <w:sz w:val="24"/>
          <w:szCs w:val="24"/>
        </w:rPr>
      </w:pPr>
      <w:r>
        <w:rPr>
          <w:rFonts w:hint="eastAsia" w:ascii="宋体" w:hAnsi="宋体" w:cs="宋体"/>
          <w:b/>
          <w:sz w:val="24"/>
          <w:szCs w:val="24"/>
        </w:rPr>
        <w:t>报价。</w:t>
      </w:r>
    </w:p>
    <w:p>
      <w:pPr>
        <w:widowControl/>
        <w:snapToGrid w:val="0"/>
        <w:spacing w:line="360" w:lineRule="auto"/>
        <w:jc w:val="left"/>
        <w:rPr>
          <w:rFonts w:ascii="宋体" w:hAnsi="宋体" w:cs="宋体"/>
          <w:sz w:val="24"/>
          <w:szCs w:val="24"/>
        </w:rPr>
      </w:pPr>
      <w:r>
        <w:rPr>
          <w:rFonts w:hint="eastAsia" w:ascii="宋体" w:hAnsi="宋体" w:cs="宋体"/>
          <w:sz w:val="24"/>
          <w:szCs w:val="24"/>
        </w:rPr>
        <w:t>4.3  项目属性见《投标人须知资料表》。</w:t>
      </w:r>
    </w:p>
    <w:p>
      <w:pPr>
        <w:widowControl/>
        <w:snapToGrid w:val="0"/>
        <w:spacing w:line="360" w:lineRule="auto"/>
        <w:jc w:val="left"/>
        <w:rPr>
          <w:rFonts w:ascii="宋体" w:hAnsi="宋体" w:cs="宋体"/>
          <w:sz w:val="24"/>
          <w:szCs w:val="24"/>
        </w:rPr>
      </w:pPr>
      <w:r>
        <w:rPr>
          <w:rFonts w:hint="eastAsia" w:ascii="宋体" w:hAnsi="宋体" w:cs="宋体"/>
          <w:sz w:val="24"/>
          <w:szCs w:val="24"/>
        </w:rPr>
        <w:t>4.4  是否属于科研仪器设备采购见《投标人须知资料表》。</w:t>
      </w:r>
    </w:p>
    <w:p>
      <w:pPr>
        <w:widowControl/>
        <w:snapToGrid w:val="0"/>
        <w:spacing w:line="360" w:lineRule="auto"/>
        <w:jc w:val="left"/>
        <w:rPr>
          <w:rFonts w:ascii="宋体" w:hAnsi="宋体" w:cs="宋体"/>
          <w:sz w:val="24"/>
          <w:szCs w:val="24"/>
        </w:rPr>
      </w:pPr>
      <w:r>
        <w:rPr>
          <w:rFonts w:hint="eastAsia" w:ascii="宋体" w:hAnsi="宋体" w:cs="宋体"/>
          <w:sz w:val="24"/>
          <w:szCs w:val="24"/>
        </w:rPr>
        <w:t>4.5  核心产品见《投标人须知资料表》。</w:t>
      </w:r>
    </w:p>
    <w:p>
      <w:pPr>
        <w:widowControl/>
        <w:spacing w:line="360" w:lineRule="auto"/>
        <w:ind w:firstLine="482"/>
        <w:jc w:val="left"/>
        <w:rPr>
          <w:rFonts w:ascii="宋体" w:hAnsi="宋体" w:cs="宋体"/>
          <w:b/>
          <w:sz w:val="24"/>
          <w:szCs w:val="24"/>
        </w:rPr>
      </w:pPr>
      <w:r>
        <w:rPr>
          <w:rFonts w:hint="eastAsia" w:ascii="宋体" w:hAnsi="宋体" w:cs="宋体"/>
          <w:b/>
          <w:sz w:val="24"/>
          <w:szCs w:val="24"/>
        </w:rPr>
        <w:t>5.  政府采购政策（包括但不限于下列具体政策要求）</w:t>
      </w:r>
    </w:p>
    <w:p>
      <w:pPr>
        <w:widowControl/>
        <w:spacing w:line="360" w:lineRule="auto"/>
        <w:jc w:val="left"/>
        <w:rPr>
          <w:rFonts w:ascii="宋体" w:hAnsi="宋体" w:cs="宋体"/>
          <w:sz w:val="24"/>
          <w:szCs w:val="24"/>
        </w:rPr>
      </w:pPr>
      <w:r>
        <w:rPr>
          <w:rFonts w:hint="eastAsia" w:ascii="宋体" w:hAnsi="宋体" w:cs="宋体"/>
          <w:sz w:val="24"/>
          <w:szCs w:val="24"/>
        </w:rPr>
        <w:t>5.1中小企业、监狱企业及残疾人福利性单位</w:t>
      </w:r>
    </w:p>
    <w:p>
      <w:pPr>
        <w:widowControl/>
        <w:spacing w:line="360" w:lineRule="auto"/>
        <w:jc w:val="left"/>
        <w:rPr>
          <w:rFonts w:ascii="宋体" w:hAnsi="宋体" w:cs="宋体"/>
          <w:sz w:val="24"/>
          <w:szCs w:val="24"/>
        </w:rPr>
      </w:pPr>
      <w:r>
        <w:rPr>
          <w:rFonts w:hint="eastAsia" w:ascii="宋体" w:hAnsi="宋体" w:cs="宋体"/>
          <w:sz w:val="24"/>
          <w:szCs w:val="24"/>
        </w:rPr>
        <w:t>5.1.1  中小企业定义：详见附录1。</w:t>
      </w:r>
    </w:p>
    <w:p>
      <w:pPr>
        <w:widowControl/>
        <w:spacing w:line="360" w:lineRule="auto"/>
        <w:jc w:val="left"/>
        <w:rPr>
          <w:rFonts w:ascii="宋体" w:hAnsi="宋体" w:cs="宋体"/>
          <w:sz w:val="24"/>
          <w:szCs w:val="24"/>
        </w:rPr>
      </w:pPr>
      <w:r>
        <w:rPr>
          <w:rFonts w:hint="eastAsia" w:ascii="宋体" w:hAnsi="宋体" w:cs="宋体"/>
          <w:sz w:val="24"/>
          <w:szCs w:val="24"/>
        </w:rPr>
        <w:t>5.1.2</w:t>
      </w:r>
      <w:r>
        <w:rPr>
          <w:rFonts w:hint="eastAsia" w:ascii="宋体" w:hAnsi="宋体" w:cs="宋体"/>
          <w:vanish/>
          <w:sz w:val="24"/>
          <w:szCs w:val="24"/>
        </w:rPr>
        <w:t>5.1.25555.2.2</w:t>
      </w:r>
      <w:r>
        <w:rPr>
          <w:rFonts w:hint="eastAsia" w:ascii="宋体" w:hAnsi="宋体" w:cs="宋体"/>
          <w:sz w:val="24"/>
          <w:szCs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360" w:lineRule="auto"/>
        <w:jc w:val="left"/>
        <w:rPr>
          <w:rFonts w:ascii="宋体" w:hAnsi="宋体" w:cs="宋体"/>
          <w:sz w:val="24"/>
          <w:szCs w:val="24"/>
        </w:rPr>
      </w:pPr>
      <w:r>
        <w:rPr>
          <w:rFonts w:hint="eastAsia" w:ascii="宋体" w:hAnsi="宋体" w:cs="宋体"/>
          <w:sz w:val="24"/>
          <w:szCs w:val="24"/>
        </w:rPr>
        <w:t>5.1.3  残疾人福利单位定义：享受政府采购支持政策的残疾人福利性单位应当同时满足以下条件：</w:t>
      </w:r>
    </w:p>
    <w:p>
      <w:pPr>
        <w:widowControl/>
        <w:spacing w:line="360" w:lineRule="auto"/>
        <w:jc w:val="left"/>
        <w:rPr>
          <w:rFonts w:ascii="宋体" w:hAnsi="宋体" w:cs="宋体"/>
          <w:sz w:val="24"/>
          <w:szCs w:val="24"/>
        </w:rPr>
      </w:pPr>
      <w:r>
        <w:rPr>
          <w:rFonts w:hint="eastAsia" w:ascii="宋体" w:hAnsi="宋体" w:cs="宋体"/>
          <w:sz w:val="24"/>
          <w:szCs w:val="24"/>
        </w:rPr>
        <w:t>5.1.3. 安置的残疾人占本单位在职职工人数的比例不低于25%（含25%），并且安置的残疾人人数不少于10人（含10人）；</w:t>
      </w:r>
    </w:p>
    <w:p>
      <w:pPr>
        <w:widowControl/>
        <w:spacing w:line="360" w:lineRule="auto"/>
        <w:jc w:val="left"/>
        <w:rPr>
          <w:rFonts w:ascii="宋体" w:hAnsi="宋体" w:cs="宋体"/>
          <w:sz w:val="24"/>
          <w:szCs w:val="24"/>
        </w:rPr>
      </w:pPr>
      <w:r>
        <w:rPr>
          <w:rFonts w:hint="eastAsia" w:ascii="宋体" w:hAnsi="宋体" w:cs="宋体"/>
          <w:sz w:val="24"/>
          <w:szCs w:val="24"/>
        </w:rPr>
        <w:t>5.1.3.2  依法与安置的每位残疾人签订了一年以上（含一年）的劳动合同或服务协议；</w:t>
      </w:r>
    </w:p>
    <w:p>
      <w:pPr>
        <w:widowControl/>
        <w:spacing w:line="360" w:lineRule="auto"/>
        <w:jc w:val="left"/>
        <w:rPr>
          <w:rFonts w:ascii="宋体" w:hAnsi="宋体" w:cs="宋体"/>
          <w:sz w:val="24"/>
          <w:szCs w:val="24"/>
        </w:rPr>
      </w:pPr>
      <w:r>
        <w:rPr>
          <w:rFonts w:hint="eastAsia" w:ascii="宋体" w:hAnsi="宋体" w:cs="宋体"/>
          <w:sz w:val="24"/>
          <w:szCs w:val="24"/>
        </w:rPr>
        <w:t>5.1.3.3  为安置的每位残疾人按月足额缴纳了基本养老保险、基本医疗保险、失业保险、工伤保险和生育保险等社会保险费；</w:t>
      </w:r>
    </w:p>
    <w:p>
      <w:pPr>
        <w:widowControl/>
        <w:spacing w:line="360" w:lineRule="auto"/>
        <w:jc w:val="left"/>
        <w:rPr>
          <w:rFonts w:ascii="宋体" w:hAnsi="宋体" w:cs="宋体"/>
          <w:sz w:val="24"/>
          <w:szCs w:val="24"/>
        </w:rPr>
      </w:pPr>
      <w:r>
        <w:rPr>
          <w:rFonts w:hint="eastAsia" w:ascii="宋体" w:hAnsi="宋体" w:cs="宋体"/>
          <w:sz w:val="24"/>
          <w:szCs w:val="24"/>
        </w:rPr>
        <w:t>5.1.3.4  通过银行等金融机构向安置的每位残疾人，按月支付了不低于单位所在区县适用的经省级人民政府批准的月最低工资标准的工资；</w:t>
      </w:r>
    </w:p>
    <w:p>
      <w:pPr>
        <w:widowControl/>
        <w:spacing w:line="360" w:lineRule="auto"/>
        <w:jc w:val="left"/>
        <w:rPr>
          <w:rFonts w:ascii="宋体" w:hAnsi="宋体" w:cs="宋体"/>
          <w:sz w:val="24"/>
          <w:szCs w:val="24"/>
        </w:rPr>
      </w:pPr>
      <w:r>
        <w:rPr>
          <w:rFonts w:hint="eastAsia" w:ascii="宋体" w:hAnsi="宋体" w:cs="宋体"/>
          <w:sz w:val="24"/>
          <w:szCs w:val="24"/>
        </w:rPr>
        <w:t>5.1.3.5  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ascii="宋体" w:hAnsi="宋体" w:cs="宋体"/>
          <w:sz w:val="24"/>
          <w:szCs w:val="24"/>
        </w:rPr>
      </w:pPr>
      <w:r>
        <w:rPr>
          <w:rFonts w:hint="eastAsia" w:ascii="宋体" w:hAnsi="宋体" w:cs="宋体"/>
          <w:sz w:val="24"/>
          <w:szCs w:val="24"/>
        </w:rPr>
        <w:t>5.1.3.6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widowControl/>
        <w:spacing w:line="360" w:lineRule="auto"/>
        <w:jc w:val="left"/>
        <w:rPr>
          <w:rFonts w:ascii="宋体" w:hAnsi="宋体" w:cs="宋体"/>
          <w:sz w:val="24"/>
          <w:szCs w:val="24"/>
        </w:rPr>
      </w:pPr>
      <w:r>
        <w:rPr>
          <w:rFonts w:hint="eastAsia" w:ascii="宋体" w:hAnsi="宋体" w:cs="宋体"/>
          <w:sz w:val="24"/>
          <w:szCs w:val="24"/>
        </w:rPr>
        <w:t>5.1.4  本项目是否专门面向中小企业预留采购份额见《投标人须知资料表》。</w:t>
      </w:r>
    </w:p>
    <w:p>
      <w:pPr>
        <w:widowControl/>
        <w:spacing w:line="360" w:lineRule="auto"/>
        <w:jc w:val="left"/>
        <w:rPr>
          <w:rFonts w:ascii="宋体" w:hAnsi="宋体" w:cs="宋体"/>
          <w:sz w:val="24"/>
          <w:szCs w:val="24"/>
        </w:rPr>
      </w:pPr>
      <w:r>
        <w:rPr>
          <w:rFonts w:hint="eastAsia" w:ascii="宋体" w:hAnsi="宋体" w:cs="宋体"/>
          <w:sz w:val="24"/>
          <w:szCs w:val="24"/>
        </w:rPr>
        <w:t>5.1.5  采购标的对应的中小企业划分标准所属行业见《投标人须知资料表》。</w:t>
      </w:r>
    </w:p>
    <w:p>
      <w:pPr>
        <w:widowControl/>
        <w:spacing w:line="360" w:lineRule="auto"/>
        <w:jc w:val="left"/>
        <w:rPr>
          <w:rFonts w:ascii="宋体" w:hAnsi="宋体" w:cs="宋体"/>
          <w:sz w:val="24"/>
          <w:szCs w:val="24"/>
        </w:rPr>
      </w:pPr>
      <w:r>
        <w:rPr>
          <w:rFonts w:hint="eastAsia" w:ascii="宋体" w:hAnsi="宋体" w:cs="宋体"/>
          <w:sz w:val="24"/>
          <w:szCs w:val="24"/>
        </w:rPr>
        <w:t>5.1.6  小微企业价格评审优惠的政策调整：见第六章《评标程序、评标方法和评标标准》。</w:t>
      </w:r>
    </w:p>
    <w:p>
      <w:pPr>
        <w:widowControl/>
        <w:spacing w:line="360" w:lineRule="auto"/>
        <w:jc w:val="left"/>
        <w:rPr>
          <w:rFonts w:ascii="宋体" w:hAnsi="宋体" w:cs="宋体"/>
          <w:sz w:val="24"/>
          <w:szCs w:val="24"/>
        </w:rPr>
      </w:pPr>
      <w:r>
        <w:rPr>
          <w:rFonts w:hint="eastAsia" w:ascii="宋体" w:hAnsi="宋体" w:cs="宋体"/>
          <w:sz w:val="24"/>
          <w:szCs w:val="24"/>
        </w:rPr>
        <w:t>5.2政府采购节能产品、环境标志产品</w:t>
      </w:r>
    </w:p>
    <w:p>
      <w:pPr>
        <w:widowControl/>
        <w:spacing w:line="360" w:lineRule="auto"/>
        <w:jc w:val="left"/>
        <w:rPr>
          <w:rFonts w:ascii="宋体" w:hAnsi="宋体" w:cs="宋体"/>
          <w:sz w:val="24"/>
          <w:szCs w:val="24"/>
        </w:rPr>
      </w:pPr>
      <w:r>
        <w:rPr>
          <w:rFonts w:hint="eastAsia" w:ascii="宋体" w:hAnsi="宋体" w:cs="宋体"/>
          <w:sz w:val="24"/>
          <w:szCs w:val="24"/>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widowControl/>
        <w:spacing w:line="360" w:lineRule="auto"/>
        <w:jc w:val="left"/>
        <w:rPr>
          <w:rFonts w:ascii="宋体" w:hAnsi="宋体" w:cs="宋体"/>
          <w:sz w:val="24"/>
          <w:szCs w:val="24"/>
        </w:rPr>
      </w:pPr>
      <w:r>
        <w:rPr>
          <w:rFonts w:hint="eastAsia" w:ascii="宋体" w:hAnsi="宋体" w:cs="宋体"/>
          <w:sz w:val="24"/>
          <w:szCs w:val="24"/>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widowControl/>
        <w:spacing w:line="360" w:lineRule="auto"/>
        <w:jc w:val="left"/>
        <w:rPr>
          <w:rFonts w:ascii="宋体" w:hAnsi="宋体" w:cs="宋体"/>
          <w:sz w:val="24"/>
          <w:szCs w:val="24"/>
        </w:rPr>
      </w:pPr>
      <w:r>
        <w:rPr>
          <w:rFonts w:hint="eastAsia" w:ascii="宋体" w:hAnsi="宋体" w:cs="宋体"/>
          <w:sz w:val="24"/>
          <w:szCs w:val="24"/>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cs="宋体"/>
          <w:b/>
          <w:sz w:val="24"/>
          <w:szCs w:val="24"/>
        </w:rPr>
        <w:t>投标无效</w:t>
      </w:r>
      <w:r>
        <w:rPr>
          <w:rFonts w:hint="eastAsia" w:ascii="宋体" w:hAnsi="宋体" w:cs="宋体"/>
          <w:sz w:val="24"/>
          <w:szCs w:val="24"/>
        </w:rPr>
        <w:t>。</w:t>
      </w:r>
    </w:p>
    <w:p>
      <w:pPr>
        <w:widowControl/>
        <w:spacing w:line="360" w:lineRule="auto"/>
        <w:jc w:val="left"/>
        <w:rPr>
          <w:rFonts w:ascii="宋体" w:hAnsi="宋体" w:cs="宋体"/>
          <w:sz w:val="24"/>
          <w:szCs w:val="24"/>
        </w:rPr>
      </w:pPr>
      <w:r>
        <w:rPr>
          <w:rFonts w:hint="eastAsia" w:ascii="宋体" w:hAnsi="宋体" w:cs="宋体"/>
          <w:sz w:val="24"/>
          <w:szCs w:val="24"/>
        </w:rPr>
        <w:t>5.2.4  非政府强制采购的节能产品或环境标志产品，依据品目清单和认证证书实施政府优先采购。优先采购的具体规定见第六章《评标程序、评标方法和评标标准》（本项目不涉及）。</w:t>
      </w:r>
    </w:p>
    <w:p>
      <w:pPr>
        <w:widowControl/>
        <w:spacing w:line="360" w:lineRule="auto"/>
        <w:ind w:firstLine="482"/>
        <w:jc w:val="left"/>
        <w:rPr>
          <w:rFonts w:ascii="宋体" w:hAnsi="宋体" w:cs="宋体"/>
          <w:b/>
          <w:sz w:val="24"/>
          <w:szCs w:val="24"/>
        </w:rPr>
      </w:pPr>
      <w:r>
        <w:rPr>
          <w:rFonts w:hint="eastAsia" w:ascii="宋体" w:hAnsi="宋体" w:cs="宋体"/>
          <w:b/>
          <w:sz w:val="24"/>
          <w:szCs w:val="24"/>
        </w:rPr>
        <w:t>6.  投标费用</w:t>
      </w:r>
    </w:p>
    <w:p>
      <w:pPr>
        <w:widowControl/>
        <w:snapToGrid w:val="0"/>
        <w:spacing w:line="360" w:lineRule="auto"/>
        <w:jc w:val="left"/>
        <w:rPr>
          <w:rFonts w:ascii="宋体" w:hAnsi="宋体" w:cs="宋体"/>
          <w:sz w:val="24"/>
          <w:szCs w:val="24"/>
        </w:rPr>
      </w:pPr>
      <w:bookmarkStart w:id="58" w:name="_Toc5217"/>
      <w:bookmarkStart w:id="59" w:name="_Toc17054"/>
      <w:bookmarkStart w:id="60" w:name="_Toc447223726"/>
      <w:bookmarkStart w:id="61" w:name="_Toc10960"/>
      <w:bookmarkStart w:id="62" w:name="_Toc32017"/>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pPr>
        <w:pStyle w:val="3"/>
        <w:spacing w:line="360" w:lineRule="auto"/>
        <w:ind w:firstLine="482"/>
        <w:rPr>
          <w:rFonts w:ascii="宋体" w:hAnsi="宋体"/>
          <w:sz w:val="24"/>
          <w:szCs w:val="24"/>
        </w:rPr>
      </w:pPr>
      <w:bookmarkStart w:id="63" w:name="_Toc100786138"/>
      <w:bookmarkStart w:id="64" w:name="_Toc92789199"/>
      <w:r>
        <w:rPr>
          <w:rFonts w:hint="eastAsia" w:ascii="宋体" w:hAnsi="宋体"/>
          <w:sz w:val="24"/>
          <w:szCs w:val="24"/>
        </w:rPr>
        <w:t>（二）招标文件</w:t>
      </w:r>
      <w:bookmarkEnd w:id="58"/>
      <w:bookmarkEnd w:id="59"/>
      <w:bookmarkEnd w:id="60"/>
      <w:bookmarkEnd w:id="61"/>
      <w:bookmarkEnd w:id="62"/>
      <w:bookmarkEnd w:id="63"/>
      <w:bookmarkEnd w:id="64"/>
    </w:p>
    <w:p>
      <w:pPr>
        <w:snapToGrid w:val="0"/>
        <w:spacing w:line="360" w:lineRule="auto"/>
        <w:ind w:firstLine="482"/>
        <w:rPr>
          <w:rFonts w:ascii="宋体" w:hAnsi="宋体" w:cs="宋体"/>
          <w:b/>
          <w:sz w:val="24"/>
          <w:szCs w:val="24"/>
        </w:rPr>
      </w:pPr>
      <w:r>
        <w:rPr>
          <w:rFonts w:hint="eastAsia" w:ascii="宋体" w:hAnsi="宋体" w:cs="宋体"/>
          <w:b/>
          <w:sz w:val="24"/>
          <w:szCs w:val="24"/>
        </w:rPr>
        <w:t>7.  招标文件的组成</w:t>
      </w:r>
    </w:p>
    <w:p>
      <w:pPr>
        <w:widowControl/>
        <w:snapToGrid w:val="0"/>
        <w:spacing w:line="360" w:lineRule="auto"/>
        <w:jc w:val="left"/>
        <w:rPr>
          <w:rFonts w:ascii="宋体" w:hAnsi="宋体" w:cs="宋体"/>
          <w:sz w:val="24"/>
          <w:szCs w:val="24"/>
        </w:rPr>
      </w:pPr>
      <w:r>
        <w:rPr>
          <w:rFonts w:hint="eastAsia" w:ascii="宋体" w:hAnsi="宋体" w:cs="宋体"/>
          <w:sz w:val="24"/>
          <w:szCs w:val="24"/>
        </w:rPr>
        <w:t>7.1  要求提供货物或服务的内容及详细技术需求、投标须知和合同条件等在招标文件中均有说明。</w:t>
      </w:r>
    </w:p>
    <w:p>
      <w:pPr>
        <w:widowControl/>
        <w:snapToGrid w:val="0"/>
        <w:spacing w:line="360" w:lineRule="auto"/>
        <w:ind w:firstLine="480"/>
        <w:rPr>
          <w:rFonts w:ascii="宋体" w:hAnsi="宋体" w:cs="宋体"/>
          <w:sz w:val="24"/>
          <w:szCs w:val="24"/>
        </w:rPr>
      </w:pPr>
      <w:r>
        <w:rPr>
          <w:rFonts w:hint="eastAsia" w:ascii="宋体" w:hAnsi="宋体" w:cs="宋体"/>
          <w:sz w:val="24"/>
          <w:szCs w:val="24"/>
        </w:rPr>
        <w:t>招标文件共七章，内容如下：</w:t>
      </w:r>
    </w:p>
    <w:p>
      <w:pPr>
        <w:widowControl/>
        <w:snapToGrid w:val="0"/>
        <w:spacing w:line="360" w:lineRule="auto"/>
        <w:ind w:firstLine="480"/>
        <w:rPr>
          <w:rFonts w:ascii="宋体" w:hAnsi="宋体" w:cs="宋体"/>
          <w:sz w:val="24"/>
          <w:szCs w:val="24"/>
        </w:rPr>
      </w:pPr>
      <w:r>
        <w:rPr>
          <w:rFonts w:hint="eastAsia" w:ascii="宋体" w:hAnsi="宋体" w:cs="宋体"/>
          <w:sz w:val="24"/>
          <w:szCs w:val="24"/>
        </w:rPr>
        <w:t>第一章  投标邀请</w:t>
      </w:r>
    </w:p>
    <w:p>
      <w:pPr>
        <w:widowControl/>
        <w:snapToGrid w:val="0"/>
        <w:spacing w:line="360" w:lineRule="auto"/>
        <w:ind w:firstLine="480"/>
        <w:rPr>
          <w:rFonts w:ascii="宋体" w:hAnsi="宋体" w:cs="宋体"/>
          <w:sz w:val="24"/>
          <w:szCs w:val="24"/>
        </w:rPr>
      </w:pPr>
      <w:r>
        <w:rPr>
          <w:rFonts w:hint="eastAsia" w:ascii="宋体" w:hAnsi="宋体" w:cs="宋体"/>
          <w:sz w:val="24"/>
          <w:szCs w:val="24"/>
        </w:rPr>
        <w:t>第二章  投标人须知</w:t>
      </w:r>
    </w:p>
    <w:p>
      <w:pPr>
        <w:widowControl/>
        <w:snapToGrid w:val="0"/>
        <w:spacing w:line="360" w:lineRule="auto"/>
        <w:ind w:firstLine="480"/>
        <w:rPr>
          <w:rFonts w:ascii="宋体" w:hAnsi="宋体" w:cs="宋体"/>
          <w:sz w:val="24"/>
          <w:szCs w:val="24"/>
        </w:rPr>
      </w:pPr>
      <w:r>
        <w:rPr>
          <w:rFonts w:hint="eastAsia" w:ascii="宋体" w:hAnsi="宋体" w:cs="宋体"/>
          <w:sz w:val="24"/>
          <w:szCs w:val="24"/>
        </w:rPr>
        <w:t>第三章  拟定签订的合同文本</w:t>
      </w:r>
    </w:p>
    <w:p>
      <w:pPr>
        <w:widowControl/>
        <w:snapToGrid w:val="0"/>
        <w:spacing w:line="360" w:lineRule="auto"/>
        <w:ind w:firstLine="480"/>
        <w:rPr>
          <w:rFonts w:ascii="宋体" w:hAnsi="宋体" w:cs="宋体"/>
          <w:sz w:val="24"/>
          <w:szCs w:val="24"/>
        </w:rPr>
      </w:pPr>
      <w:r>
        <w:rPr>
          <w:rFonts w:hint="eastAsia" w:ascii="宋体" w:hAnsi="宋体" w:cs="宋体"/>
          <w:sz w:val="24"/>
          <w:szCs w:val="24"/>
        </w:rPr>
        <w:t>第四章  投标文件格式</w:t>
      </w:r>
    </w:p>
    <w:p>
      <w:pPr>
        <w:widowControl/>
        <w:snapToGrid w:val="0"/>
        <w:spacing w:line="360" w:lineRule="auto"/>
        <w:ind w:firstLine="480"/>
        <w:rPr>
          <w:rFonts w:ascii="宋体" w:hAnsi="宋体" w:cs="宋体"/>
          <w:sz w:val="24"/>
          <w:szCs w:val="24"/>
        </w:rPr>
      </w:pPr>
      <w:r>
        <w:rPr>
          <w:rFonts w:hint="eastAsia" w:ascii="宋体" w:hAnsi="宋体" w:cs="宋体"/>
          <w:sz w:val="24"/>
          <w:szCs w:val="24"/>
        </w:rPr>
        <w:t>第五章  资格审查</w:t>
      </w:r>
    </w:p>
    <w:p>
      <w:pPr>
        <w:widowControl/>
        <w:snapToGrid w:val="0"/>
        <w:spacing w:line="360" w:lineRule="auto"/>
        <w:ind w:firstLine="480"/>
        <w:rPr>
          <w:rFonts w:ascii="宋体" w:hAnsi="宋体" w:cs="宋体"/>
          <w:sz w:val="24"/>
          <w:szCs w:val="24"/>
        </w:rPr>
      </w:pPr>
      <w:r>
        <w:rPr>
          <w:rFonts w:hint="eastAsia" w:ascii="宋体" w:hAnsi="宋体" w:cs="宋体"/>
          <w:sz w:val="24"/>
          <w:szCs w:val="24"/>
        </w:rPr>
        <w:t xml:space="preserve">第六章  </w:t>
      </w:r>
      <w:r>
        <w:rPr>
          <w:rFonts w:hint="eastAsia" w:ascii="宋体" w:hAnsi="宋体" w:cs="宋体"/>
          <w:sz w:val="24"/>
        </w:rPr>
        <w:t>评标程序、评标方法和评标标准</w:t>
      </w:r>
    </w:p>
    <w:p>
      <w:pPr>
        <w:widowControl/>
        <w:snapToGrid w:val="0"/>
        <w:spacing w:line="360" w:lineRule="auto"/>
        <w:ind w:firstLine="480"/>
        <w:rPr>
          <w:rFonts w:ascii="宋体" w:hAnsi="宋体" w:cs="宋体"/>
          <w:sz w:val="24"/>
          <w:szCs w:val="24"/>
        </w:rPr>
      </w:pPr>
      <w:r>
        <w:rPr>
          <w:rFonts w:hint="eastAsia" w:ascii="宋体" w:hAnsi="宋体" w:cs="宋体"/>
          <w:sz w:val="24"/>
          <w:szCs w:val="24"/>
        </w:rPr>
        <w:t>第七章  采购需求</w:t>
      </w:r>
    </w:p>
    <w:p>
      <w:pPr>
        <w:snapToGrid w:val="0"/>
        <w:spacing w:line="360" w:lineRule="auto"/>
        <w:rPr>
          <w:rFonts w:ascii="宋体" w:hAnsi="宋体" w:cs="宋体"/>
          <w:sz w:val="24"/>
          <w:szCs w:val="24"/>
        </w:rPr>
      </w:pPr>
      <w:r>
        <w:rPr>
          <w:rFonts w:hint="eastAsia" w:ascii="宋体" w:hAnsi="宋体" w:cs="宋体"/>
          <w:sz w:val="24"/>
          <w:szCs w:val="24"/>
        </w:rPr>
        <w:t>7.2   除7.1内容外，在递交投标文件截止时间15天前，采购人以书面形式发出的对招标文件的澄清或修改内容，均为招标文件的组成部分，对采购人和投标人起约束作用。</w:t>
      </w:r>
    </w:p>
    <w:p>
      <w:pPr>
        <w:snapToGrid w:val="0"/>
        <w:spacing w:line="360" w:lineRule="auto"/>
        <w:rPr>
          <w:rFonts w:ascii="宋体" w:hAnsi="宋体" w:cs="宋体"/>
          <w:bCs/>
          <w:sz w:val="24"/>
          <w:szCs w:val="24"/>
        </w:rPr>
      </w:pPr>
      <w:r>
        <w:rPr>
          <w:rFonts w:hint="eastAsia" w:ascii="宋体" w:hAnsi="宋体" w:cs="宋体"/>
          <w:sz w:val="24"/>
          <w:szCs w:val="24"/>
        </w:rPr>
        <w:t>7.3   投标人获取招标文件后，应仔细检查招标文件的所有内容，如有残缺等问题应在获</w:t>
      </w:r>
      <w:r>
        <w:rPr>
          <w:rFonts w:hint="eastAsia" w:ascii="宋体" w:hAnsi="宋体" w:cs="宋体"/>
          <w:bCs/>
          <w:sz w:val="24"/>
          <w:szCs w:val="24"/>
        </w:rPr>
        <w:t>得招标文件3日内向采购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napToGrid w:val="0"/>
        <w:spacing w:line="360" w:lineRule="auto"/>
        <w:rPr>
          <w:rFonts w:ascii="宋体" w:hAnsi="宋体" w:cs="宋体"/>
          <w:bCs/>
          <w:sz w:val="24"/>
          <w:szCs w:val="24"/>
        </w:rPr>
      </w:pPr>
      <w:r>
        <w:rPr>
          <w:rFonts w:hint="eastAsia" w:ascii="宋体" w:hAnsi="宋体" w:cs="宋体"/>
          <w:bCs/>
          <w:sz w:val="24"/>
          <w:szCs w:val="24"/>
        </w:rPr>
        <w:t>7.4  投标人应认真阅读招标文件的全部内容。投标人应按照招标文件要求提交投标文件并保证所提供的全部资料的真实性，并对招标文件做出实质性响应，否则</w:t>
      </w:r>
      <w:r>
        <w:rPr>
          <w:rFonts w:hint="eastAsia" w:ascii="宋体" w:hAnsi="宋体" w:cs="宋体"/>
          <w:b/>
          <w:bCs/>
          <w:sz w:val="24"/>
          <w:szCs w:val="24"/>
        </w:rPr>
        <w:t>投标无效</w:t>
      </w:r>
      <w:r>
        <w:rPr>
          <w:rFonts w:hint="eastAsia" w:ascii="宋体" w:hAnsi="宋体" w:cs="宋体"/>
          <w:bCs/>
          <w:sz w:val="24"/>
          <w:szCs w:val="24"/>
        </w:rPr>
        <w:t>。</w:t>
      </w:r>
    </w:p>
    <w:p>
      <w:pPr>
        <w:snapToGrid w:val="0"/>
        <w:spacing w:line="360" w:lineRule="auto"/>
        <w:ind w:firstLine="482"/>
        <w:rPr>
          <w:rFonts w:ascii="宋体" w:hAnsi="宋体" w:cs="宋体"/>
          <w:sz w:val="24"/>
          <w:szCs w:val="24"/>
        </w:rPr>
      </w:pPr>
      <w:r>
        <w:rPr>
          <w:rFonts w:hint="eastAsia" w:ascii="宋体" w:hAnsi="宋体" w:cs="宋体"/>
          <w:b/>
          <w:sz w:val="24"/>
          <w:szCs w:val="24"/>
        </w:rPr>
        <w:t>8.  招标文件的澄清或修改</w:t>
      </w:r>
    </w:p>
    <w:p>
      <w:pPr>
        <w:snapToGrid w:val="0"/>
        <w:spacing w:line="360" w:lineRule="auto"/>
        <w:rPr>
          <w:rFonts w:ascii="宋体" w:hAnsi="宋体" w:cs="宋体"/>
          <w:sz w:val="24"/>
        </w:rPr>
      </w:pPr>
      <w:r>
        <w:rPr>
          <w:rFonts w:hint="eastAsia" w:ascii="宋体" w:hAnsi="宋体" w:cs="宋体"/>
          <w:sz w:val="24"/>
          <w:szCs w:val="24"/>
        </w:rPr>
        <w:t xml:space="preserve">8.1  </w:t>
      </w: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pPr>
        <w:snapToGrid w:val="0"/>
        <w:spacing w:line="360" w:lineRule="auto"/>
        <w:rPr>
          <w:rFonts w:ascii="宋体" w:hAnsi="宋体" w:cs="宋体"/>
          <w:sz w:val="24"/>
          <w:szCs w:val="24"/>
        </w:rPr>
      </w:pPr>
      <w:r>
        <w:rPr>
          <w:rFonts w:hint="eastAsia" w:ascii="宋体" w:hAnsi="宋体" w:cs="宋体"/>
          <w:sz w:val="24"/>
          <w:szCs w:val="24"/>
        </w:rPr>
        <w:t>8.2  上述书面通知，按照获取招标文件的潜在投标人提供的联系方式发出，因提供的信息有误导致通知延迟或无法通知的，采购人或采购代理机构不承担责任。</w:t>
      </w:r>
    </w:p>
    <w:p>
      <w:pPr>
        <w:snapToGrid w:val="0"/>
        <w:spacing w:line="360" w:lineRule="auto"/>
        <w:rPr>
          <w:rFonts w:ascii="宋体" w:hAnsi="宋体" w:cs="宋体"/>
          <w:sz w:val="24"/>
          <w:szCs w:val="24"/>
        </w:rPr>
      </w:pPr>
      <w:r>
        <w:rPr>
          <w:rFonts w:hint="eastAsia" w:ascii="宋体" w:hAnsi="宋体" w:cs="宋体"/>
          <w:sz w:val="24"/>
          <w:szCs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snapToGrid w:val="0"/>
        <w:spacing w:line="360" w:lineRule="auto"/>
        <w:rPr>
          <w:rFonts w:ascii="宋体" w:hAnsi="宋体" w:cs="宋体"/>
          <w:sz w:val="24"/>
          <w:szCs w:val="24"/>
        </w:rPr>
      </w:pPr>
      <w:r>
        <w:rPr>
          <w:rFonts w:hint="eastAsia" w:ascii="宋体" w:hAnsi="宋体" w:cs="宋体"/>
          <w:sz w:val="24"/>
          <w:szCs w:val="24"/>
        </w:rPr>
        <w:t>8.4  潜在投标人在收到书面澄清文件后应于24小时内，以书面形式给予确认，该澄清作为招标文件的组成部分，具有约束作用。</w:t>
      </w:r>
    </w:p>
    <w:p>
      <w:pPr>
        <w:snapToGrid w:val="0"/>
        <w:spacing w:line="360" w:lineRule="auto"/>
        <w:rPr>
          <w:rFonts w:ascii="宋体" w:hAnsi="宋体" w:cs="宋体"/>
          <w:sz w:val="24"/>
          <w:szCs w:val="24"/>
        </w:rPr>
      </w:pPr>
      <w:r>
        <w:rPr>
          <w:rFonts w:hint="eastAsia" w:ascii="宋体" w:hAnsi="宋体" w:cs="宋体"/>
          <w:sz w:val="24"/>
          <w:szCs w:val="24"/>
        </w:rPr>
        <w:t>8.5  招标文件的澄清、修改、补充等内容均以书面形式明确的内容为准。当招标文件、招标文件的澄清、修改、补充等在同一内容的表述上不一致时，以最后发出的书面文件为准。</w:t>
      </w:r>
    </w:p>
    <w:p>
      <w:pPr>
        <w:pStyle w:val="3"/>
        <w:spacing w:line="360" w:lineRule="auto"/>
        <w:ind w:firstLine="482"/>
        <w:rPr>
          <w:rFonts w:ascii="宋体" w:hAnsi="宋体"/>
          <w:sz w:val="24"/>
          <w:szCs w:val="24"/>
        </w:rPr>
      </w:pPr>
      <w:bookmarkStart w:id="65" w:name="_Toc12216"/>
      <w:bookmarkStart w:id="66" w:name="_Toc92789200"/>
      <w:bookmarkStart w:id="67" w:name="_Toc1563"/>
      <w:bookmarkStart w:id="68" w:name="_Toc32145"/>
      <w:bookmarkStart w:id="69" w:name="_Toc9354"/>
      <w:bookmarkStart w:id="70" w:name="_Toc100786139"/>
      <w:bookmarkStart w:id="71" w:name="_Toc447223729"/>
      <w:r>
        <w:rPr>
          <w:rFonts w:hint="eastAsia" w:ascii="宋体" w:hAnsi="宋体"/>
          <w:sz w:val="24"/>
          <w:szCs w:val="24"/>
        </w:rPr>
        <w:t>（三）投标文件的编制</w:t>
      </w:r>
      <w:bookmarkEnd w:id="65"/>
      <w:bookmarkEnd w:id="66"/>
      <w:bookmarkEnd w:id="67"/>
      <w:bookmarkEnd w:id="68"/>
      <w:bookmarkEnd w:id="69"/>
      <w:bookmarkEnd w:id="70"/>
      <w:bookmarkEnd w:id="71"/>
    </w:p>
    <w:p>
      <w:pPr>
        <w:snapToGrid w:val="0"/>
        <w:spacing w:line="360" w:lineRule="auto"/>
        <w:ind w:firstLine="482"/>
        <w:rPr>
          <w:rFonts w:ascii="宋体" w:hAnsi="宋体" w:cs="宋体"/>
          <w:b/>
          <w:sz w:val="24"/>
          <w:szCs w:val="24"/>
        </w:rPr>
      </w:pPr>
      <w:bookmarkStart w:id="72" w:name="_Toc445916559"/>
      <w:bookmarkStart w:id="73" w:name="_Toc17465"/>
      <w:bookmarkStart w:id="74" w:name="_Toc447223730"/>
      <w:bookmarkStart w:id="75" w:name="_Toc445984929"/>
      <w:bookmarkStart w:id="76" w:name="_Toc445845729"/>
      <w:bookmarkStart w:id="77" w:name="_Toc6894"/>
      <w:bookmarkStart w:id="78" w:name="_Toc30455"/>
      <w:bookmarkStart w:id="79" w:name="_Toc445903396"/>
      <w:r>
        <w:rPr>
          <w:rFonts w:hint="eastAsia" w:ascii="宋体" w:hAnsi="宋体" w:cs="宋体"/>
          <w:b/>
          <w:sz w:val="24"/>
          <w:szCs w:val="24"/>
        </w:rPr>
        <w:t>9  投标范围及投标文件中计量单位、投标语言的使用</w:t>
      </w:r>
      <w:bookmarkEnd w:id="72"/>
      <w:bookmarkEnd w:id="73"/>
      <w:bookmarkEnd w:id="74"/>
      <w:bookmarkEnd w:id="75"/>
      <w:bookmarkEnd w:id="76"/>
      <w:bookmarkEnd w:id="77"/>
      <w:bookmarkEnd w:id="78"/>
      <w:bookmarkEnd w:id="79"/>
    </w:p>
    <w:p>
      <w:pPr>
        <w:snapToGrid w:val="0"/>
        <w:spacing w:line="360" w:lineRule="auto"/>
        <w:rPr>
          <w:rFonts w:ascii="宋体" w:hAnsi="宋体" w:cs="宋体"/>
          <w:sz w:val="24"/>
          <w:szCs w:val="24"/>
        </w:rPr>
      </w:pPr>
      <w:r>
        <w:rPr>
          <w:rFonts w:hint="eastAsia" w:ascii="宋体" w:hAnsi="宋体" w:cs="宋体"/>
          <w:sz w:val="24"/>
          <w:szCs w:val="24"/>
        </w:rPr>
        <w:t xml:space="preserve">9.1  </w:t>
      </w:r>
      <w:r>
        <w:rPr>
          <w:rFonts w:hint="eastAsia" w:ascii="宋体" w:hAnsi="宋体" w:cs="宋体"/>
          <w:sz w:val="24"/>
        </w:rPr>
        <w:t>本项目如划分采购包，投标人可以对本项目的其中一个采购包进行投标，也可同时对多个采购包进行投标。投标人应当对所投采购包对应第七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snapToGrid w:val="0"/>
        <w:spacing w:line="360" w:lineRule="auto"/>
        <w:rPr>
          <w:rFonts w:ascii="宋体" w:hAnsi="宋体" w:cs="宋体"/>
          <w:sz w:val="24"/>
          <w:szCs w:val="24"/>
        </w:rPr>
      </w:pPr>
      <w:r>
        <w:rPr>
          <w:rFonts w:hint="eastAsia" w:ascii="宋体" w:hAnsi="宋体" w:cs="宋体"/>
          <w:sz w:val="24"/>
          <w:szCs w:val="24"/>
        </w:rPr>
        <w:t xml:space="preserve">9.2  </w:t>
      </w:r>
      <w:r>
        <w:rPr>
          <w:rFonts w:hint="eastAsia" w:ascii="宋体" w:hAnsi="宋体" w:cs="宋体"/>
          <w:sz w:val="24"/>
        </w:rPr>
        <w:t>除招标文件有特殊要求外，本项目投标所使用的计量单位，应采用中华人民共和国法定计量单位。</w:t>
      </w:r>
    </w:p>
    <w:p>
      <w:pPr>
        <w:snapToGrid w:val="0"/>
        <w:spacing w:line="360" w:lineRule="auto"/>
        <w:rPr>
          <w:rFonts w:ascii="宋体" w:hAnsi="宋体" w:cs="宋体"/>
          <w:sz w:val="24"/>
          <w:szCs w:val="24"/>
        </w:rPr>
      </w:pPr>
      <w:r>
        <w:rPr>
          <w:rFonts w:hint="eastAsia" w:ascii="宋体" w:hAnsi="宋体" w:cs="宋体"/>
          <w:sz w:val="24"/>
          <w:szCs w:val="24"/>
        </w:rPr>
        <w:t xml:space="preserve">9.3  </w:t>
      </w: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snapToGrid w:val="0"/>
        <w:spacing w:line="360" w:lineRule="auto"/>
        <w:ind w:firstLine="482"/>
        <w:rPr>
          <w:rFonts w:ascii="宋体" w:hAnsi="宋体" w:cs="宋体"/>
          <w:b/>
          <w:sz w:val="24"/>
          <w:szCs w:val="24"/>
        </w:rPr>
      </w:pPr>
      <w:bookmarkStart w:id="80" w:name="_Toc10767"/>
      <w:bookmarkStart w:id="81" w:name="_Toc24300"/>
      <w:bookmarkStart w:id="82" w:name="_Toc445845730"/>
      <w:bookmarkStart w:id="83" w:name="_Toc447223731"/>
      <w:bookmarkStart w:id="84" w:name="_Toc445984930"/>
      <w:bookmarkStart w:id="85" w:name="_Toc445916560"/>
      <w:bookmarkStart w:id="86" w:name="_Toc445903397"/>
      <w:bookmarkStart w:id="87" w:name="_Toc4348"/>
      <w:r>
        <w:rPr>
          <w:rFonts w:hint="eastAsia" w:ascii="宋体" w:hAnsi="宋体" w:cs="宋体"/>
          <w:b/>
          <w:sz w:val="24"/>
          <w:szCs w:val="24"/>
        </w:rPr>
        <w:t>10.  投标文件的组成</w:t>
      </w:r>
      <w:bookmarkEnd w:id="80"/>
      <w:bookmarkEnd w:id="81"/>
      <w:bookmarkEnd w:id="82"/>
      <w:bookmarkEnd w:id="83"/>
      <w:bookmarkEnd w:id="84"/>
      <w:bookmarkEnd w:id="85"/>
      <w:bookmarkEnd w:id="86"/>
      <w:bookmarkEnd w:id="87"/>
    </w:p>
    <w:p>
      <w:pPr>
        <w:snapToGrid w:val="0"/>
        <w:spacing w:line="360" w:lineRule="auto"/>
        <w:rPr>
          <w:rFonts w:ascii="宋体" w:hAnsi="宋体" w:cs="宋体"/>
          <w:sz w:val="24"/>
          <w:szCs w:val="24"/>
        </w:rPr>
      </w:pPr>
      <w:r>
        <w:rPr>
          <w:rFonts w:hint="eastAsia" w:ascii="宋体" w:hAnsi="宋体" w:cs="宋体"/>
          <w:sz w:val="24"/>
          <w:szCs w:val="24"/>
        </w:rPr>
        <w:t>10.1  投标人应完整地按招标文件提供的投标文件格式填写投标文件，并将全部内容胶装成册。投标文件应包括以下内容：</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附件1——投标函（实质性格式）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附件2——开标一览表（实质性格式）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附件3——投标分项报价表</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附件4——采购需求偏离表（实质性格式）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附件5——合同条款偏离表（实质性格式）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附件6——证明文件</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附件6-1  营业执照等证明文件（复印件并加盖投标人公章）</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附件6-2  投标人资格声明书（实质性格式）</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附件6-3  落实政府采购政策需满足的资格要求</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附件6-4  法定代表人授权委托书（实质性格式）</w:t>
      </w:r>
    </w:p>
    <w:p>
      <w:pPr>
        <w:snapToGrid w:val="0"/>
        <w:spacing w:line="360" w:lineRule="auto"/>
        <w:ind w:firstLine="1680" w:firstLineChars="700"/>
        <w:rPr>
          <w:rFonts w:ascii="宋体" w:hAnsi="宋体" w:cs="宋体"/>
          <w:sz w:val="24"/>
          <w:szCs w:val="24"/>
        </w:rPr>
      </w:pPr>
      <w:r>
        <w:rPr>
          <w:rFonts w:hint="eastAsia" w:ascii="宋体" w:hAnsi="宋体" w:cs="宋体"/>
          <w:bCs/>
          <w:sz w:val="24"/>
          <w:szCs w:val="24"/>
        </w:rPr>
        <w:t>附件6-5  招标文件要求的其他证明材料</w:t>
      </w:r>
    </w:p>
    <w:p>
      <w:pPr>
        <w:snapToGrid w:val="0"/>
        <w:spacing w:line="360" w:lineRule="auto"/>
        <w:ind w:firstLine="900" w:firstLineChars="375"/>
        <w:rPr>
          <w:rFonts w:ascii="宋体" w:hAnsi="宋体" w:cs="宋体"/>
          <w:bCs/>
          <w:sz w:val="24"/>
          <w:szCs w:val="24"/>
        </w:rPr>
      </w:pPr>
      <w:r>
        <w:rPr>
          <w:rFonts w:hint="eastAsia" w:ascii="宋体" w:hAnsi="宋体" w:cs="宋体"/>
          <w:bCs/>
          <w:sz w:val="24"/>
          <w:szCs w:val="24"/>
        </w:rPr>
        <w:t>注：以上附件6-1至附件6-3作为资格审查文件。</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注：证明文件中划“*”文件是必须提供的资料，缺一项视为无效投标。</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附件7——政府采购投标担保函（实质性格式）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附件8——履约保证金保函格式（中标后开具）</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附件9——节能产品、环境标志产品的证明材料（如有）</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附件10——业绩证明材料</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附件11——拟投入本项目的项目组人员配备情况</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附件12——服务方案</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附件13——具备履行合同所必需的设备和专业技术能力的证明材料</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附件14——招标文件要求提供的其他资料</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附件15——投标人认为有必要提交的其他文件</w:t>
      </w:r>
    </w:p>
    <w:p>
      <w:pPr>
        <w:snapToGrid w:val="0"/>
        <w:spacing w:line="360" w:lineRule="auto"/>
        <w:rPr>
          <w:rFonts w:ascii="宋体" w:hAnsi="宋体" w:cs="宋体"/>
          <w:sz w:val="24"/>
          <w:szCs w:val="24"/>
        </w:rPr>
      </w:pPr>
      <w:r>
        <w:rPr>
          <w:rFonts w:hint="eastAsia" w:ascii="宋体" w:hAnsi="宋体" w:cs="宋体"/>
          <w:sz w:val="24"/>
          <w:szCs w:val="24"/>
        </w:rPr>
        <w:t>10.2  投标文件包括本须知第10条中规定的内容，投标人提交的投标文件应当使用招标文件所提供的投标文件全部格式，</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。未标记“实质性格式”的文件和招标文件未提供格式的内容，可由投标人自行编写或扩展</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10.3  第六章《评标程序、评标方法和评标标准》中涉及的证明文件。</w:t>
      </w:r>
    </w:p>
    <w:p>
      <w:pPr>
        <w:snapToGrid w:val="0"/>
        <w:spacing w:line="360" w:lineRule="auto"/>
        <w:rPr>
          <w:rFonts w:ascii="宋体" w:hAnsi="宋体" w:cs="宋体"/>
          <w:sz w:val="24"/>
          <w:szCs w:val="24"/>
        </w:rPr>
      </w:pPr>
      <w:r>
        <w:rPr>
          <w:rFonts w:hint="eastAsia" w:ascii="宋体" w:hAnsi="宋体" w:cs="宋体"/>
          <w:sz w:val="24"/>
          <w:szCs w:val="24"/>
        </w:rPr>
        <w:t>10.4  对照第七章《采购需求》，说明所提供货物或服务已对第七章《采购需求》做出了响应，或申明与第七章《采购需求》的偏差和例外。如第七章《采购需求》中要求提供证明文件的，投标人应当按具体要求提供证明文件。</w:t>
      </w:r>
    </w:p>
    <w:p>
      <w:pPr>
        <w:snapToGrid w:val="0"/>
        <w:spacing w:line="360" w:lineRule="auto"/>
        <w:rPr>
          <w:rFonts w:ascii="宋体" w:hAnsi="宋体" w:cs="宋体"/>
          <w:sz w:val="24"/>
          <w:szCs w:val="24"/>
        </w:rPr>
      </w:pPr>
      <w:r>
        <w:rPr>
          <w:rFonts w:hint="eastAsia" w:ascii="宋体" w:hAnsi="宋体" w:cs="宋体"/>
          <w:sz w:val="24"/>
          <w:szCs w:val="24"/>
        </w:rPr>
        <w:t>10.5  投标人认为应附的其他材料。</w:t>
      </w:r>
    </w:p>
    <w:p>
      <w:pPr>
        <w:pStyle w:val="16"/>
        <w:snapToGrid w:val="0"/>
        <w:spacing w:line="360" w:lineRule="auto"/>
        <w:ind w:firstLine="482"/>
        <w:rPr>
          <w:rFonts w:ascii="宋体" w:hAnsi="宋体" w:cs="宋体"/>
          <w:bCs/>
          <w:sz w:val="24"/>
        </w:rPr>
      </w:pPr>
      <w:bookmarkStart w:id="88" w:name="_Toc17633"/>
      <w:bookmarkStart w:id="89" w:name="_Toc445845732"/>
      <w:bookmarkStart w:id="90" w:name="_Toc31469"/>
      <w:bookmarkStart w:id="91" w:name="_Toc445984932"/>
      <w:bookmarkStart w:id="92" w:name="_Toc447223733"/>
      <w:bookmarkStart w:id="93" w:name="_Toc445903399"/>
      <w:bookmarkStart w:id="94" w:name="_Toc7752"/>
      <w:bookmarkStart w:id="95" w:name="_Toc445916562"/>
      <w:r>
        <w:rPr>
          <w:rFonts w:hint="eastAsia" w:ascii="宋体" w:hAnsi="宋体" w:cs="宋体"/>
          <w:b/>
          <w:bCs/>
          <w:sz w:val="24"/>
        </w:rPr>
        <w:t>11.  投标报价</w:t>
      </w:r>
      <w:bookmarkEnd w:id="88"/>
      <w:bookmarkEnd w:id="89"/>
      <w:bookmarkEnd w:id="90"/>
      <w:bookmarkEnd w:id="91"/>
      <w:bookmarkEnd w:id="92"/>
      <w:bookmarkEnd w:id="93"/>
      <w:bookmarkEnd w:id="94"/>
      <w:bookmarkEnd w:id="95"/>
    </w:p>
    <w:p>
      <w:pPr>
        <w:snapToGrid w:val="0"/>
        <w:spacing w:line="360" w:lineRule="auto"/>
        <w:rPr>
          <w:rFonts w:ascii="宋体" w:hAnsi="宋体" w:cs="宋体"/>
          <w:sz w:val="24"/>
          <w:szCs w:val="24"/>
        </w:rPr>
      </w:pPr>
      <w:r>
        <w:rPr>
          <w:rFonts w:hint="eastAsia" w:ascii="宋体" w:hAnsi="宋体" w:cs="宋体"/>
          <w:sz w:val="24"/>
          <w:szCs w:val="24"/>
        </w:rPr>
        <w:t xml:space="preserve">11.1  </w:t>
      </w:r>
      <w:r>
        <w:rPr>
          <w:rFonts w:hint="eastAsia" w:ascii="宋体" w:hAnsi="宋体" w:cs="宋体"/>
          <w:sz w:val="24"/>
        </w:rPr>
        <w:t>所有投标均以人民币报价</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 xml:space="preserve">11.2  </w:t>
      </w:r>
      <w:r>
        <w:rPr>
          <w:rFonts w:hint="eastAsia" w:ascii="宋体" w:hAnsi="宋体" w:cs="宋体"/>
          <w:sz w:val="24"/>
        </w:rPr>
        <w:t>投标人的报价应包括为完成本项目所发生的一切费用和税费，招标人将不</w:t>
      </w:r>
      <w:r>
        <w:rPr>
          <w:rFonts w:hint="eastAsia" w:ascii="宋体" w:hAnsi="宋体" w:cs="宋体"/>
          <w:sz w:val="24"/>
          <w:szCs w:val="24"/>
        </w:rPr>
        <w:t>再支付报价以外的任何费用。投标人的报价应包括但不限于下列内容，《投标人须知资料表》中有特殊规定的，从其规定。</w:t>
      </w:r>
    </w:p>
    <w:p>
      <w:pPr>
        <w:snapToGrid w:val="0"/>
        <w:spacing w:line="360" w:lineRule="auto"/>
        <w:rPr>
          <w:rFonts w:ascii="宋体" w:hAnsi="宋体" w:cs="宋体"/>
          <w:sz w:val="24"/>
          <w:szCs w:val="24"/>
        </w:rPr>
      </w:pPr>
      <w:r>
        <w:rPr>
          <w:rFonts w:hint="eastAsia" w:ascii="宋体" w:hAnsi="宋体" w:cs="宋体"/>
          <w:sz w:val="24"/>
          <w:szCs w:val="24"/>
        </w:rPr>
        <w:t>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snapToGrid w:val="0"/>
        <w:spacing w:line="360" w:lineRule="auto"/>
        <w:rPr>
          <w:rFonts w:ascii="宋体" w:hAnsi="宋体" w:cs="宋体"/>
          <w:sz w:val="24"/>
          <w:szCs w:val="24"/>
        </w:rPr>
      </w:pPr>
      <w:r>
        <w:rPr>
          <w:rFonts w:hint="eastAsia" w:ascii="宋体" w:hAnsi="宋体" w:cs="宋体"/>
          <w:sz w:val="24"/>
          <w:szCs w:val="24"/>
        </w:rPr>
        <w:t>11.2.2  按照招标文件要求完成本项目的全部相关服务费用。</w:t>
      </w:r>
    </w:p>
    <w:p>
      <w:pPr>
        <w:snapToGrid w:val="0"/>
        <w:spacing w:line="360" w:lineRule="auto"/>
        <w:rPr>
          <w:rFonts w:ascii="宋体" w:hAnsi="宋体" w:cs="宋体"/>
          <w:sz w:val="24"/>
          <w:szCs w:val="24"/>
        </w:rPr>
      </w:pPr>
      <w:r>
        <w:rPr>
          <w:rFonts w:hint="eastAsia" w:ascii="宋体" w:hAnsi="宋体" w:cs="宋体"/>
          <w:sz w:val="24"/>
          <w:szCs w:val="24"/>
        </w:rPr>
        <w:t>11.3  因不可抗力或特殊原因，采购人可能会调整计划，投标人应在投标报价中考虑此类情况。</w:t>
      </w:r>
    </w:p>
    <w:p>
      <w:pPr>
        <w:pStyle w:val="16"/>
        <w:snapToGrid w:val="0"/>
        <w:spacing w:line="360" w:lineRule="auto"/>
        <w:rPr>
          <w:rFonts w:ascii="宋体" w:hAnsi="宋体" w:cs="宋体"/>
          <w:b/>
          <w:sz w:val="24"/>
        </w:rPr>
      </w:pPr>
      <w:r>
        <w:rPr>
          <w:rFonts w:hint="eastAsia" w:ascii="宋体" w:hAnsi="宋体" w:cs="宋体"/>
          <w:sz w:val="24"/>
        </w:rPr>
        <w:t>11.4  投标人不能提供任何有选择性或可调整的报价，否则其</w:t>
      </w:r>
      <w:r>
        <w:rPr>
          <w:rFonts w:hint="eastAsia" w:ascii="宋体" w:hAnsi="宋体" w:cs="宋体"/>
          <w:b/>
          <w:sz w:val="24"/>
        </w:rPr>
        <w:t>投标无效。</w:t>
      </w:r>
    </w:p>
    <w:p>
      <w:pPr>
        <w:pStyle w:val="16"/>
        <w:snapToGrid w:val="0"/>
        <w:spacing w:line="360" w:lineRule="auto"/>
        <w:rPr>
          <w:rFonts w:ascii="宋体" w:hAnsi="宋体" w:cs="宋体"/>
          <w:sz w:val="24"/>
        </w:rPr>
      </w:pPr>
      <w:r>
        <w:rPr>
          <w:rFonts w:hint="eastAsia" w:ascii="宋体" w:hAnsi="宋体" w:cs="宋体"/>
          <w:sz w:val="24"/>
        </w:rPr>
        <w:t>11.5  最低投标报价不作为中标的唯一保证。</w:t>
      </w:r>
    </w:p>
    <w:p>
      <w:pPr>
        <w:pStyle w:val="16"/>
        <w:snapToGrid w:val="0"/>
        <w:spacing w:line="360" w:lineRule="auto"/>
        <w:rPr>
          <w:rFonts w:ascii="宋体" w:hAnsi="宋体" w:cs="宋体"/>
          <w:bCs/>
          <w:sz w:val="24"/>
        </w:rPr>
      </w:pPr>
      <w:r>
        <w:rPr>
          <w:rFonts w:hint="eastAsia" w:ascii="宋体" w:hAnsi="宋体" w:cs="宋体"/>
          <w:sz w:val="24"/>
        </w:rPr>
        <w:t>11.6  采购人不得向供应商索要或者接受其给予的赠品、回扣或者与采购无关的其他商品、服务。</w:t>
      </w:r>
    </w:p>
    <w:p>
      <w:pPr>
        <w:pStyle w:val="16"/>
        <w:snapToGrid w:val="0"/>
        <w:spacing w:line="360" w:lineRule="auto"/>
        <w:ind w:firstLine="482"/>
        <w:rPr>
          <w:rFonts w:ascii="宋体" w:hAnsi="宋体" w:cs="宋体"/>
          <w:b/>
          <w:bCs/>
          <w:sz w:val="24"/>
        </w:rPr>
      </w:pPr>
      <w:bookmarkStart w:id="96" w:name="_Toc2335"/>
      <w:bookmarkStart w:id="97" w:name="_Toc445845733"/>
      <w:bookmarkStart w:id="98" w:name="_Toc445916563"/>
      <w:bookmarkStart w:id="99" w:name="_Toc445984933"/>
      <w:bookmarkStart w:id="100" w:name="_Toc14295"/>
      <w:bookmarkStart w:id="101" w:name="_Toc447223734"/>
      <w:bookmarkStart w:id="102" w:name="_Toc27300"/>
      <w:bookmarkStart w:id="103" w:name="_Toc445903400"/>
      <w:r>
        <w:rPr>
          <w:rFonts w:hint="eastAsia" w:ascii="宋体" w:hAnsi="宋体" w:cs="宋体"/>
          <w:b/>
          <w:bCs/>
          <w:sz w:val="24"/>
        </w:rPr>
        <w:t>12.  投标保证金</w:t>
      </w:r>
      <w:bookmarkEnd w:id="96"/>
      <w:bookmarkEnd w:id="97"/>
      <w:bookmarkEnd w:id="98"/>
      <w:bookmarkEnd w:id="99"/>
      <w:bookmarkEnd w:id="100"/>
      <w:bookmarkEnd w:id="101"/>
      <w:bookmarkEnd w:id="102"/>
      <w:bookmarkEnd w:id="103"/>
    </w:p>
    <w:p>
      <w:pPr>
        <w:pStyle w:val="16"/>
        <w:snapToGrid w:val="0"/>
        <w:spacing w:line="360" w:lineRule="auto"/>
        <w:rPr>
          <w:rFonts w:ascii="宋体" w:hAnsi="宋体" w:cs="宋体"/>
          <w:bCs/>
          <w:sz w:val="24"/>
        </w:rPr>
      </w:pPr>
      <w:r>
        <w:rPr>
          <w:rFonts w:hint="eastAsia" w:ascii="宋体" w:hAnsi="宋体" w:cs="宋体"/>
          <w:bCs/>
          <w:sz w:val="24"/>
        </w:rPr>
        <w:t xml:space="preserve">12.1  </w:t>
      </w:r>
      <w:bookmarkStart w:id="104" w:name="_Ref467306302"/>
      <w:r>
        <w:rPr>
          <w:rFonts w:hint="eastAsia" w:ascii="宋体" w:hAnsi="宋体" w:cs="宋体"/>
          <w:bCs/>
          <w:sz w:val="24"/>
        </w:rPr>
        <w:t>投标人应按《投标人须知资料表》中规定的金额及要求交纳投标保证金</w:t>
      </w:r>
      <w:bookmarkEnd w:id="104"/>
      <w:r>
        <w:rPr>
          <w:rFonts w:hint="eastAsia" w:ascii="宋体" w:hAnsi="宋体" w:cs="宋体"/>
          <w:bCs/>
          <w:sz w:val="24"/>
        </w:rPr>
        <w:t>，并作为其投标的一部分。</w:t>
      </w:r>
    </w:p>
    <w:p>
      <w:pPr>
        <w:pStyle w:val="16"/>
        <w:snapToGrid w:val="0"/>
        <w:spacing w:line="360" w:lineRule="auto"/>
        <w:rPr>
          <w:rFonts w:ascii="宋体" w:hAnsi="宋体" w:cs="宋体"/>
          <w:bCs/>
          <w:sz w:val="24"/>
        </w:rPr>
      </w:pPr>
      <w:r>
        <w:rPr>
          <w:rFonts w:hint="eastAsia" w:ascii="宋体" w:hAnsi="宋体" w:cs="宋体"/>
          <w:bCs/>
          <w:sz w:val="24"/>
        </w:rPr>
        <w:t xml:space="preserve">12.2  </w:t>
      </w:r>
      <w:r>
        <w:rPr>
          <w:rFonts w:hint="eastAsia" w:ascii="宋体" w:hAnsi="宋体" w:cs="宋体"/>
          <w:sz w:val="24"/>
        </w:rPr>
        <w:t>交纳投标保证金可采用的形式：政府采购法律法规接受的支票、汇票、本票、网上银行支付或者金融机构、担保机构出具的保函等非现金形式</w:t>
      </w:r>
      <w:r>
        <w:rPr>
          <w:rFonts w:hint="eastAsia" w:ascii="宋体" w:hAnsi="宋体" w:cs="宋体"/>
          <w:bCs/>
          <w:sz w:val="24"/>
        </w:rPr>
        <w:t>。</w:t>
      </w:r>
      <w:r>
        <w:rPr>
          <w:rFonts w:hint="eastAsia" w:ascii="宋体" w:hAnsi="宋体" w:cs="宋体"/>
          <w:sz w:val="24"/>
        </w:rPr>
        <w:t>投标保证金票据的出票单位应为参加投标的投标人本身，不得以个人名义汇入。任何从个人账户转出的投标保证金视同无效。</w:t>
      </w:r>
    </w:p>
    <w:p>
      <w:pPr>
        <w:pStyle w:val="16"/>
        <w:snapToGrid w:val="0"/>
        <w:spacing w:line="360" w:lineRule="auto"/>
        <w:rPr>
          <w:rFonts w:ascii="宋体" w:hAnsi="宋体" w:cs="宋体"/>
          <w:bCs/>
          <w:sz w:val="24"/>
        </w:rPr>
      </w:pPr>
      <w:r>
        <w:rPr>
          <w:rFonts w:hint="eastAsia" w:ascii="宋体" w:hAnsi="宋体" w:cs="宋体"/>
          <w:bCs/>
          <w:sz w:val="24"/>
        </w:rPr>
        <w:t xml:space="preserve">12.3  </w:t>
      </w:r>
      <w:r>
        <w:rPr>
          <w:rFonts w:hint="eastAsia" w:ascii="宋体" w:hAnsi="宋体" w:cs="宋体"/>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sz w:val="24"/>
        </w:rPr>
        <w:t>投标无效</w:t>
      </w:r>
      <w:r>
        <w:rPr>
          <w:rFonts w:hint="eastAsia" w:ascii="宋体" w:hAnsi="宋体" w:cs="宋体"/>
          <w:bCs/>
          <w:sz w:val="24"/>
        </w:rPr>
        <w:t>。</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bCs/>
          <w:sz w:val="24"/>
        </w:rPr>
        <w:t xml:space="preserve">12.4  </w:t>
      </w:r>
      <w:r>
        <w:rPr>
          <w:rFonts w:hint="eastAsia" w:ascii="宋体" w:hAnsi="宋体" w:cs="宋体"/>
          <w:sz w:val="24"/>
        </w:rPr>
        <w:t>投标保证金（保函）有效期同投标有效期。</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12.5  联合体投标的，可以由联合体中的一方或者共同提交投标保证金，以一方名义提交投标保证金的，对联合体各方均具有约束力。</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12.6.1  投标人在投标截止时间前撤回已提交的投标文件的，自收到投标人书面撤回通知之日起5个工作日内退还已收取的投标保证金；</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12.6.2  中标人的投标保证金，自采购合同签订之日起5个工作日内退还中标人或者转为中标人的履约保证金；</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未中标投标人的投标保证金，自中标通知书发出之日起5个工作日内退还未中标人；</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12.6.3  终止招标项目已经收取投标保证金的，自终止采购活动后5个工作日内退还已收取的投标保证金及其在银行产生的孳息。</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12.7  有下列情形之一的，采购人或采购代理机构可以不予退还投标保证金：</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12.7.1  投标有效期内投标人撤销投标文件的；</w:t>
      </w:r>
    </w:p>
    <w:p>
      <w:pPr>
        <w:pStyle w:val="16"/>
        <w:snapToGrid w:val="0"/>
        <w:spacing w:line="360" w:lineRule="auto"/>
        <w:rPr>
          <w:rFonts w:ascii="宋体" w:hAnsi="宋体" w:cs="宋体"/>
          <w:bCs/>
          <w:sz w:val="24"/>
        </w:rPr>
      </w:pPr>
      <w:r>
        <w:rPr>
          <w:rFonts w:hint="eastAsia" w:ascii="宋体" w:hAnsi="宋体" w:cs="宋体"/>
          <w:bCs/>
          <w:sz w:val="24"/>
        </w:rPr>
        <w:t>12.7.2  《投标人须知资料表》中规定的其他情形。</w:t>
      </w:r>
    </w:p>
    <w:p>
      <w:pPr>
        <w:pStyle w:val="16"/>
        <w:snapToGrid w:val="0"/>
        <w:spacing w:line="360" w:lineRule="auto"/>
        <w:ind w:firstLine="482"/>
        <w:rPr>
          <w:rFonts w:ascii="宋体" w:hAnsi="宋体" w:cs="宋体"/>
          <w:bCs/>
          <w:sz w:val="24"/>
        </w:rPr>
      </w:pPr>
      <w:r>
        <w:rPr>
          <w:rFonts w:hint="eastAsia" w:ascii="宋体" w:hAnsi="宋体" w:cs="宋体"/>
          <w:b/>
          <w:bCs/>
          <w:sz w:val="24"/>
        </w:rPr>
        <w:t>12.9  投标人未按照招标文件要求提交投标保证金的，其投标无效</w:t>
      </w:r>
      <w:r>
        <w:rPr>
          <w:rFonts w:hint="eastAsia" w:ascii="宋体" w:hAnsi="宋体" w:cs="宋体"/>
          <w:bCs/>
          <w:sz w:val="24"/>
        </w:rPr>
        <w:t>。</w:t>
      </w:r>
    </w:p>
    <w:p>
      <w:pPr>
        <w:spacing w:line="360" w:lineRule="auto"/>
        <w:ind w:firstLine="482"/>
        <w:rPr>
          <w:rFonts w:ascii="宋体" w:hAnsi="宋体" w:cs="宋体"/>
          <w:b/>
          <w:sz w:val="24"/>
          <w:szCs w:val="24"/>
        </w:rPr>
      </w:pPr>
      <w:bookmarkStart w:id="105" w:name="_Toc445984934"/>
      <w:bookmarkStart w:id="106" w:name="_Toc12648"/>
      <w:bookmarkStart w:id="107" w:name="_Toc445916564"/>
      <w:bookmarkStart w:id="108" w:name="_Toc13896"/>
      <w:bookmarkStart w:id="109" w:name="_Toc445903401"/>
      <w:bookmarkStart w:id="110" w:name="_Toc445845734"/>
      <w:bookmarkStart w:id="111" w:name="_Toc447223735"/>
      <w:bookmarkStart w:id="112" w:name="_Toc32094"/>
      <w:r>
        <w:rPr>
          <w:rFonts w:hint="eastAsia" w:ascii="宋体" w:hAnsi="宋体" w:cs="宋体"/>
          <w:b/>
          <w:sz w:val="24"/>
          <w:szCs w:val="24"/>
        </w:rPr>
        <w:t>13.  投标有效期</w:t>
      </w:r>
      <w:bookmarkEnd w:id="105"/>
      <w:bookmarkEnd w:id="106"/>
      <w:bookmarkEnd w:id="107"/>
      <w:bookmarkEnd w:id="108"/>
      <w:bookmarkEnd w:id="109"/>
      <w:bookmarkEnd w:id="110"/>
      <w:bookmarkEnd w:id="111"/>
      <w:bookmarkEnd w:id="112"/>
    </w:p>
    <w:p>
      <w:pPr>
        <w:pStyle w:val="16"/>
        <w:snapToGrid w:val="0"/>
        <w:spacing w:line="360" w:lineRule="auto"/>
        <w:rPr>
          <w:rFonts w:ascii="宋体" w:hAnsi="宋体" w:cs="宋体"/>
          <w:bCs/>
          <w:sz w:val="24"/>
        </w:rPr>
      </w:pPr>
      <w:r>
        <w:rPr>
          <w:rFonts w:hint="eastAsia" w:ascii="宋体" w:hAnsi="宋体" w:cs="宋体"/>
          <w:bCs/>
          <w:sz w:val="24"/>
        </w:rPr>
        <w:t xml:space="preserve">13.1  </w:t>
      </w: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pPr>
        <w:pStyle w:val="16"/>
        <w:snapToGrid w:val="0"/>
        <w:spacing w:line="360" w:lineRule="auto"/>
        <w:rPr>
          <w:rFonts w:ascii="宋体" w:hAnsi="宋体" w:cs="宋体"/>
          <w:bCs/>
          <w:sz w:val="24"/>
        </w:rPr>
      </w:pPr>
      <w:r>
        <w:rPr>
          <w:rFonts w:hint="eastAsia" w:ascii="宋体" w:hAnsi="宋体" w:cs="宋体"/>
          <w:bCs/>
          <w:sz w:val="24"/>
        </w:rPr>
        <w:t>13.2  在特殊情况下，采购人在原定投标有效期内，可以根据需要以书面形式向投标人提出延长投标有效期的要求，对此要求投标人须以书面形式予以答复。投标人可以拒绝采购人这种要求，而不被没收投标保证金。</w:t>
      </w:r>
      <w:r>
        <w:rPr>
          <w:rFonts w:hint="eastAsia" w:ascii="宋体" w:hAnsi="宋体" w:cs="宋体"/>
          <w:b/>
          <w:sz w:val="24"/>
        </w:rPr>
        <w:t>拒绝延长投标有效期的，其投标无效。</w:t>
      </w:r>
      <w:r>
        <w:rPr>
          <w:rFonts w:hint="eastAsia" w:ascii="宋体" w:hAnsi="宋体" w:cs="宋体"/>
          <w:bCs/>
          <w:sz w:val="24"/>
        </w:rPr>
        <w:t>同意延长投标有效期的投标人既不能要求也不允许修改其投标文件，但需要相应的延长投标保证金的有效期，在延长的投标有效期内本须知第12条关于投标保证金的退还与没收的规定仍然适用。</w:t>
      </w:r>
    </w:p>
    <w:p>
      <w:pPr>
        <w:spacing w:line="360" w:lineRule="auto"/>
        <w:ind w:firstLine="482"/>
        <w:rPr>
          <w:rFonts w:ascii="宋体" w:hAnsi="宋体" w:cs="宋体"/>
          <w:b/>
          <w:sz w:val="24"/>
          <w:szCs w:val="24"/>
        </w:rPr>
      </w:pPr>
      <w:bookmarkStart w:id="113" w:name="_Toc445903402"/>
      <w:bookmarkStart w:id="114" w:name="_Toc445984935"/>
      <w:bookmarkStart w:id="115" w:name="_Toc447223736"/>
      <w:bookmarkStart w:id="116" w:name="_Toc10015"/>
      <w:bookmarkStart w:id="117" w:name="_Toc9000"/>
      <w:bookmarkStart w:id="118" w:name="_Toc445845735"/>
      <w:bookmarkStart w:id="119" w:name="_Toc445916565"/>
      <w:bookmarkStart w:id="120" w:name="_Toc27183"/>
      <w:r>
        <w:rPr>
          <w:rFonts w:hint="eastAsia" w:ascii="宋体" w:hAnsi="宋体" w:cs="宋体"/>
          <w:b/>
          <w:sz w:val="24"/>
          <w:szCs w:val="24"/>
        </w:rPr>
        <w:t>14.  投标文件的份数和签署</w:t>
      </w:r>
      <w:bookmarkEnd w:id="113"/>
      <w:bookmarkEnd w:id="114"/>
      <w:bookmarkEnd w:id="115"/>
      <w:bookmarkEnd w:id="116"/>
      <w:bookmarkEnd w:id="117"/>
      <w:bookmarkEnd w:id="118"/>
      <w:bookmarkEnd w:id="119"/>
      <w:bookmarkEnd w:id="120"/>
    </w:p>
    <w:p>
      <w:pPr>
        <w:pStyle w:val="16"/>
        <w:snapToGrid w:val="0"/>
        <w:spacing w:line="360" w:lineRule="auto"/>
        <w:ind w:firstLine="482"/>
        <w:rPr>
          <w:rFonts w:ascii="宋体" w:hAnsi="宋体" w:cs="宋体"/>
          <w:bCs/>
          <w:sz w:val="24"/>
        </w:rPr>
      </w:pPr>
      <w:r>
        <w:rPr>
          <w:rFonts w:hint="eastAsia" w:ascii="宋体" w:hAnsi="宋体" w:cs="宋体"/>
          <w:b/>
          <w:bCs/>
          <w:sz w:val="24"/>
        </w:rPr>
        <w:t xml:space="preserve">14.1 </w:t>
      </w:r>
      <w:r>
        <w:rPr>
          <w:rFonts w:hint="eastAsia" w:ascii="宋体" w:hAnsi="宋体" w:cs="宋体"/>
          <w:b/>
          <w:sz w:val="24"/>
        </w:rPr>
        <w:t>投标人应递交投标文件正本</w:t>
      </w:r>
      <w:r>
        <w:rPr>
          <w:rFonts w:hint="eastAsia" w:ascii="宋体" w:hAnsi="宋体" w:cs="宋体"/>
          <w:b/>
          <w:sz w:val="24"/>
          <w:u w:val="single"/>
        </w:rPr>
        <w:t>壹</w:t>
      </w:r>
      <w:r>
        <w:rPr>
          <w:rFonts w:hint="eastAsia" w:ascii="宋体" w:hAnsi="宋体" w:cs="宋体"/>
          <w:b/>
          <w:sz w:val="24"/>
        </w:rPr>
        <w:t>份、副本</w:t>
      </w:r>
      <w:r>
        <w:rPr>
          <w:rFonts w:hint="eastAsia" w:ascii="宋体" w:hAnsi="宋体" w:cs="宋体"/>
          <w:b/>
          <w:sz w:val="24"/>
          <w:u w:val="single"/>
        </w:rPr>
        <w:t>肆</w:t>
      </w:r>
      <w:r>
        <w:rPr>
          <w:rFonts w:hint="eastAsia" w:ascii="宋体" w:hAnsi="宋体" w:cs="宋体"/>
          <w:b/>
          <w:sz w:val="24"/>
        </w:rPr>
        <w:t>份，电子版本u盘</w:t>
      </w:r>
      <w:r>
        <w:rPr>
          <w:rFonts w:hint="eastAsia" w:ascii="宋体" w:hAnsi="宋体" w:cs="宋体"/>
          <w:b/>
          <w:sz w:val="24"/>
          <w:u w:val="single"/>
        </w:rPr>
        <w:t>壹</w:t>
      </w:r>
      <w:r>
        <w:rPr>
          <w:rFonts w:hint="eastAsia" w:ascii="宋体" w:hAnsi="宋体" w:cs="宋体"/>
          <w:b/>
          <w:sz w:val="24"/>
        </w:rPr>
        <w:t>份（word版和正本扫描盖章后彩色扫描pdf版）。每份投标文件封面须清楚地标明“正本”或“副本”。若正本和副本不符，以正本为准。</w:t>
      </w:r>
    </w:p>
    <w:p>
      <w:pPr>
        <w:pStyle w:val="16"/>
        <w:snapToGrid w:val="0"/>
        <w:spacing w:line="360" w:lineRule="auto"/>
        <w:rPr>
          <w:rFonts w:ascii="宋体" w:hAnsi="宋体" w:cs="宋体"/>
          <w:bCs/>
          <w:sz w:val="24"/>
        </w:rPr>
      </w:pPr>
      <w:r>
        <w:rPr>
          <w:rFonts w:hint="eastAsia" w:ascii="宋体" w:hAnsi="宋体" w:cs="宋体"/>
          <w:bCs/>
          <w:sz w:val="24"/>
        </w:rPr>
        <w:t>14.2  投标文件的正本和副本均需打印或使用不褪色的蓝、黑墨水笔书写，字迹应清晰易于辨认，副本可为正本的复印件，正本和副本如有不一致之处，以正本为准。</w:t>
      </w:r>
      <w:r>
        <w:rPr>
          <w:rFonts w:hint="eastAsia" w:ascii="宋体" w:hAnsi="宋体" w:cs="宋体"/>
          <w:sz w:val="24"/>
        </w:rPr>
        <w:t>投标文件及修改文件一律使用A4号纸（有特殊规定的图纸及其他文件资料除外）。</w:t>
      </w:r>
    </w:p>
    <w:p>
      <w:pPr>
        <w:pStyle w:val="16"/>
        <w:snapToGrid w:val="0"/>
        <w:spacing w:line="360" w:lineRule="auto"/>
        <w:ind w:firstLine="482"/>
        <w:rPr>
          <w:rFonts w:ascii="宋体" w:hAnsi="宋体" w:cs="宋体"/>
          <w:b/>
          <w:bCs/>
          <w:sz w:val="24"/>
        </w:rPr>
      </w:pPr>
      <w:r>
        <w:rPr>
          <w:rFonts w:hint="eastAsia" w:ascii="宋体" w:hAnsi="宋体" w:cs="宋体"/>
          <w:b/>
          <w:bCs/>
          <w:sz w:val="24"/>
        </w:rPr>
        <w:t>14.3  投标文件正本、副本封面均应加盖投标人公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pStyle w:val="16"/>
        <w:snapToGrid w:val="0"/>
        <w:spacing w:line="360" w:lineRule="auto"/>
        <w:rPr>
          <w:rFonts w:ascii="宋体" w:hAnsi="宋体" w:cs="宋体"/>
          <w:bCs/>
          <w:sz w:val="24"/>
        </w:rPr>
      </w:pPr>
      <w:r>
        <w:rPr>
          <w:rFonts w:hint="eastAsia" w:ascii="宋体" w:hAnsi="宋体" w:cs="宋体"/>
          <w:bCs/>
          <w:sz w:val="24"/>
        </w:rPr>
        <w:t>14.4  电子文件规定存储载体为U盘形式（或约定的其他形式），并标注单位名称。</w:t>
      </w:r>
    </w:p>
    <w:p>
      <w:pPr>
        <w:pStyle w:val="16"/>
        <w:snapToGrid w:val="0"/>
        <w:spacing w:line="360" w:lineRule="auto"/>
        <w:ind w:firstLine="480" w:firstLineChars="200"/>
        <w:rPr>
          <w:rFonts w:ascii="宋体" w:hAnsi="宋体" w:cs="宋体"/>
          <w:bCs/>
          <w:sz w:val="24"/>
        </w:rPr>
      </w:pPr>
      <w:r>
        <w:rPr>
          <w:rFonts w:hint="eastAsia" w:ascii="宋体" w:hAnsi="宋体" w:cs="宋体"/>
          <w:bCs/>
          <w:sz w:val="24"/>
        </w:rPr>
        <w:t>投标人递交的电子文件应包含纸质投标文件全部内容，电子文件规定格式为：</w:t>
      </w:r>
    </w:p>
    <w:p>
      <w:pPr>
        <w:pStyle w:val="16"/>
        <w:snapToGrid w:val="0"/>
        <w:spacing w:line="360" w:lineRule="auto"/>
        <w:ind w:firstLine="480" w:firstLineChars="200"/>
        <w:rPr>
          <w:rFonts w:ascii="宋体" w:hAnsi="宋体" w:cs="宋体"/>
          <w:sz w:val="24"/>
        </w:rPr>
      </w:pPr>
      <w:r>
        <w:rPr>
          <w:rFonts w:hint="eastAsia" w:ascii="宋体" w:hAnsi="宋体" w:cs="宋体"/>
          <w:sz w:val="24"/>
        </w:rPr>
        <w:t>①文本文件采用DOC、DOCX、RTF、TXT、PDF格式；</w:t>
      </w:r>
    </w:p>
    <w:p>
      <w:pPr>
        <w:pStyle w:val="16"/>
        <w:snapToGrid w:val="0"/>
        <w:spacing w:line="360" w:lineRule="auto"/>
        <w:rPr>
          <w:rFonts w:ascii="宋体" w:hAnsi="宋体" w:cs="宋体"/>
          <w:sz w:val="24"/>
        </w:rPr>
      </w:pPr>
      <w:r>
        <w:rPr>
          <w:rFonts w:hint="eastAsia" w:ascii="宋体" w:hAnsi="宋体" w:cs="宋体"/>
          <w:sz w:val="24"/>
        </w:rPr>
        <w:t xml:space="preserve">    ②图像文件采用JPEG、TIFF格式；</w:t>
      </w:r>
    </w:p>
    <w:p>
      <w:pPr>
        <w:pStyle w:val="16"/>
        <w:snapToGrid w:val="0"/>
        <w:spacing w:line="360" w:lineRule="auto"/>
        <w:rPr>
          <w:rFonts w:ascii="宋体" w:hAnsi="宋体" w:cs="宋体"/>
          <w:sz w:val="24"/>
        </w:rPr>
      </w:pPr>
      <w:r>
        <w:rPr>
          <w:rFonts w:hint="eastAsia" w:ascii="宋体" w:hAnsi="宋体" w:cs="宋体"/>
          <w:sz w:val="24"/>
        </w:rPr>
        <w:t xml:space="preserve">    ③影像文件采用MPEG、AVI、MP4格式；</w:t>
      </w:r>
    </w:p>
    <w:p>
      <w:pPr>
        <w:pStyle w:val="16"/>
        <w:snapToGrid w:val="0"/>
        <w:spacing w:line="360" w:lineRule="auto"/>
        <w:rPr>
          <w:rFonts w:ascii="宋体" w:hAnsi="宋体" w:cs="宋体"/>
          <w:sz w:val="24"/>
        </w:rPr>
      </w:pPr>
      <w:r>
        <w:rPr>
          <w:rFonts w:hint="eastAsia" w:ascii="宋体" w:hAnsi="宋体" w:cs="宋体"/>
          <w:sz w:val="24"/>
        </w:rPr>
        <w:t xml:space="preserve">    ④声音文件采用WAV、MP3格式。</w:t>
      </w:r>
    </w:p>
    <w:p>
      <w:pPr>
        <w:pStyle w:val="16"/>
        <w:snapToGrid w:val="0"/>
        <w:spacing w:line="360" w:lineRule="auto"/>
        <w:rPr>
          <w:rFonts w:ascii="宋体" w:hAnsi="宋体" w:cs="宋体"/>
          <w:bCs/>
          <w:sz w:val="24"/>
        </w:rPr>
      </w:pPr>
      <w:r>
        <w:rPr>
          <w:rFonts w:hint="eastAsia" w:ascii="宋体" w:hAnsi="宋体" w:cs="宋体"/>
          <w:bCs/>
          <w:sz w:val="24"/>
        </w:rPr>
        <w:t>14.5  除投标人对错误处须修改外，全套投标文件应无涂改或行间插字和增删。如有修改，修改处应由投标人加盖投标人的公章并由法定代表人或其委托代理人签字或盖章，投标文件技术部分不允许有修改。</w:t>
      </w:r>
    </w:p>
    <w:p>
      <w:pPr>
        <w:pStyle w:val="16"/>
        <w:snapToGrid w:val="0"/>
        <w:spacing w:line="360" w:lineRule="auto"/>
        <w:rPr>
          <w:rFonts w:ascii="宋体" w:hAnsi="宋体" w:cs="宋体"/>
          <w:sz w:val="24"/>
        </w:rPr>
      </w:pPr>
      <w:r>
        <w:rPr>
          <w:rFonts w:hint="eastAsia" w:ascii="宋体" w:hAnsi="宋体" w:cs="宋体"/>
          <w:bCs/>
          <w:sz w:val="24"/>
        </w:rPr>
        <w:t xml:space="preserve">14.6  </w:t>
      </w:r>
      <w:r>
        <w:rPr>
          <w:rFonts w:hint="eastAsia" w:ascii="宋体" w:hAnsi="宋体" w:cs="宋体"/>
          <w:sz w:val="24"/>
        </w:rPr>
        <w:t>投标文件因字迹潦草或表达不清所引起的后果由投标人负责。</w:t>
      </w:r>
    </w:p>
    <w:p>
      <w:pPr>
        <w:pStyle w:val="3"/>
        <w:spacing w:line="360" w:lineRule="auto"/>
        <w:ind w:firstLine="482"/>
        <w:rPr>
          <w:rFonts w:ascii="宋体" w:hAnsi="宋体"/>
          <w:sz w:val="24"/>
          <w:szCs w:val="24"/>
        </w:rPr>
      </w:pPr>
      <w:bookmarkStart w:id="121" w:name="_Toc25958"/>
      <w:bookmarkStart w:id="122" w:name="_Toc18447"/>
      <w:bookmarkStart w:id="123" w:name="_Toc92789201"/>
      <w:bookmarkStart w:id="124" w:name="_Toc100786140"/>
      <w:bookmarkStart w:id="125" w:name="_Toc10460"/>
      <w:bookmarkStart w:id="126" w:name="_Toc3252"/>
      <w:bookmarkStart w:id="127" w:name="_Toc447223737"/>
      <w:r>
        <w:rPr>
          <w:rFonts w:hint="eastAsia" w:ascii="宋体" w:hAnsi="宋体"/>
          <w:sz w:val="24"/>
          <w:szCs w:val="24"/>
        </w:rPr>
        <w:t>（四）投标文件的提交</w:t>
      </w:r>
      <w:bookmarkEnd w:id="121"/>
      <w:bookmarkEnd w:id="122"/>
      <w:bookmarkEnd w:id="123"/>
      <w:bookmarkEnd w:id="124"/>
      <w:bookmarkEnd w:id="125"/>
      <w:bookmarkEnd w:id="126"/>
      <w:bookmarkEnd w:id="127"/>
    </w:p>
    <w:p>
      <w:pPr>
        <w:snapToGrid w:val="0"/>
        <w:spacing w:line="360" w:lineRule="auto"/>
        <w:ind w:firstLine="482"/>
        <w:rPr>
          <w:rFonts w:ascii="宋体" w:hAnsi="宋体" w:cs="宋体"/>
          <w:b/>
          <w:bCs/>
          <w:sz w:val="24"/>
          <w:szCs w:val="24"/>
        </w:rPr>
      </w:pPr>
      <w:bookmarkStart w:id="128" w:name="_Toc447223738"/>
      <w:bookmarkStart w:id="129" w:name="_Toc445845737"/>
      <w:bookmarkStart w:id="130" w:name="_Toc22509"/>
      <w:bookmarkStart w:id="131" w:name="_Toc29338"/>
      <w:bookmarkStart w:id="132" w:name="_Toc445916567"/>
      <w:bookmarkStart w:id="133" w:name="_Toc9691"/>
      <w:bookmarkStart w:id="134" w:name="_Toc445984937"/>
      <w:bookmarkStart w:id="135" w:name="_Toc445903404"/>
      <w:r>
        <w:rPr>
          <w:rFonts w:hint="eastAsia" w:ascii="宋体" w:hAnsi="宋体" w:cs="宋体"/>
          <w:b/>
          <w:bCs/>
          <w:sz w:val="24"/>
          <w:szCs w:val="24"/>
        </w:rPr>
        <w:t>15.  投标文件的装订、密封和标记</w:t>
      </w:r>
      <w:bookmarkEnd w:id="128"/>
      <w:bookmarkEnd w:id="129"/>
      <w:bookmarkEnd w:id="130"/>
      <w:bookmarkEnd w:id="131"/>
      <w:bookmarkEnd w:id="132"/>
      <w:bookmarkEnd w:id="133"/>
      <w:bookmarkEnd w:id="134"/>
      <w:bookmarkEnd w:id="135"/>
    </w:p>
    <w:p>
      <w:pPr>
        <w:pStyle w:val="16"/>
        <w:snapToGrid w:val="0"/>
        <w:spacing w:line="360" w:lineRule="auto"/>
        <w:rPr>
          <w:rFonts w:ascii="宋体" w:hAnsi="宋体" w:cs="宋体"/>
          <w:bCs/>
          <w:sz w:val="24"/>
        </w:rPr>
      </w:pPr>
      <w:r>
        <w:rPr>
          <w:rFonts w:hint="eastAsia" w:ascii="宋体" w:hAnsi="宋体" w:cs="宋体"/>
          <w:bCs/>
          <w:sz w:val="24"/>
        </w:rPr>
        <w:t>15.1  投标文件的装订要求：投标文件须左侧胶装，装订须牢固不易拆散。</w:t>
      </w:r>
    </w:p>
    <w:p>
      <w:pPr>
        <w:pStyle w:val="16"/>
        <w:snapToGrid w:val="0"/>
        <w:spacing w:line="360" w:lineRule="auto"/>
        <w:rPr>
          <w:rFonts w:ascii="宋体" w:hAnsi="宋体" w:cs="宋体"/>
          <w:bCs/>
          <w:sz w:val="24"/>
        </w:rPr>
      </w:pPr>
      <w:r>
        <w:rPr>
          <w:rFonts w:hint="eastAsia" w:ascii="宋体" w:hAnsi="宋体" w:cs="宋体"/>
          <w:bCs/>
          <w:sz w:val="24"/>
        </w:rPr>
        <w:t>15.2  投标人应将投标文件的正本和副本进行密封，电子版文件（须标注单位名称）单独密封。密封袋上清楚地标明“正本”、“副本”、“电子版”。</w:t>
      </w:r>
    </w:p>
    <w:p>
      <w:pPr>
        <w:pStyle w:val="16"/>
        <w:snapToGrid w:val="0"/>
        <w:spacing w:line="360" w:lineRule="auto"/>
        <w:rPr>
          <w:rFonts w:ascii="宋体" w:hAnsi="宋体" w:cs="宋体"/>
          <w:bCs/>
          <w:sz w:val="24"/>
        </w:rPr>
      </w:pPr>
      <w:r>
        <w:rPr>
          <w:rFonts w:hint="eastAsia" w:ascii="宋体" w:hAnsi="宋体" w:cs="宋体"/>
          <w:bCs/>
          <w:sz w:val="24"/>
        </w:rPr>
        <w:t>15.3  为方便开标唱标，投标人应将开标一览表单独密封并在信封上标明“开标一览表”字样，在投标时单独递交。“开标一览表”作为投标文件重要组成部分，必须加盖单位公章并由法定代表人或其委托代理人签字或盖章。</w:t>
      </w:r>
    </w:p>
    <w:p>
      <w:pPr>
        <w:pStyle w:val="16"/>
        <w:snapToGrid w:val="0"/>
        <w:spacing w:line="360" w:lineRule="auto"/>
        <w:ind w:firstLine="482"/>
        <w:rPr>
          <w:rFonts w:ascii="宋体" w:hAnsi="宋体" w:cs="宋体"/>
          <w:b/>
          <w:bCs/>
          <w:sz w:val="24"/>
        </w:rPr>
      </w:pPr>
      <w:r>
        <w:rPr>
          <w:rFonts w:hint="eastAsia" w:ascii="宋体" w:hAnsi="宋体" w:cs="宋体"/>
          <w:b/>
          <w:bCs/>
          <w:sz w:val="24"/>
        </w:rPr>
        <w:t>15.4  在投标文件密封袋上均应：</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 xml:space="preserve">15.4.1  </w:t>
      </w:r>
      <w:r>
        <w:rPr>
          <w:rFonts w:hint="eastAsia" w:ascii="宋体" w:hAnsi="宋体" w:cs="宋体"/>
          <w:b/>
          <w:sz w:val="24"/>
          <w:szCs w:val="24"/>
        </w:rPr>
        <w:t>清楚标明递交至第一章《投标邀请》中指明的地址</w:t>
      </w:r>
      <w:r>
        <w:rPr>
          <w:rFonts w:hint="eastAsia" w:ascii="宋体" w:hAnsi="宋体" w:cs="宋体"/>
          <w:b/>
          <w:bCs/>
          <w:sz w:val="24"/>
          <w:szCs w:val="24"/>
        </w:rPr>
        <w:t>；</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 xml:space="preserve">15.4.2  </w:t>
      </w:r>
      <w:r>
        <w:rPr>
          <w:rFonts w:hint="eastAsia" w:ascii="宋体" w:hAnsi="宋体" w:cs="宋体"/>
          <w:b/>
          <w:sz w:val="24"/>
          <w:szCs w:val="24"/>
        </w:rPr>
        <w:t>注明第一章《投标邀请》中指明的项目名称、招标编号和“在</w:t>
      </w:r>
      <w:r>
        <w:rPr>
          <w:rFonts w:hint="eastAsia" w:ascii="宋体" w:hAnsi="宋体" w:cs="宋体"/>
          <w:b/>
          <w:sz w:val="24"/>
          <w:szCs w:val="24"/>
          <w:u w:val="single"/>
        </w:rPr>
        <w:t xml:space="preserve">   （开标日期、时间 ）       </w:t>
      </w:r>
      <w:r>
        <w:rPr>
          <w:rFonts w:hint="eastAsia" w:ascii="宋体" w:hAnsi="宋体" w:cs="宋体"/>
          <w:b/>
          <w:sz w:val="24"/>
          <w:szCs w:val="24"/>
        </w:rPr>
        <w:t>之前不得启封”的字样。</w:t>
      </w:r>
    </w:p>
    <w:p>
      <w:pPr>
        <w:pStyle w:val="16"/>
        <w:snapToGrid w:val="0"/>
        <w:spacing w:line="360" w:lineRule="auto"/>
        <w:ind w:firstLine="482"/>
        <w:rPr>
          <w:rFonts w:ascii="宋体" w:hAnsi="宋体" w:cs="宋体"/>
          <w:b/>
          <w:sz w:val="24"/>
        </w:rPr>
      </w:pPr>
      <w:r>
        <w:rPr>
          <w:rFonts w:hint="eastAsia" w:ascii="宋体" w:hAnsi="宋体" w:cs="宋体"/>
          <w:b/>
          <w:bCs/>
          <w:sz w:val="24"/>
        </w:rPr>
        <w:t xml:space="preserve">15.4.3  </w:t>
      </w:r>
      <w:r>
        <w:rPr>
          <w:rFonts w:hint="eastAsia" w:ascii="宋体" w:hAnsi="宋体" w:cs="宋体"/>
          <w:b/>
          <w:sz w:val="24"/>
        </w:rPr>
        <w:t>在密封袋的封装处加盖投标人公章。</w:t>
      </w:r>
    </w:p>
    <w:p>
      <w:pPr>
        <w:pStyle w:val="16"/>
        <w:snapToGrid w:val="0"/>
        <w:spacing w:line="360" w:lineRule="auto"/>
        <w:ind w:firstLine="482"/>
        <w:rPr>
          <w:rFonts w:ascii="宋体" w:hAnsi="宋体" w:cs="宋体"/>
          <w:b/>
          <w:bCs/>
          <w:sz w:val="24"/>
        </w:rPr>
      </w:pPr>
      <w:r>
        <w:rPr>
          <w:rFonts w:hint="eastAsia" w:ascii="宋体" w:hAnsi="宋体" w:cs="宋体"/>
          <w:b/>
          <w:bCs/>
          <w:sz w:val="24"/>
        </w:rPr>
        <w:t>15.5  密封的具体要求：投标文件密封袋可以是档案袋，也可以是自制其他的密封袋（箱）。但每个密封袋（箱）密封口处须用密封条密封，封条由投标人自制，并在密封条上加盖投标人公章及其法定代表人或其委托代理人签字或盖章。</w:t>
      </w:r>
    </w:p>
    <w:p>
      <w:pPr>
        <w:pStyle w:val="16"/>
        <w:snapToGrid w:val="0"/>
        <w:spacing w:line="360" w:lineRule="auto"/>
        <w:rPr>
          <w:rFonts w:ascii="宋体" w:hAnsi="宋体" w:cs="宋体"/>
          <w:bCs/>
          <w:sz w:val="24"/>
        </w:rPr>
      </w:pPr>
      <w:r>
        <w:rPr>
          <w:rFonts w:hint="eastAsia" w:ascii="宋体" w:hAnsi="宋体" w:cs="宋体"/>
          <w:bCs/>
          <w:sz w:val="24"/>
        </w:rPr>
        <w:t>15.6  投标文件密封袋上应写明投标人的名称与地址、邮政编码，以便本须知第19条规定情况发生时，采购人可按密封袋上标明的投标人地址将投标文件原封退回。</w:t>
      </w:r>
    </w:p>
    <w:p>
      <w:pPr>
        <w:pStyle w:val="16"/>
        <w:snapToGrid w:val="0"/>
        <w:spacing w:line="360" w:lineRule="auto"/>
        <w:rPr>
          <w:rFonts w:ascii="宋体" w:hAnsi="宋体" w:cs="宋体"/>
          <w:bCs/>
          <w:sz w:val="24"/>
        </w:rPr>
      </w:pPr>
      <w:r>
        <w:rPr>
          <w:rFonts w:hint="eastAsia" w:ascii="宋体" w:hAnsi="宋体" w:cs="宋体"/>
          <w:bCs/>
          <w:sz w:val="24"/>
        </w:rPr>
        <w:t>15.7  如果投标文件没有按本投标须知规定装订和加写标记及密封的，采购人及采购代理机构将不承担投标文件提前开封的责任。对由此造成提前开封的投标文件将予以拒绝，并退还给投标人。</w:t>
      </w:r>
    </w:p>
    <w:p>
      <w:pPr>
        <w:snapToGrid w:val="0"/>
        <w:spacing w:line="360" w:lineRule="auto"/>
        <w:ind w:firstLine="482"/>
        <w:rPr>
          <w:rFonts w:ascii="宋体" w:hAnsi="宋体" w:cs="宋体"/>
          <w:b/>
          <w:bCs/>
          <w:sz w:val="24"/>
          <w:szCs w:val="24"/>
        </w:rPr>
      </w:pPr>
      <w:bookmarkStart w:id="136" w:name="_Toc447223739"/>
      <w:bookmarkStart w:id="137" w:name="_Toc445845738"/>
      <w:bookmarkStart w:id="138" w:name="_Toc445903405"/>
      <w:bookmarkStart w:id="139" w:name="_Toc445984938"/>
      <w:bookmarkStart w:id="140" w:name="_Toc12144"/>
      <w:bookmarkStart w:id="141" w:name="_Toc445916568"/>
      <w:bookmarkStart w:id="142" w:name="_Toc22759"/>
      <w:bookmarkStart w:id="143" w:name="_Toc3067"/>
      <w:r>
        <w:rPr>
          <w:rFonts w:hint="eastAsia" w:ascii="宋体" w:hAnsi="宋体" w:cs="宋体"/>
          <w:b/>
          <w:bCs/>
          <w:sz w:val="24"/>
          <w:szCs w:val="24"/>
        </w:rPr>
        <w:t>16.  样品</w:t>
      </w:r>
    </w:p>
    <w:p>
      <w:pPr>
        <w:pStyle w:val="16"/>
        <w:snapToGrid w:val="0"/>
        <w:spacing w:line="360" w:lineRule="auto"/>
        <w:rPr>
          <w:rFonts w:ascii="宋体" w:hAnsi="宋体" w:cs="宋体"/>
          <w:bCs/>
          <w:sz w:val="24"/>
        </w:rPr>
      </w:pPr>
      <w:r>
        <w:rPr>
          <w:rFonts w:hint="eastAsia" w:ascii="宋体" w:hAnsi="宋体" w:cs="宋体"/>
          <w:bCs/>
          <w:sz w:val="24"/>
        </w:rPr>
        <w:t>16.1  本项目是否要求投标人提供样品，以及样品制作的标准和要求、是否需要随样品提交相关检测报告、样品的递交与退还等要求见《投标人须知资料表》。</w:t>
      </w:r>
    </w:p>
    <w:p>
      <w:pPr>
        <w:pStyle w:val="16"/>
        <w:snapToGrid w:val="0"/>
        <w:spacing w:line="360" w:lineRule="auto"/>
        <w:rPr>
          <w:rFonts w:ascii="宋体" w:hAnsi="宋体" w:cs="宋体"/>
          <w:bCs/>
          <w:sz w:val="24"/>
        </w:rPr>
      </w:pPr>
      <w:r>
        <w:rPr>
          <w:rFonts w:hint="eastAsia" w:ascii="宋体" w:hAnsi="宋体" w:cs="宋体"/>
          <w:bCs/>
          <w:sz w:val="24"/>
        </w:rPr>
        <w:t>16.2样品的评审方法以及评审标准等内容见第六章《评标程序、评标方法和评标标准》。</w:t>
      </w:r>
      <w:bookmarkEnd w:id="136"/>
      <w:bookmarkEnd w:id="137"/>
      <w:bookmarkEnd w:id="138"/>
      <w:bookmarkEnd w:id="139"/>
      <w:bookmarkEnd w:id="140"/>
      <w:bookmarkEnd w:id="141"/>
      <w:bookmarkEnd w:id="142"/>
      <w:bookmarkEnd w:id="143"/>
    </w:p>
    <w:p>
      <w:pPr>
        <w:pStyle w:val="16"/>
        <w:snapToGrid w:val="0"/>
        <w:spacing w:line="360" w:lineRule="auto"/>
        <w:ind w:firstLine="482"/>
        <w:rPr>
          <w:rFonts w:ascii="宋体" w:hAnsi="宋体" w:cs="宋体"/>
          <w:b/>
          <w:bCs/>
          <w:sz w:val="24"/>
        </w:rPr>
      </w:pPr>
      <w:bookmarkStart w:id="144" w:name="_Toc445916569"/>
      <w:bookmarkStart w:id="145" w:name="_Toc21995"/>
      <w:bookmarkStart w:id="146" w:name="_Toc447223740"/>
      <w:bookmarkStart w:id="147" w:name="_Toc445984939"/>
      <w:bookmarkStart w:id="148" w:name="_Toc26291"/>
      <w:bookmarkStart w:id="149" w:name="_Toc445903406"/>
      <w:bookmarkStart w:id="150" w:name="_Toc445845739"/>
      <w:bookmarkStart w:id="151" w:name="_Toc599"/>
      <w:r>
        <w:rPr>
          <w:rFonts w:hint="eastAsia" w:ascii="宋体" w:hAnsi="宋体" w:cs="宋体"/>
          <w:b/>
          <w:bCs/>
          <w:sz w:val="24"/>
        </w:rPr>
        <w:t>17.  投标文件的提交</w:t>
      </w:r>
      <w:bookmarkEnd w:id="144"/>
      <w:bookmarkEnd w:id="145"/>
      <w:bookmarkEnd w:id="146"/>
      <w:bookmarkEnd w:id="147"/>
      <w:bookmarkEnd w:id="148"/>
      <w:bookmarkEnd w:id="149"/>
      <w:bookmarkEnd w:id="150"/>
      <w:bookmarkEnd w:id="151"/>
    </w:p>
    <w:p>
      <w:pPr>
        <w:pStyle w:val="16"/>
        <w:snapToGrid w:val="0"/>
        <w:spacing w:line="360" w:lineRule="auto"/>
        <w:rPr>
          <w:rFonts w:ascii="宋体" w:hAnsi="宋体" w:cs="宋体"/>
          <w:bCs/>
          <w:sz w:val="24"/>
        </w:rPr>
      </w:pPr>
      <w:r>
        <w:rPr>
          <w:rFonts w:hint="eastAsia" w:ascii="宋体" w:hAnsi="宋体" w:cs="宋体"/>
          <w:bCs/>
          <w:sz w:val="24"/>
        </w:rPr>
        <w:t xml:space="preserve">    投标人应按《投标人须知资料表》所规定的地点，于截止时间前提交投标文件。</w:t>
      </w:r>
    </w:p>
    <w:p>
      <w:pPr>
        <w:snapToGrid w:val="0"/>
        <w:spacing w:line="360" w:lineRule="auto"/>
        <w:ind w:firstLine="482"/>
        <w:rPr>
          <w:rFonts w:ascii="宋体" w:hAnsi="宋体" w:cs="宋体"/>
          <w:b/>
          <w:bCs/>
          <w:sz w:val="24"/>
          <w:szCs w:val="24"/>
        </w:rPr>
      </w:pPr>
      <w:bookmarkStart w:id="152" w:name="_Toc16528"/>
      <w:bookmarkStart w:id="153" w:name="_Toc445845740"/>
      <w:bookmarkStart w:id="154" w:name="_Toc2548"/>
      <w:bookmarkStart w:id="155" w:name="_Toc445984940"/>
      <w:bookmarkStart w:id="156" w:name="_Toc445903407"/>
      <w:bookmarkStart w:id="157" w:name="_Toc447223741"/>
      <w:bookmarkStart w:id="158" w:name="_Toc445916570"/>
      <w:bookmarkStart w:id="159" w:name="_Toc12992"/>
      <w:r>
        <w:rPr>
          <w:rFonts w:hint="eastAsia" w:ascii="宋体" w:hAnsi="宋体" w:cs="宋体"/>
          <w:b/>
          <w:bCs/>
          <w:sz w:val="24"/>
          <w:szCs w:val="24"/>
        </w:rPr>
        <w:t>18.  投标文件提交的截止时间</w:t>
      </w:r>
      <w:bookmarkEnd w:id="152"/>
      <w:bookmarkEnd w:id="153"/>
      <w:bookmarkEnd w:id="154"/>
      <w:bookmarkEnd w:id="155"/>
      <w:bookmarkEnd w:id="156"/>
      <w:bookmarkEnd w:id="157"/>
      <w:bookmarkEnd w:id="158"/>
      <w:bookmarkEnd w:id="159"/>
    </w:p>
    <w:p>
      <w:pPr>
        <w:pStyle w:val="16"/>
        <w:snapToGrid w:val="0"/>
        <w:spacing w:line="360" w:lineRule="auto"/>
        <w:rPr>
          <w:rFonts w:ascii="宋体" w:hAnsi="宋体" w:cs="宋体"/>
          <w:bCs/>
          <w:sz w:val="24"/>
        </w:rPr>
      </w:pPr>
      <w:r>
        <w:rPr>
          <w:rFonts w:hint="eastAsia" w:ascii="宋体" w:hAnsi="宋体" w:cs="宋体"/>
          <w:bCs/>
          <w:sz w:val="24"/>
        </w:rPr>
        <w:t>18.1  投标文件提交的截止时间即为投标截止时间，见《投标人须知资料表》规定。</w:t>
      </w:r>
    </w:p>
    <w:p>
      <w:pPr>
        <w:pStyle w:val="16"/>
        <w:snapToGrid w:val="0"/>
        <w:spacing w:line="360" w:lineRule="auto"/>
        <w:rPr>
          <w:rFonts w:ascii="宋体" w:hAnsi="宋体" w:cs="宋体"/>
          <w:bCs/>
          <w:sz w:val="24"/>
        </w:rPr>
      </w:pPr>
      <w:r>
        <w:rPr>
          <w:rFonts w:hint="eastAsia" w:ascii="宋体" w:hAnsi="宋体" w:cs="宋体"/>
          <w:bCs/>
          <w:sz w:val="24"/>
        </w:rPr>
        <w:t>18.2  采购人可按本须知第8条规定以修改补充通知的方式，顺延提交投标文件的截止时间。在此情况下，投标人的所有权利和义务以及投标人受制约的截止时间,均以延长后新的投标截止时间为准。</w:t>
      </w:r>
    </w:p>
    <w:p>
      <w:pPr>
        <w:snapToGrid w:val="0"/>
        <w:spacing w:line="360" w:lineRule="auto"/>
        <w:ind w:firstLine="482"/>
        <w:rPr>
          <w:rFonts w:ascii="宋体" w:hAnsi="宋体" w:cs="宋体"/>
          <w:b/>
          <w:bCs/>
          <w:sz w:val="24"/>
          <w:szCs w:val="24"/>
        </w:rPr>
      </w:pPr>
      <w:bookmarkStart w:id="160" w:name="_Toc31773"/>
      <w:bookmarkStart w:id="161" w:name="_Toc445916571"/>
      <w:bookmarkStart w:id="162" w:name="_Toc445984941"/>
      <w:bookmarkStart w:id="163" w:name="_Toc18653"/>
      <w:bookmarkStart w:id="164" w:name="_Toc445845741"/>
      <w:bookmarkStart w:id="165" w:name="_Toc447223742"/>
      <w:bookmarkStart w:id="166" w:name="_Toc32267"/>
      <w:bookmarkStart w:id="167" w:name="_Toc445903408"/>
      <w:r>
        <w:rPr>
          <w:rFonts w:hint="eastAsia" w:ascii="宋体" w:hAnsi="宋体" w:cs="宋体"/>
          <w:b/>
          <w:bCs/>
          <w:sz w:val="24"/>
          <w:szCs w:val="24"/>
        </w:rPr>
        <w:t>19.  迟交的投标文件</w:t>
      </w:r>
      <w:bookmarkEnd w:id="160"/>
      <w:bookmarkEnd w:id="161"/>
      <w:bookmarkEnd w:id="162"/>
      <w:bookmarkEnd w:id="163"/>
      <w:bookmarkEnd w:id="164"/>
      <w:bookmarkEnd w:id="165"/>
      <w:bookmarkEnd w:id="166"/>
      <w:bookmarkEnd w:id="167"/>
    </w:p>
    <w:p>
      <w:pPr>
        <w:pStyle w:val="16"/>
        <w:snapToGrid w:val="0"/>
        <w:spacing w:line="360" w:lineRule="auto"/>
        <w:rPr>
          <w:rFonts w:ascii="宋体" w:hAnsi="宋体" w:cs="宋体"/>
          <w:bCs/>
          <w:sz w:val="24"/>
        </w:rPr>
      </w:pPr>
      <w:r>
        <w:rPr>
          <w:rFonts w:hint="eastAsia" w:ascii="宋体" w:hAnsi="宋体" w:cs="宋体"/>
          <w:bCs/>
          <w:sz w:val="24"/>
        </w:rPr>
        <w:t xml:space="preserve">    采购人在本须知规定的投标截止时间以后收到的任何投标文件，将被拒绝并原封退回给投标人。</w:t>
      </w:r>
    </w:p>
    <w:p>
      <w:pPr>
        <w:snapToGrid w:val="0"/>
        <w:spacing w:line="360" w:lineRule="auto"/>
        <w:ind w:firstLine="482"/>
        <w:rPr>
          <w:rFonts w:ascii="宋体" w:hAnsi="宋体" w:cs="宋体"/>
          <w:b/>
          <w:bCs/>
          <w:sz w:val="24"/>
          <w:szCs w:val="24"/>
        </w:rPr>
      </w:pPr>
      <w:bookmarkStart w:id="168" w:name="_Toc445916572"/>
      <w:bookmarkStart w:id="169" w:name="_Toc7817"/>
      <w:bookmarkStart w:id="170" w:name="_Toc12923"/>
      <w:bookmarkStart w:id="171" w:name="_Toc447223743"/>
      <w:bookmarkStart w:id="172" w:name="_Toc445984942"/>
      <w:bookmarkStart w:id="173" w:name="_Toc11463"/>
      <w:bookmarkStart w:id="174" w:name="_Toc445903409"/>
      <w:bookmarkStart w:id="175" w:name="_Toc445845742"/>
      <w:r>
        <w:rPr>
          <w:rFonts w:hint="eastAsia" w:ascii="宋体" w:hAnsi="宋体" w:cs="宋体"/>
          <w:b/>
          <w:bCs/>
          <w:sz w:val="24"/>
          <w:szCs w:val="24"/>
        </w:rPr>
        <w:t>20.  投标文件的补充、修改与撤回</w:t>
      </w:r>
      <w:bookmarkEnd w:id="168"/>
      <w:bookmarkEnd w:id="169"/>
      <w:bookmarkEnd w:id="170"/>
      <w:bookmarkEnd w:id="171"/>
      <w:bookmarkEnd w:id="172"/>
      <w:bookmarkEnd w:id="173"/>
      <w:bookmarkEnd w:id="174"/>
      <w:bookmarkEnd w:id="175"/>
    </w:p>
    <w:p>
      <w:pPr>
        <w:pStyle w:val="16"/>
        <w:snapToGrid w:val="0"/>
        <w:spacing w:line="360" w:lineRule="auto"/>
        <w:rPr>
          <w:rFonts w:ascii="宋体" w:hAnsi="宋体" w:cs="宋体"/>
          <w:bCs/>
          <w:sz w:val="24"/>
        </w:rPr>
      </w:pPr>
      <w:r>
        <w:rPr>
          <w:rFonts w:hint="eastAsia" w:ascii="宋体" w:hAnsi="宋体" w:cs="宋体"/>
          <w:bCs/>
          <w:sz w:val="24"/>
        </w:rPr>
        <w:t>20.1  投标人在提交投标文件以后，在规定的投标截止时间之前，可以书面形式补充修改或撤回已提交的投标文件，并以书面形式通知采购人。补充、修改的内容为投标文件的组成部分。</w:t>
      </w:r>
    </w:p>
    <w:p>
      <w:pPr>
        <w:pStyle w:val="16"/>
        <w:snapToGrid w:val="0"/>
        <w:spacing w:line="360" w:lineRule="auto"/>
        <w:rPr>
          <w:rFonts w:ascii="宋体" w:hAnsi="宋体" w:cs="宋体"/>
          <w:bCs/>
          <w:sz w:val="24"/>
        </w:rPr>
      </w:pPr>
      <w:r>
        <w:rPr>
          <w:rFonts w:hint="eastAsia" w:ascii="宋体" w:hAnsi="宋体" w:cs="宋体"/>
          <w:bCs/>
          <w:sz w:val="24"/>
        </w:rPr>
        <w:t>20.2  投标人对投标文件的补充、修改，应按本须知第15条有关规定密封、标记和提交，并在内外层投标文件密封袋上清楚标明“补充、修改”或“撤回”字样。</w:t>
      </w:r>
    </w:p>
    <w:p>
      <w:pPr>
        <w:pStyle w:val="16"/>
        <w:snapToGrid w:val="0"/>
        <w:spacing w:line="360" w:lineRule="auto"/>
        <w:rPr>
          <w:rFonts w:ascii="宋体" w:hAnsi="宋体" w:cs="宋体"/>
          <w:bCs/>
          <w:sz w:val="24"/>
        </w:rPr>
      </w:pPr>
      <w:r>
        <w:rPr>
          <w:rFonts w:hint="eastAsia" w:ascii="宋体" w:hAnsi="宋体" w:cs="宋体"/>
          <w:bCs/>
          <w:sz w:val="24"/>
        </w:rPr>
        <w:t>20.3  在投标截止时间之后，投标人不得补充、修改投标文件。</w:t>
      </w:r>
    </w:p>
    <w:p>
      <w:pPr>
        <w:pStyle w:val="16"/>
        <w:snapToGrid w:val="0"/>
        <w:spacing w:line="360" w:lineRule="auto"/>
        <w:ind w:firstLine="482"/>
        <w:rPr>
          <w:rFonts w:ascii="宋体" w:hAnsi="宋体" w:cs="宋体"/>
          <w:b/>
          <w:bCs/>
          <w:sz w:val="24"/>
        </w:rPr>
      </w:pPr>
      <w:r>
        <w:rPr>
          <w:rFonts w:hint="eastAsia" w:ascii="宋体" w:hAnsi="宋体" w:cs="宋体"/>
          <w:b/>
          <w:bCs/>
          <w:sz w:val="24"/>
        </w:rPr>
        <w:t>20.4  在投标截止时间至投标有效期满之前，投标人不得撤回其投标文件，否则其投标保证金将不予退还。</w:t>
      </w:r>
      <w:bookmarkStart w:id="176" w:name="_Toc18535"/>
      <w:bookmarkStart w:id="177" w:name="_Toc12171"/>
      <w:bookmarkStart w:id="178" w:name="_Toc447223744"/>
      <w:bookmarkStart w:id="179" w:name="_Toc25752"/>
      <w:bookmarkStart w:id="180" w:name="_Toc21389"/>
    </w:p>
    <w:p>
      <w:pPr>
        <w:pStyle w:val="3"/>
        <w:spacing w:line="360" w:lineRule="auto"/>
        <w:ind w:firstLine="482"/>
        <w:rPr>
          <w:rFonts w:ascii="宋体" w:hAnsi="宋体"/>
          <w:sz w:val="24"/>
          <w:szCs w:val="24"/>
        </w:rPr>
      </w:pPr>
      <w:bookmarkStart w:id="181" w:name="_Toc92789202"/>
      <w:bookmarkStart w:id="182" w:name="_Toc100786141"/>
      <w:r>
        <w:rPr>
          <w:rFonts w:hint="eastAsia" w:ascii="宋体" w:hAnsi="宋体"/>
          <w:sz w:val="24"/>
          <w:szCs w:val="24"/>
        </w:rPr>
        <w:t>（五）开  标</w:t>
      </w:r>
      <w:bookmarkEnd w:id="176"/>
      <w:bookmarkEnd w:id="177"/>
      <w:bookmarkEnd w:id="178"/>
      <w:bookmarkEnd w:id="179"/>
      <w:bookmarkEnd w:id="180"/>
      <w:bookmarkEnd w:id="181"/>
      <w:bookmarkEnd w:id="182"/>
    </w:p>
    <w:p>
      <w:pPr>
        <w:snapToGrid w:val="0"/>
        <w:spacing w:line="360" w:lineRule="auto"/>
        <w:ind w:firstLine="482"/>
        <w:rPr>
          <w:rFonts w:ascii="宋体" w:hAnsi="宋体" w:cs="宋体"/>
          <w:b/>
          <w:bCs/>
          <w:sz w:val="24"/>
          <w:szCs w:val="24"/>
        </w:rPr>
      </w:pPr>
      <w:bookmarkStart w:id="183" w:name="_Toc925"/>
      <w:bookmarkStart w:id="184" w:name="_Toc445984944"/>
      <w:bookmarkStart w:id="185" w:name="_Toc447223745"/>
      <w:bookmarkStart w:id="186" w:name="_Toc445916574"/>
      <w:bookmarkStart w:id="187" w:name="_Toc30348"/>
      <w:bookmarkStart w:id="188" w:name="_Toc445903411"/>
      <w:bookmarkStart w:id="189" w:name="_Toc445845744"/>
      <w:bookmarkStart w:id="190" w:name="_Toc10857"/>
      <w:r>
        <w:rPr>
          <w:rFonts w:hint="eastAsia" w:ascii="宋体" w:hAnsi="宋体" w:cs="宋体"/>
          <w:b/>
          <w:bCs/>
          <w:sz w:val="24"/>
          <w:szCs w:val="24"/>
        </w:rPr>
        <w:t>21.  开标</w:t>
      </w:r>
      <w:bookmarkEnd w:id="183"/>
      <w:bookmarkEnd w:id="184"/>
      <w:bookmarkEnd w:id="185"/>
      <w:bookmarkEnd w:id="186"/>
      <w:bookmarkEnd w:id="187"/>
      <w:bookmarkEnd w:id="188"/>
      <w:bookmarkEnd w:id="189"/>
      <w:bookmarkEnd w:id="190"/>
    </w:p>
    <w:p>
      <w:pPr>
        <w:pStyle w:val="16"/>
        <w:snapToGrid w:val="0"/>
        <w:spacing w:line="360" w:lineRule="auto"/>
        <w:rPr>
          <w:rFonts w:ascii="宋体" w:hAnsi="宋体" w:cs="宋体"/>
          <w:bCs/>
          <w:sz w:val="24"/>
        </w:rPr>
      </w:pPr>
      <w:r>
        <w:rPr>
          <w:rFonts w:hint="eastAsia" w:ascii="宋体" w:hAnsi="宋体" w:cs="宋体"/>
          <w:bCs/>
          <w:sz w:val="24"/>
        </w:rPr>
        <w:t xml:space="preserve">21.1  </w:t>
      </w:r>
      <w:r>
        <w:rPr>
          <w:rFonts w:hint="eastAsia" w:ascii="宋体" w:hAnsi="宋体" w:cs="宋体"/>
          <w:sz w:val="24"/>
        </w:rPr>
        <w:t>招标采购单位应当按第一章《投标邀请》的规定，在投标截止时间的同一时间和第一章《投标邀请》预先确定的地点组织开标，见</w:t>
      </w:r>
      <w:r>
        <w:rPr>
          <w:rFonts w:hint="eastAsia" w:ascii="宋体" w:hAnsi="宋体" w:cs="宋体"/>
          <w:bCs/>
          <w:sz w:val="24"/>
        </w:rPr>
        <w:t>《投标人须知资料表》</w:t>
      </w:r>
      <w:r>
        <w:rPr>
          <w:rFonts w:hint="eastAsia" w:ascii="宋体" w:hAnsi="宋体" w:cs="宋体"/>
          <w:sz w:val="24"/>
        </w:rPr>
        <w:t>。开标时邀请所有投标人代表、采购人和有关方面代表参加。参加开标的代表应签名报到以证明其出席。</w:t>
      </w:r>
    </w:p>
    <w:p>
      <w:pPr>
        <w:pStyle w:val="16"/>
        <w:snapToGrid w:val="0"/>
        <w:spacing w:line="360" w:lineRule="auto"/>
        <w:rPr>
          <w:rFonts w:ascii="宋体" w:hAnsi="宋体" w:cs="宋体"/>
          <w:bCs/>
          <w:sz w:val="24"/>
        </w:rPr>
      </w:pPr>
      <w:r>
        <w:rPr>
          <w:rFonts w:hint="eastAsia" w:ascii="宋体" w:hAnsi="宋体" w:cs="宋体"/>
          <w:bCs/>
          <w:sz w:val="24"/>
        </w:rPr>
        <w:t>21.2  邀请所有投标人法定代表人参加开标会议，法定代表人不能参加的须指定其委托代理人参加。</w:t>
      </w:r>
      <w:r>
        <w:rPr>
          <w:rFonts w:hint="eastAsia" w:ascii="宋体" w:hAnsi="宋体" w:cs="宋体"/>
          <w:sz w:val="24"/>
        </w:rPr>
        <w:t>法定代表人或其委托代理人应携带法定代表人证明文件或法定代表人授权委托书，并出示有效身份证件（原件和复印件），证明其身份</w:t>
      </w:r>
      <w:r>
        <w:rPr>
          <w:rFonts w:hint="eastAsia" w:ascii="宋体" w:hAnsi="宋体" w:cs="宋体"/>
          <w:bCs/>
          <w:sz w:val="24"/>
        </w:rPr>
        <w:t>。投标人代表对开标过程和开标记录有疑义，以及认为采购人、采购代理机构相关工作人员有需要回避的情形的，应当场提出询问或者回避申请。投标人未参加开标的，视同认可开标结果。</w:t>
      </w:r>
    </w:p>
    <w:p>
      <w:pPr>
        <w:pStyle w:val="16"/>
        <w:snapToGrid w:val="0"/>
        <w:spacing w:line="360" w:lineRule="auto"/>
        <w:rPr>
          <w:rFonts w:ascii="宋体" w:hAnsi="宋体" w:cs="宋体"/>
          <w:bCs/>
          <w:sz w:val="24"/>
        </w:rPr>
      </w:pPr>
      <w:r>
        <w:rPr>
          <w:rFonts w:hint="eastAsia" w:ascii="宋体" w:hAnsi="宋体" w:cs="宋体"/>
          <w:bCs/>
          <w:sz w:val="24"/>
        </w:rPr>
        <w:t>21.3  按规定提交合格的撤回通知的投标文件不予开封，并退回给投标人。</w:t>
      </w:r>
    </w:p>
    <w:p>
      <w:pPr>
        <w:pStyle w:val="16"/>
        <w:snapToGrid w:val="0"/>
        <w:spacing w:line="360" w:lineRule="auto"/>
        <w:ind w:firstLine="482"/>
        <w:rPr>
          <w:rFonts w:ascii="宋体" w:hAnsi="宋体" w:cs="宋体"/>
          <w:b/>
          <w:bCs/>
          <w:sz w:val="24"/>
        </w:rPr>
      </w:pPr>
      <w:r>
        <w:rPr>
          <w:rFonts w:hint="eastAsia" w:ascii="宋体" w:hAnsi="宋体" w:cs="宋体"/>
          <w:b/>
          <w:bCs/>
          <w:sz w:val="24"/>
        </w:rPr>
        <w:t>21.4  投标文件有下列情况之一的，采购人不予接受：</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21.4.1  逾期送达的；</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21.4.2  未按照招标文件要求密封的。</w:t>
      </w:r>
    </w:p>
    <w:p>
      <w:pPr>
        <w:pStyle w:val="16"/>
        <w:snapToGrid w:val="0"/>
        <w:spacing w:line="360" w:lineRule="auto"/>
        <w:rPr>
          <w:rFonts w:ascii="宋体" w:hAnsi="宋体" w:cs="宋体"/>
          <w:bCs/>
          <w:sz w:val="24"/>
        </w:rPr>
      </w:pPr>
      <w:r>
        <w:rPr>
          <w:rFonts w:hint="eastAsia" w:ascii="宋体" w:hAnsi="宋体" w:cs="宋体"/>
          <w:bCs/>
          <w:sz w:val="24"/>
        </w:rPr>
        <w:t>21.5  开标程序：</w:t>
      </w:r>
    </w:p>
    <w:p>
      <w:pPr>
        <w:snapToGrid w:val="0"/>
        <w:spacing w:line="360" w:lineRule="auto"/>
        <w:rPr>
          <w:rFonts w:ascii="宋体" w:hAnsi="宋体" w:cs="宋体"/>
          <w:bCs/>
          <w:sz w:val="24"/>
          <w:szCs w:val="24"/>
        </w:rPr>
      </w:pPr>
      <w:r>
        <w:rPr>
          <w:rFonts w:hint="eastAsia" w:ascii="宋体" w:hAnsi="宋体" w:cs="宋体"/>
          <w:bCs/>
          <w:sz w:val="24"/>
          <w:szCs w:val="24"/>
        </w:rPr>
        <w:t>21.5.1  开标由采购人或采购代理机构工作人员主持；</w:t>
      </w:r>
    </w:p>
    <w:p>
      <w:pPr>
        <w:snapToGrid w:val="0"/>
        <w:spacing w:line="360" w:lineRule="auto"/>
        <w:rPr>
          <w:rFonts w:ascii="宋体" w:hAnsi="宋体" w:cs="宋体"/>
          <w:bCs/>
          <w:sz w:val="24"/>
          <w:szCs w:val="24"/>
        </w:rPr>
      </w:pPr>
      <w:r>
        <w:rPr>
          <w:rFonts w:hint="eastAsia" w:ascii="宋体" w:hAnsi="宋体" w:cs="宋体"/>
          <w:bCs/>
          <w:sz w:val="24"/>
          <w:szCs w:val="24"/>
        </w:rPr>
        <w:t xml:space="preserve">21.5.2  由投标人或其推选的代表检查投标文件的密封情况； </w:t>
      </w:r>
    </w:p>
    <w:p>
      <w:pPr>
        <w:snapToGrid w:val="0"/>
        <w:spacing w:line="360" w:lineRule="auto"/>
        <w:rPr>
          <w:rFonts w:ascii="宋体" w:hAnsi="宋体" w:cs="宋体"/>
          <w:bCs/>
          <w:sz w:val="24"/>
          <w:szCs w:val="24"/>
        </w:rPr>
      </w:pPr>
      <w:r>
        <w:rPr>
          <w:rFonts w:hint="eastAsia" w:ascii="宋体" w:hAnsi="宋体" w:cs="宋体"/>
          <w:bCs/>
          <w:sz w:val="24"/>
          <w:szCs w:val="24"/>
        </w:rPr>
        <w:t>21.5.3  经确认无误后，由采购人或采购代理机构工作人员当众拆封，宣布投标人名称、投标价格和招标文件规定的需要宣布的其他内容；</w:t>
      </w:r>
    </w:p>
    <w:p>
      <w:pPr>
        <w:snapToGrid w:val="0"/>
        <w:spacing w:line="360" w:lineRule="auto"/>
        <w:rPr>
          <w:rFonts w:ascii="宋体" w:hAnsi="宋体" w:cs="宋体"/>
          <w:bCs/>
          <w:sz w:val="24"/>
          <w:szCs w:val="24"/>
        </w:rPr>
      </w:pPr>
      <w:r>
        <w:rPr>
          <w:rFonts w:hint="eastAsia" w:ascii="宋体" w:hAnsi="宋体" w:cs="宋体"/>
          <w:bCs/>
          <w:sz w:val="24"/>
          <w:szCs w:val="24"/>
        </w:rPr>
        <w:t>21.5.4  采购人在招标文件要求提交投标文件的截止时间前收到的投标文件，开标时都应当众予以拆封、宣读。除国家法律、法规另有规定的外，开标后的投标文件概不退回；</w:t>
      </w:r>
    </w:p>
    <w:p>
      <w:pPr>
        <w:snapToGrid w:val="0"/>
        <w:spacing w:line="360" w:lineRule="auto"/>
        <w:rPr>
          <w:rFonts w:ascii="宋体" w:hAnsi="宋体" w:cs="宋体"/>
          <w:bCs/>
          <w:sz w:val="24"/>
          <w:szCs w:val="24"/>
        </w:rPr>
      </w:pPr>
      <w:r>
        <w:rPr>
          <w:rFonts w:hint="eastAsia" w:ascii="宋体" w:hAnsi="宋体" w:cs="宋体"/>
          <w:bCs/>
          <w:sz w:val="24"/>
          <w:szCs w:val="24"/>
        </w:rPr>
        <w:t>21.5.5  采购代理机构对开标过程进行记录。</w:t>
      </w:r>
      <w:r>
        <w:rPr>
          <w:rFonts w:hint="eastAsia" w:ascii="宋体" w:hAnsi="宋体" w:cs="宋体"/>
          <w:sz w:val="24"/>
          <w:szCs w:val="24"/>
        </w:rPr>
        <w:t>开标记录表由记录人、唱标人、投标人法定代表人或其委托代理人和有关人员签字确认，</w:t>
      </w:r>
      <w:r>
        <w:rPr>
          <w:rFonts w:hint="eastAsia" w:ascii="宋体" w:hAnsi="宋体" w:cs="宋体"/>
          <w:bCs/>
          <w:sz w:val="24"/>
          <w:szCs w:val="24"/>
        </w:rPr>
        <w:t>并存档备查。</w:t>
      </w:r>
    </w:p>
    <w:p>
      <w:pPr>
        <w:snapToGrid w:val="0"/>
        <w:spacing w:line="360" w:lineRule="auto"/>
        <w:rPr>
          <w:rFonts w:ascii="宋体" w:hAnsi="宋体" w:cs="宋体"/>
          <w:bCs/>
          <w:sz w:val="24"/>
          <w:szCs w:val="24"/>
        </w:rPr>
      </w:pPr>
      <w:r>
        <w:rPr>
          <w:rFonts w:hint="eastAsia" w:ascii="宋体" w:hAnsi="宋体" w:cs="宋体"/>
          <w:bCs/>
          <w:sz w:val="24"/>
          <w:szCs w:val="24"/>
        </w:rPr>
        <w:t>21.6  投标人不足3家的，不予开标。</w:t>
      </w:r>
    </w:p>
    <w:p>
      <w:pPr>
        <w:snapToGrid w:val="0"/>
        <w:spacing w:line="360" w:lineRule="auto"/>
        <w:ind w:firstLine="420"/>
        <w:rPr>
          <w:rFonts w:ascii="宋体" w:hAnsi="宋体" w:cs="宋体"/>
        </w:rPr>
      </w:pPr>
    </w:p>
    <w:p>
      <w:pPr>
        <w:pStyle w:val="3"/>
        <w:spacing w:line="360" w:lineRule="auto"/>
        <w:ind w:firstLine="482"/>
        <w:rPr>
          <w:rFonts w:ascii="宋体" w:hAnsi="宋体"/>
          <w:sz w:val="24"/>
          <w:szCs w:val="24"/>
        </w:rPr>
      </w:pPr>
      <w:bookmarkStart w:id="191" w:name="_Toc447223746"/>
      <w:bookmarkStart w:id="192" w:name="_Toc1621"/>
      <w:bookmarkStart w:id="193" w:name="_Toc15102"/>
      <w:bookmarkStart w:id="194" w:name="_Toc100786142"/>
      <w:bookmarkStart w:id="195" w:name="_Toc7880"/>
      <w:bookmarkStart w:id="196" w:name="_Toc11263"/>
      <w:bookmarkStart w:id="197" w:name="_Toc92789203"/>
      <w:r>
        <w:rPr>
          <w:rFonts w:hint="eastAsia" w:ascii="宋体" w:hAnsi="宋体"/>
          <w:sz w:val="24"/>
          <w:szCs w:val="24"/>
        </w:rPr>
        <w:t>（六）资格审查和评标</w:t>
      </w:r>
      <w:bookmarkEnd w:id="191"/>
      <w:bookmarkEnd w:id="192"/>
      <w:bookmarkEnd w:id="193"/>
      <w:bookmarkEnd w:id="194"/>
      <w:bookmarkEnd w:id="195"/>
      <w:bookmarkEnd w:id="196"/>
      <w:bookmarkEnd w:id="197"/>
    </w:p>
    <w:p>
      <w:pPr>
        <w:snapToGrid w:val="0"/>
        <w:spacing w:line="360" w:lineRule="auto"/>
        <w:ind w:firstLine="482"/>
        <w:rPr>
          <w:rFonts w:ascii="宋体" w:hAnsi="宋体" w:cs="宋体"/>
          <w:b/>
          <w:sz w:val="24"/>
          <w:szCs w:val="24"/>
        </w:rPr>
      </w:pPr>
      <w:r>
        <w:rPr>
          <w:rFonts w:hint="eastAsia" w:ascii="宋体" w:hAnsi="宋体" w:cs="宋体"/>
          <w:b/>
          <w:sz w:val="24"/>
          <w:szCs w:val="24"/>
        </w:rPr>
        <w:t>22.  资格审查</w:t>
      </w:r>
    </w:p>
    <w:p>
      <w:pPr>
        <w:pStyle w:val="16"/>
        <w:snapToGrid w:val="0"/>
        <w:spacing w:line="360" w:lineRule="auto"/>
        <w:rPr>
          <w:rFonts w:ascii="宋体" w:hAnsi="宋体" w:cs="宋体"/>
          <w:bCs/>
          <w:sz w:val="24"/>
        </w:rPr>
      </w:pPr>
      <w:r>
        <w:rPr>
          <w:rFonts w:hint="eastAsia" w:ascii="宋体" w:hAnsi="宋体" w:cs="宋体"/>
          <w:bCs/>
          <w:sz w:val="24"/>
        </w:rPr>
        <w:t>22.1  开标结束后由采购人或采购代理机构对投标人的资格进行审查。资格审查内容见第三章</w:t>
      </w:r>
      <w:r>
        <w:rPr>
          <w:rFonts w:hint="eastAsia" w:ascii="宋体" w:hAnsi="宋体" w:cs="宋体"/>
          <w:sz w:val="24"/>
        </w:rPr>
        <w:t>《资格审查》</w:t>
      </w:r>
      <w:r>
        <w:rPr>
          <w:rFonts w:hint="eastAsia" w:ascii="宋体" w:hAnsi="宋体" w:cs="宋体"/>
          <w:bCs/>
          <w:sz w:val="24"/>
        </w:rPr>
        <w:t>。</w:t>
      </w:r>
    </w:p>
    <w:p>
      <w:pPr>
        <w:pStyle w:val="16"/>
        <w:snapToGrid w:val="0"/>
        <w:spacing w:line="360" w:lineRule="auto"/>
        <w:rPr>
          <w:rFonts w:ascii="宋体" w:hAnsi="宋体" w:cs="宋体"/>
          <w:bCs/>
          <w:sz w:val="24"/>
        </w:rPr>
      </w:pPr>
      <w:r>
        <w:rPr>
          <w:rFonts w:hint="eastAsia" w:ascii="宋体" w:hAnsi="宋体" w:cs="宋体"/>
          <w:bCs/>
          <w:sz w:val="24"/>
        </w:rPr>
        <w:t>22.2  经资格审查合格投标人不足3家的，不得评标。经资格审查合格投标人3家及以上的，将合格投标人的投标文件提交评标委员会进行评审。</w:t>
      </w:r>
    </w:p>
    <w:p>
      <w:pPr>
        <w:snapToGrid w:val="0"/>
        <w:spacing w:line="360" w:lineRule="auto"/>
        <w:ind w:firstLine="482"/>
        <w:rPr>
          <w:rFonts w:ascii="宋体" w:hAnsi="宋体" w:cs="宋体"/>
          <w:b/>
          <w:sz w:val="24"/>
          <w:szCs w:val="24"/>
        </w:rPr>
      </w:pPr>
      <w:bookmarkStart w:id="198" w:name="_Toc445845746"/>
      <w:bookmarkStart w:id="199" w:name="_Toc445984946"/>
      <w:bookmarkStart w:id="200" w:name="_Toc445903413"/>
      <w:bookmarkStart w:id="201" w:name="_Toc15540"/>
      <w:bookmarkStart w:id="202" w:name="_Toc447223747"/>
      <w:bookmarkStart w:id="203" w:name="_Toc14072"/>
      <w:bookmarkStart w:id="204" w:name="_Toc7584"/>
      <w:bookmarkStart w:id="205" w:name="_Toc445916576"/>
      <w:r>
        <w:rPr>
          <w:rFonts w:hint="eastAsia" w:ascii="宋体" w:hAnsi="宋体" w:cs="宋体"/>
          <w:b/>
          <w:sz w:val="24"/>
          <w:szCs w:val="24"/>
        </w:rPr>
        <w:t>23.  组建评标委员会</w:t>
      </w:r>
      <w:bookmarkEnd w:id="198"/>
      <w:bookmarkEnd w:id="199"/>
      <w:bookmarkEnd w:id="200"/>
      <w:bookmarkEnd w:id="201"/>
      <w:bookmarkEnd w:id="202"/>
      <w:bookmarkEnd w:id="203"/>
      <w:bookmarkEnd w:id="204"/>
      <w:bookmarkEnd w:id="205"/>
    </w:p>
    <w:p>
      <w:pPr>
        <w:snapToGrid w:val="0"/>
        <w:spacing w:line="360" w:lineRule="auto"/>
        <w:rPr>
          <w:rFonts w:ascii="宋体" w:hAnsi="宋体" w:cs="宋体"/>
          <w:bCs/>
          <w:sz w:val="24"/>
          <w:szCs w:val="24"/>
        </w:rPr>
      </w:pPr>
      <w:bookmarkStart w:id="206" w:name="_Toc445916577"/>
      <w:bookmarkStart w:id="207" w:name="_Toc447223748"/>
      <w:bookmarkStart w:id="208" w:name="_Toc16062"/>
      <w:bookmarkStart w:id="209" w:name="_Toc1212"/>
      <w:bookmarkStart w:id="210" w:name="_Toc445845747"/>
      <w:bookmarkStart w:id="211" w:name="_Toc25001"/>
      <w:bookmarkStart w:id="212" w:name="_Toc445984947"/>
      <w:bookmarkStart w:id="213" w:name="_Toc445903414"/>
      <w:r>
        <w:rPr>
          <w:rFonts w:hint="eastAsia" w:ascii="宋体" w:hAnsi="宋体" w:cs="宋体"/>
          <w:bCs/>
          <w:sz w:val="24"/>
          <w:szCs w:val="24"/>
        </w:rPr>
        <w:t>23.1  评标委员会根据政府采购有关规定和本次招标采购项目的特点进行组建，并负责具体评标事务，独立履行职责。评标委员会由采购人代表和评审专家组成，成员人数为5人</w:t>
      </w:r>
      <w:r>
        <w:rPr>
          <w:rFonts w:hint="eastAsia" w:ascii="宋体" w:hAnsi="宋体" w:cs="宋体"/>
          <w:sz w:val="24"/>
          <w:szCs w:val="24"/>
        </w:rPr>
        <w:t>（含）</w:t>
      </w:r>
      <w:r>
        <w:rPr>
          <w:rFonts w:hint="eastAsia" w:ascii="宋体" w:hAnsi="宋体" w:cs="宋体"/>
          <w:bCs/>
          <w:sz w:val="24"/>
          <w:szCs w:val="24"/>
        </w:rPr>
        <w:t>以上单数，其中评审专家不得少于成员总数的2/3。</w:t>
      </w:r>
      <w:bookmarkEnd w:id="206"/>
      <w:bookmarkEnd w:id="207"/>
      <w:bookmarkEnd w:id="208"/>
      <w:bookmarkEnd w:id="209"/>
      <w:bookmarkEnd w:id="210"/>
      <w:bookmarkEnd w:id="211"/>
      <w:bookmarkEnd w:id="212"/>
      <w:bookmarkEnd w:id="213"/>
    </w:p>
    <w:p>
      <w:pPr>
        <w:snapToGrid w:val="0"/>
        <w:spacing w:line="360" w:lineRule="auto"/>
        <w:rPr>
          <w:rFonts w:ascii="宋体" w:hAnsi="宋体" w:cs="宋体"/>
          <w:sz w:val="24"/>
        </w:rPr>
      </w:pPr>
      <w:r>
        <w:rPr>
          <w:rFonts w:hint="eastAsia" w:ascii="宋体" w:hAnsi="宋体" w:cs="宋体"/>
          <w:bCs/>
          <w:sz w:val="24"/>
          <w:szCs w:val="24"/>
        </w:rPr>
        <w:t>23.2</w:t>
      </w: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snapToGrid w:val="0"/>
        <w:spacing w:line="360" w:lineRule="auto"/>
        <w:ind w:firstLine="482"/>
        <w:rPr>
          <w:rFonts w:ascii="宋体" w:hAnsi="宋体" w:cs="宋体"/>
          <w:b/>
          <w:bCs/>
          <w:sz w:val="24"/>
          <w:szCs w:val="24"/>
        </w:rPr>
      </w:pPr>
      <w:bookmarkStart w:id="214" w:name="_Toc447223749"/>
      <w:bookmarkStart w:id="215" w:name="_Toc11726"/>
      <w:bookmarkStart w:id="216" w:name="_Toc445984948"/>
      <w:bookmarkStart w:id="217" w:name="_Toc445916578"/>
      <w:bookmarkStart w:id="218" w:name="_Toc28367"/>
      <w:bookmarkStart w:id="219" w:name="_Toc445845748"/>
      <w:bookmarkStart w:id="220" w:name="_Toc2507"/>
      <w:bookmarkStart w:id="221" w:name="_Toc445903415"/>
      <w:bookmarkStart w:id="222" w:name="_Toc42692517"/>
      <w:r>
        <w:rPr>
          <w:rFonts w:hint="eastAsia" w:ascii="宋体" w:hAnsi="宋体" w:cs="宋体"/>
          <w:b/>
          <w:bCs/>
          <w:sz w:val="24"/>
          <w:szCs w:val="24"/>
        </w:rPr>
        <w:t>24.</w:t>
      </w:r>
      <w:bookmarkEnd w:id="214"/>
      <w:bookmarkEnd w:id="215"/>
      <w:bookmarkEnd w:id="216"/>
      <w:bookmarkEnd w:id="217"/>
      <w:bookmarkEnd w:id="218"/>
      <w:bookmarkEnd w:id="219"/>
      <w:bookmarkEnd w:id="220"/>
      <w:bookmarkEnd w:id="221"/>
      <w:bookmarkEnd w:id="222"/>
      <w:r>
        <w:rPr>
          <w:rFonts w:hint="eastAsia" w:ascii="宋体" w:hAnsi="宋体" w:cs="宋体"/>
          <w:b/>
          <w:bCs/>
          <w:sz w:val="24"/>
          <w:szCs w:val="24"/>
        </w:rPr>
        <w:t xml:space="preserve">  评标程序、评标方法和评标标准</w:t>
      </w:r>
    </w:p>
    <w:p>
      <w:pPr>
        <w:tabs>
          <w:tab w:val="left" w:pos="426"/>
        </w:tabs>
        <w:snapToGrid w:val="0"/>
        <w:spacing w:line="360" w:lineRule="auto"/>
        <w:rPr>
          <w:rFonts w:ascii="宋体" w:hAnsi="宋体" w:cs="宋体"/>
          <w:bCs/>
          <w:sz w:val="24"/>
          <w:szCs w:val="24"/>
        </w:rPr>
      </w:pPr>
      <w:r>
        <w:rPr>
          <w:rFonts w:hint="eastAsia" w:ascii="宋体" w:hAnsi="宋体" w:cs="宋体"/>
          <w:bCs/>
          <w:sz w:val="24"/>
          <w:szCs w:val="24"/>
        </w:rPr>
        <w:t xml:space="preserve">    见第六章</w:t>
      </w:r>
      <w:r>
        <w:rPr>
          <w:rFonts w:hint="eastAsia" w:ascii="宋体" w:hAnsi="宋体" w:cs="宋体"/>
          <w:sz w:val="24"/>
        </w:rPr>
        <w:t>《评标程序、评标方法和评标标准》。</w:t>
      </w:r>
    </w:p>
    <w:p>
      <w:pPr>
        <w:snapToGrid w:val="0"/>
        <w:spacing w:line="360" w:lineRule="auto"/>
        <w:ind w:firstLine="482"/>
        <w:rPr>
          <w:rFonts w:ascii="宋体" w:hAnsi="宋体" w:cs="宋体"/>
          <w:b/>
          <w:bCs/>
          <w:sz w:val="24"/>
          <w:szCs w:val="24"/>
        </w:rPr>
      </w:pPr>
      <w:bookmarkStart w:id="223" w:name="_Toc24951"/>
      <w:bookmarkStart w:id="224" w:name="_Toc445845752"/>
      <w:bookmarkStart w:id="225" w:name="_Toc3933"/>
      <w:bookmarkStart w:id="226" w:name="_Toc447223753"/>
      <w:bookmarkStart w:id="227" w:name="_Toc445916582"/>
      <w:bookmarkStart w:id="228" w:name="_Toc445903419"/>
      <w:bookmarkStart w:id="229" w:name="_Toc10543"/>
      <w:bookmarkStart w:id="230" w:name="_Toc445984952"/>
      <w:bookmarkStart w:id="231" w:name="_Toc42692520"/>
      <w:r>
        <w:rPr>
          <w:rFonts w:hint="eastAsia" w:ascii="宋体" w:hAnsi="宋体" w:cs="宋体"/>
          <w:b/>
          <w:bCs/>
          <w:sz w:val="24"/>
          <w:szCs w:val="24"/>
        </w:rPr>
        <w:t>25.  投标文件的评审、比较和否决</w:t>
      </w:r>
      <w:bookmarkEnd w:id="223"/>
      <w:bookmarkEnd w:id="224"/>
      <w:bookmarkEnd w:id="225"/>
      <w:bookmarkEnd w:id="226"/>
      <w:bookmarkEnd w:id="227"/>
      <w:bookmarkEnd w:id="228"/>
      <w:bookmarkEnd w:id="229"/>
      <w:bookmarkEnd w:id="230"/>
      <w:bookmarkEnd w:id="231"/>
    </w:p>
    <w:p>
      <w:pPr>
        <w:pStyle w:val="16"/>
        <w:snapToGrid w:val="0"/>
        <w:spacing w:line="360" w:lineRule="auto"/>
        <w:rPr>
          <w:rFonts w:ascii="宋体" w:hAnsi="宋体" w:cs="宋体"/>
          <w:sz w:val="24"/>
        </w:rPr>
      </w:pPr>
      <w:r>
        <w:rPr>
          <w:rFonts w:hint="eastAsia" w:ascii="宋体" w:hAnsi="宋体" w:cs="宋体"/>
          <w:bCs/>
          <w:sz w:val="24"/>
        </w:rPr>
        <w:t>26.1  评标委员会将按照本须知第24条规定，仅对在实质上响应招标文件要求的投标文件进行评估和比较。</w:t>
      </w:r>
      <w:r>
        <w:rPr>
          <w:rFonts w:hint="eastAsia" w:ascii="宋体" w:hAnsi="宋体" w:cs="宋体"/>
          <w:sz w:val="24"/>
        </w:rPr>
        <w:t>经符合性评审合格的投标文件，评标委员会将根据招标文件确定的评标方法和评标标准，对其技术部分和商务部分作进一步的比较和评价。</w:t>
      </w:r>
    </w:p>
    <w:p>
      <w:pPr>
        <w:pStyle w:val="16"/>
        <w:snapToGrid w:val="0"/>
        <w:spacing w:line="360" w:lineRule="auto"/>
        <w:rPr>
          <w:rFonts w:ascii="宋体" w:hAnsi="宋体" w:cs="宋体"/>
          <w:bCs/>
          <w:sz w:val="24"/>
        </w:rPr>
      </w:pPr>
      <w:r>
        <w:rPr>
          <w:rFonts w:hint="eastAsia" w:ascii="宋体" w:hAnsi="宋体" w:cs="宋体"/>
          <w:bCs/>
          <w:sz w:val="24"/>
        </w:rPr>
        <w:t>26.2  评标委员会依据本招标文件第六章《</w:t>
      </w:r>
      <w:r>
        <w:rPr>
          <w:rFonts w:hint="eastAsia" w:ascii="宋体" w:hAnsi="宋体" w:cs="宋体"/>
          <w:sz w:val="24"/>
        </w:rPr>
        <w:t>评标程序、评标方法和评标标准</w:t>
      </w:r>
      <w:r>
        <w:rPr>
          <w:rFonts w:hint="eastAsia" w:ascii="宋体" w:hAnsi="宋体" w:cs="宋体"/>
          <w:bCs/>
          <w:sz w:val="24"/>
        </w:rPr>
        <w:t>》，对投标文件进行评审和比较，向采购人提出书面评标报告，并按综合排名依次推荐合格投标人为中标候选人。本项目中标候选人推荐数量见《投标人须知资料表》。</w:t>
      </w:r>
    </w:p>
    <w:p>
      <w:pPr>
        <w:pStyle w:val="16"/>
        <w:snapToGrid w:val="0"/>
        <w:spacing w:line="360" w:lineRule="auto"/>
        <w:rPr>
          <w:rFonts w:ascii="宋体" w:hAnsi="宋体" w:cs="宋体"/>
          <w:bCs/>
          <w:sz w:val="24"/>
        </w:rPr>
      </w:pPr>
      <w:r>
        <w:rPr>
          <w:rFonts w:hint="eastAsia" w:ascii="宋体" w:hAnsi="宋体" w:cs="宋体"/>
          <w:bCs/>
          <w:sz w:val="24"/>
        </w:rPr>
        <w:t>26.3  采购人根据评标委员会提出的书面评标报告和推荐的中标候选人，依据国家和地方现行法规确定中标人。采购人也可以授权评标委员会依据现行法规直接确定中标人。本项目确定中标人的方式见《投标人须知资料表》。</w:t>
      </w:r>
    </w:p>
    <w:p>
      <w:pPr>
        <w:pStyle w:val="16"/>
        <w:snapToGrid w:val="0"/>
        <w:spacing w:line="360" w:lineRule="auto"/>
        <w:rPr>
          <w:rFonts w:ascii="宋体" w:hAnsi="宋体" w:cs="宋体"/>
          <w:bCs/>
          <w:sz w:val="24"/>
        </w:rPr>
      </w:pPr>
      <w:r>
        <w:rPr>
          <w:rFonts w:hint="eastAsia" w:ascii="宋体" w:hAnsi="宋体" w:cs="宋体"/>
          <w:bCs/>
          <w:sz w:val="24"/>
        </w:rPr>
        <w:t>26.4  经评标委员会评审，有效投标不足三家的，采购人应当依法重新招标或者经主管部门批准采用其他方式采购。</w:t>
      </w:r>
    </w:p>
    <w:p>
      <w:pPr>
        <w:snapToGrid w:val="0"/>
        <w:spacing w:line="360" w:lineRule="auto"/>
        <w:ind w:firstLine="482"/>
        <w:rPr>
          <w:rFonts w:ascii="宋体" w:hAnsi="宋体" w:cs="宋体"/>
          <w:b/>
          <w:sz w:val="24"/>
          <w:szCs w:val="24"/>
        </w:rPr>
      </w:pPr>
      <w:bookmarkStart w:id="232" w:name="_Toc445916583"/>
      <w:bookmarkStart w:id="233" w:name="_Toc16076"/>
      <w:bookmarkStart w:id="234" w:name="_Toc2719"/>
      <w:bookmarkStart w:id="235" w:name="_Toc445845753"/>
      <w:bookmarkStart w:id="236" w:name="_Toc447223754"/>
      <w:bookmarkStart w:id="237" w:name="_Toc28587"/>
      <w:bookmarkStart w:id="238" w:name="_Toc445984953"/>
      <w:bookmarkStart w:id="239" w:name="_Toc445903420"/>
      <w:r>
        <w:rPr>
          <w:rFonts w:hint="eastAsia" w:ascii="宋体" w:hAnsi="宋体" w:cs="宋体"/>
          <w:b/>
          <w:sz w:val="24"/>
          <w:szCs w:val="24"/>
        </w:rPr>
        <w:t>27.  评标方法和标准</w:t>
      </w:r>
      <w:bookmarkEnd w:id="232"/>
      <w:bookmarkEnd w:id="233"/>
      <w:bookmarkEnd w:id="234"/>
      <w:bookmarkEnd w:id="235"/>
      <w:bookmarkEnd w:id="236"/>
      <w:bookmarkEnd w:id="237"/>
      <w:bookmarkEnd w:id="238"/>
      <w:bookmarkEnd w:id="239"/>
    </w:p>
    <w:p>
      <w:pPr>
        <w:pStyle w:val="16"/>
        <w:snapToGrid w:val="0"/>
        <w:spacing w:line="360" w:lineRule="auto"/>
        <w:ind w:firstLine="480" w:firstLineChars="200"/>
        <w:rPr>
          <w:rFonts w:ascii="宋体" w:hAnsi="宋体" w:cs="宋体"/>
          <w:bCs/>
          <w:sz w:val="24"/>
        </w:rPr>
      </w:pPr>
      <w:r>
        <w:rPr>
          <w:rFonts w:hint="eastAsia" w:ascii="宋体" w:hAnsi="宋体" w:cs="宋体"/>
          <w:bCs/>
          <w:sz w:val="24"/>
        </w:rPr>
        <w:t>见第六章《评标程序、评标方法和评标标准》。</w:t>
      </w:r>
    </w:p>
    <w:p>
      <w:pPr>
        <w:snapToGrid w:val="0"/>
        <w:spacing w:line="360" w:lineRule="auto"/>
        <w:ind w:firstLine="482"/>
        <w:rPr>
          <w:rFonts w:ascii="宋体" w:hAnsi="宋体" w:cs="宋体"/>
          <w:b/>
          <w:sz w:val="24"/>
          <w:szCs w:val="24"/>
        </w:rPr>
      </w:pPr>
      <w:bookmarkStart w:id="240" w:name="_Toc42692521"/>
      <w:bookmarkStart w:id="241" w:name="_Toc29843"/>
      <w:bookmarkStart w:id="242" w:name="_Toc23644"/>
      <w:bookmarkStart w:id="243" w:name="_Toc445845754"/>
      <w:bookmarkStart w:id="244" w:name="_Toc445903421"/>
      <w:bookmarkStart w:id="245" w:name="_Toc447223755"/>
      <w:bookmarkStart w:id="246" w:name="_Toc445984954"/>
      <w:bookmarkStart w:id="247" w:name="_Toc445916584"/>
      <w:bookmarkStart w:id="248" w:name="_Toc16949"/>
      <w:r>
        <w:rPr>
          <w:rFonts w:hint="eastAsia" w:ascii="宋体" w:hAnsi="宋体" w:cs="宋体"/>
          <w:b/>
          <w:sz w:val="24"/>
          <w:szCs w:val="24"/>
        </w:rPr>
        <w:t>28.  评标过程的保密</w:t>
      </w:r>
      <w:bookmarkEnd w:id="240"/>
      <w:bookmarkEnd w:id="241"/>
      <w:bookmarkEnd w:id="242"/>
      <w:bookmarkEnd w:id="243"/>
      <w:bookmarkEnd w:id="244"/>
      <w:bookmarkEnd w:id="245"/>
      <w:bookmarkEnd w:id="246"/>
      <w:bookmarkEnd w:id="247"/>
      <w:bookmarkEnd w:id="248"/>
    </w:p>
    <w:p>
      <w:pPr>
        <w:pStyle w:val="16"/>
        <w:snapToGrid w:val="0"/>
        <w:spacing w:line="360" w:lineRule="auto"/>
        <w:rPr>
          <w:rFonts w:ascii="宋体" w:hAnsi="宋体" w:cs="宋体"/>
          <w:bCs/>
          <w:sz w:val="24"/>
        </w:rPr>
      </w:pPr>
      <w:r>
        <w:rPr>
          <w:rFonts w:hint="eastAsia" w:ascii="宋体" w:hAnsi="宋体" w:cs="宋体"/>
          <w:bCs/>
          <w:sz w:val="24"/>
        </w:rPr>
        <w:t>28.1  评标委员会成员和与评标工作有关的工作人员不得透露对投标文件的评审和比较、中标候选人的推荐情况以及与评标有关的其他情况。</w:t>
      </w:r>
    </w:p>
    <w:p>
      <w:pPr>
        <w:pStyle w:val="16"/>
        <w:snapToGrid w:val="0"/>
        <w:spacing w:line="360" w:lineRule="auto"/>
        <w:ind w:firstLine="482"/>
        <w:rPr>
          <w:rFonts w:ascii="宋体" w:hAnsi="宋体" w:cs="宋体"/>
          <w:bCs/>
          <w:sz w:val="24"/>
        </w:rPr>
      </w:pPr>
      <w:r>
        <w:rPr>
          <w:rFonts w:hint="eastAsia" w:ascii="宋体" w:hAnsi="宋体" w:cs="宋体"/>
          <w:b/>
          <w:bCs/>
          <w:sz w:val="24"/>
        </w:rPr>
        <w:t>28.2  在投标文件的评审和比较、中标候选人推荐以及授予合同的过程中，投标人试图非法干预、影响招标采购单位和评标委员会的任何活动，将导致其投标被拒绝，并承担相应的法律责任。</w:t>
      </w:r>
    </w:p>
    <w:p>
      <w:pPr>
        <w:pStyle w:val="16"/>
        <w:snapToGrid w:val="0"/>
        <w:spacing w:line="360" w:lineRule="auto"/>
        <w:rPr>
          <w:rFonts w:ascii="宋体" w:hAnsi="宋体" w:cs="宋体"/>
          <w:sz w:val="24"/>
        </w:rPr>
      </w:pPr>
      <w:r>
        <w:rPr>
          <w:rFonts w:hint="eastAsia" w:ascii="宋体" w:hAnsi="宋体" w:cs="宋体"/>
          <w:bCs/>
          <w:sz w:val="24"/>
        </w:rPr>
        <w:t xml:space="preserve">28.3  </w:t>
      </w:r>
      <w:r>
        <w:rPr>
          <w:rFonts w:hint="eastAsia" w:ascii="宋体" w:hAnsi="宋体" w:cs="宋体"/>
          <w:sz w:val="24"/>
        </w:rPr>
        <w:t>中标人确定后，采购人不对未中标人就评标过程以及未能中标原因作出任何解释。未中标人不得向评标委员会组成人员或其他有关人员索问评标过程的情况和材料。</w:t>
      </w:r>
      <w:r>
        <w:rPr>
          <w:rFonts w:hint="eastAsia" w:ascii="宋体" w:hAnsi="宋体" w:cs="宋体"/>
          <w:bCs/>
          <w:sz w:val="24"/>
        </w:rPr>
        <w:t>（依法应当告知的除外）。</w:t>
      </w:r>
    </w:p>
    <w:p>
      <w:pPr>
        <w:pStyle w:val="3"/>
        <w:spacing w:line="360" w:lineRule="auto"/>
        <w:ind w:firstLine="482"/>
        <w:rPr>
          <w:rFonts w:ascii="宋体" w:hAnsi="宋体"/>
          <w:sz w:val="24"/>
          <w:szCs w:val="24"/>
        </w:rPr>
      </w:pPr>
      <w:bookmarkStart w:id="249" w:name="_Toc27570"/>
      <w:bookmarkStart w:id="250" w:name="_Toc447223756"/>
      <w:bookmarkStart w:id="251" w:name="_Toc12197"/>
      <w:bookmarkStart w:id="252" w:name="_Toc23991"/>
      <w:bookmarkStart w:id="253" w:name="_Toc100786143"/>
      <w:bookmarkStart w:id="254" w:name="_Toc22381"/>
      <w:bookmarkStart w:id="255" w:name="_Toc92789204"/>
      <w:r>
        <w:rPr>
          <w:rFonts w:hint="eastAsia" w:ascii="宋体" w:hAnsi="宋体"/>
          <w:sz w:val="24"/>
          <w:szCs w:val="24"/>
        </w:rPr>
        <w:t>（七）</w:t>
      </w:r>
      <w:bookmarkEnd w:id="249"/>
      <w:r>
        <w:rPr>
          <w:rFonts w:hint="eastAsia" w:ascii="宋体" w:hAnsi="宋体"/>
          <w:sz w:val="24"/>
          <w:szCs w:val="24"/>
        </w:rPr>
        <w:t>确定中标</w:t>
      </w:r>
      <w:bookmarkEnd w:id="250"/>
      <w:bookmarkEnd w:id="251"/>
      <w:bookmarkEnd w:id="252"/>
      <w:bookmarkEnd w:id="253"/>
      <w:bookmarkEnd w:id="254"/>
      <w:bookmarkEnd w:id="255"/>
    </w:p>
    <w:p>
      <w:pPr>
        <w:snapToGrid w:val="0"/>
        <w:spacing w:line="360" w:lineRule="auto"/>
        <w:ind w:firstLine="482"/>
        <w:rPr>
          <w:rFonts w:ascii="宋体" w:hAnsi="宋体" w:cs="宋体"/>
          <w:b/>
          <w:bCs/>
          <w:sz w:val="24"/>
          <w:szCs w:val="24"/>
        </w:rPr>
      </w:pPr>
      <w:bookmarkStart w:id="256" w:name="_Toc445903423"/>
      <w:bookmarkStart w:id="257" w:name="_Toc20928"/>
      <w:bookmarkStart w:id="258" w:name="_Toc445845756"/>
      <w:bookmarkStart w:id="259" w:name="_Toc7733"/>
      <w:bookmarkStart w:id="260" w:name="_Toc447223757"/>
      <w:bookmarkStart w:id="261" w:name="_Toc7249"/>
      <w:bookmarkStart w:id="262" w:name="_Toc445916586"/>
      <w:bookmarkStart w:id="263" w:name="_Toc445984956"/>
      <w:r>
        <w:rPr>
          <w:rFonts w:hint="eastAsia" w:ascii="宋体" w:hAnsi="宋体" w:cs="宋体"/>
          <w:b/>
          <w:bCs/>
          <w:sz w:val="24"/>
          <w:szCs w:val="24"/>
        </w:rPr>
        <w:t>29.  中标候选人的推荐原则及标准</w:t>
      </w:r>
      <w:bookmarkEnd w:id="256"/>
      <w:bookmarkEnd w:id="257"/>
      <w:bookmarkEnd w:id="258"/>
      <w:bookmarkEnd w:id="259"/>
      <w:bookmarkEnd w:id="260"/>
      <w:bookmarkEnd w:id="261"/>
      <w:bookmarkEnd w:id="262"/>
      <w:bookmarkEnd w:id="263"/>
    </w:p>
    <w:p>
      <w:pPr>
        <w:pStyle w:val="16"/>
        <w:snapToGrid w:val="0"/>
        <w:spacing w:line="360" w:lineRule="auto"/>
        <w:rPr>
          <w:rFonts w:ascii="宋体" w:hAnsi="宋体" w:cs="宋体"/>
          <w:bCs/>
          <w:sz w:val="24"/>
        </w:rPr>
      </w:pPr>
      <w:r>
        <w:rPr>
          <w:rFonts w:hint="eastAsia" w:ascii="宋体" w:hAnsi="宋体" w:cs="宋体"/>
          <w:sz w:val="24"/>
        </w:rPr>
        <w:t>评标委员会按评审后得分由高到低顺序排列，推荐</w:t>
      </w:r>
      <w:r>
        <w:rPr>
          <w:rFonts w:hint="eastAsia" w:ascii="宋体" w:hAnsi="宋体" w:cs="宋体"/>
          <w:sz w:val="24"/>
          <w:u w:val="single"/>
        </w:rPr>
        <w:t>三</w:t>
      </w:r>
      <w:r>
        <w:rPr>
          <w:rFonts w:hint="eastAsia" w:ascii="宋体" w:hAnsi="宋体" w:cs="宋体"/>
          <w:sz w:val="24"/>
        </w:rPr>
        <w:t>名中标候选人。得分相同的，按投标报价由低到高顺序排列，得分且投标报价相同的，按技术得分由高到低排列。得分、投标报价且技术得分相同的，采取随机抽取方式确定。</w:t>
      </w:r>
    </w:p>
    <w:p>
      <w:pPr>
        <w:snapToGrid w:val="0"/>
        <w:spacing w:line="360" w:lineRule="auto"/>
        <w:ind w:firstLine="482"/>
        <w:rPr>
          <w:rFonts w:ascii="宋体" w:hAnsi="宋体" w:cs="宋体"/>
          <w:b/>
          <w:bCs/>
          <w:sz w:val="24"/>
          <w:szCs w:val="24"/>
        </w:rPr>
      </w:pPr>
      <w:bookmarkStart w:id="264" w:name="_Toc447223758"/>
      <w:bookmarkStart w:id="265" w:name="_Toc12665"/>
      <w:bookmarkStart w:id="266" w:name="_Toc445984957"/>
      <w:bookmarkStart w:id="267" w:name="_Toc445916587"/>
      <w:bookmarkStart w:id="268" w:name="_Toc445903424"/>
      <w:bookmarkStart w:id="269" w:name="_Toc21769"/>
      <w:bookmarkStart w:id="270" w:name="_Toc9059"/>
      <w:bookmarkStart w:id="271" w:name="_Toc445845757"/>
      <w:r>
        <w:rPr>
          <w:rFonts w:hint="eastAsia" w:ascii="宋体" w:hAnsi="宋体" w:cs="宋体"/>
          <w:b/>
          <w:bCs/>
          <w:sz w:val="24"/>
          <w:szCs w:val="24"/>
        </w:rPr>
        <w:t>30.  确定</w:t>
      </w:r>
      <w:bookmarkEnd w:id="264"/>
      <w:bookmarkEnd w:id="265"/>
      <w:bookmarkEnd w:id="266"/>
      <w:bookmarkEnd w:id="267"/>
      <w:bookmarkEnd w:id="268"/>
      <w:bookmarkEnd w:id="269"/>
      <w:bookmarkEnd w:id="270"/>
      <w:bookmarkEnd w:id="271"/>
      <w:r>
        <w:rPr>
          <w:rFonts w:hint="eastAsia" w:ascii="宋体" w:hAnsi="宋体" w:cs="宋体"/>
          <w:b/>
          <w:bCs/>
          <w:sz w:val="24"/>
          <w:szCs w:val="24"/>
        </w:rPr>
        <w:t>中标人</w:t>
      </w:r>
    </w:p>
    <w:p>
      <w:pPr>
        <w:pStyle w:val="16"/>
        <w:snapToGrid w:val="0"/>
        <w:spacing w:line="360" w:lineRule="auto"/>
        <w:rPr>
          <w:rFonts w:ascii="宋体" w:hAnsi="宋体" w:cs="宋体"/>
          <w:bCs/>
          <w:sz w:val="24"/>
        </w:rPr>
      </w:pPr>
      <w:r>
        <w:rPr>
          <w:rFonts w:hint="eastAsia" w:ascii="宋体" w:hAnsi="宋体" w:cs="宋体"/>
          <w:sz w:val="24"/>
        </w:rPr>
        <w:t>见《投标人须知资料表》规定。</w:t>
      </w:r>
    </w:p>
    <w:p>
      <w:pPr>
        <w:snapToGrid w:val="0"/>
        <w:spacing w:line="360" w:lineRule="auto"/>
        <w:ind w:firstLine="482"/>
        <w:rPr>
          <w:rFonts w:ascii="宋体" w:hAnsi="宋体" w:cs="宋体"/>
          <w:bCs/>
          <w:sz w:val="24"/>
          <w:szCs w:val="24"/>
        </w:rPr>
      </w:pPr>
      <w:bookmarkStart w:id="272" w:name="_Toc445984959"/>
      <w:bookmarkStart w:id="273" w:name="_Toc8863"/>
      <w:bookmarkStart w:id="274" w:name="_Toc447223760"/>
      <w:bookmarkStart w:id="275" w:name="_Toc7516"/>
      <w:bookmarkStart w:id="276" w:name="_Toc24259"/>
      <w:bookmarkStart w:id="277" w:name="_Toc445903426"/>
      <w:bookmarkStart w:id="278" w:name="_Toc445916589"/>
      <w:bookmarkStart w:id="279" w:name="_Toc445845759"/>
      <w:r>
        <w:rPr>
          <w:rFonts w:hint="eastAsia" w:ascii="宋体" w:hAnsi="宋体" w:cs="宋体"/>
          <w:b/>
          <w:bCs/>
          <w:sz w:val="24"/>
          <w:szCs w:val="24"/>
        </w:rPr>
        <w:t>31.  中标公告与中标通知书</w:t>
      </w:r>
      <w:bookmarkEnd w:id="272"/>
      <w:bookmarkEnd w:id="273"/>
      <w:bookmarkEnd w:id="274"/>
      <w:bookmarkEnd w:id="275"/>
      <w:bookmarkEnd w:id="276"/>
      <w:bookmarkEnd w:id="277"/>
      <w:bookmarkEnd w:id="278"/>
      <w:bookmarkEnd w:id="279"/>
    </w:p>
    <w:p>
      <w:pPr>
        <w:pStyle w:val="16"/>
        <w:snapToGrid w:val="0"/>
        <w:spacing w:line="360" w:lineRule="auto"/>
        <w:rPr>
          <w:rFonts w:ascii="宋体" w:hAnsi="宋体" w:cs="宋体"/>
          <w:bCs/>
          <w:sz w:val="24"/>
        </w:rPr>
      </w:pPr>
      <w:r>
        <w:rPr>
          <w:rFonts w:hint="eastAsia" w:ascii="宋体" w:hAnsi="宋体" w:cs="宋体"/>
          <w:bCs/>
          <w:sz w:val="24"/>
        </w:rPr>
        <w:t xml:space="preserve">31.1  </w:t>
      </w:r>
      <w:r>
        <w:rPr>
          <w:rFonts w:hint="eastAsia" w:ascii="宋体" w:hAnsi="宋体" w:cs="宋体"/>
          <w:sz w:val="24"/>
        </w:rPr>
        <w:t>采购人或采购代理机构自中标人确定之日起2个工作日内，</w:t>
      </w:r>
      <w:r>
        <w:rPr>
          <w:rFonts w:hint="eastAsia" w:ascii="宋体" w:hAnsi="宋体" w:cs="宋体"/>
          <w:kern w:val="0"/>
          <w:sz w:val="24"/>
        </w:rPr>
        <w:t>在北京市政府采购网公告中标结果</w:t>
      </w:r>
      <w:r>
        <w:rPr>
          <w:rFonts w:hint="eastAsia" w:ascii="宋体" w:hAnsi="宋体" w:cs="宋体"/>
          <w:sz w:val="24"/>
        </w:rPr>
        <w:t>，同时向中标人发出中标通知书，中标公告期限为1个工作日。</w:t>
      </w:r>
    </w:p>
    <w:p>
      <w:pPr>
        <w:pStyle w:val="16"/>
        <w:snapToGrid w:val="0"/>
        <w:spacing w:line="360" w:lineRule="auto"/>
        <w:rPr>
          <w:rFonts w:ascii="宋体" w:hAnsi="宋体" w:cs="宋体"/>
          <w:bCs/>
          <w:sz w:val="24"/>
        </w:rPr>
      </w:pPr>
      <w:r>
        <w:rPr>
          <w:rFonts w:hint="eastAsia" w:ascii="宋体" w:hAnsi="宋体" w:cs="宋体"/>
          <w:bCs/>
          <w:sz w:val="24"/>
        </w:rPr>
        <w:t xml:space="preserve">31.2  </w:t>
      </w:r>
      <w:r>
        <w:rPr>
          <w:rFonts w:hint="eastAsia" w:ascii="宋体" w:hAnsi="宋体" w:cs="宋体"/>
          <w:sz w:val="24"/>
        </w:rPr>
        <w:t>中标通知书对采购人和中标人均具有法律效力。中标通知书发出后，采购人改变中标结果的，或者中标人放弃中标项目的，应当依法承担法律责任。</w:t>
      </w:r>
    </w:p>
    <w:p>
      <w:pPr>
        <w:pStyle w:val="16"/>
        <w:snapToGrid w:val="0"/>
        <w:spacing w:line="360" w:lineRule="auto"/>
        <w:rPr>
          <w:rFonts w:ascii="宋体" w:hAnsi="宋体" w:cs="宋体"/>
          <w:bCs/>
          <w:sz w:val="24"/>
        </w:rPr>
      </w:pPr>
      <w:r>
        <w:rPr>
          <w:rFonts w:hint="eastAsia" w:ascii="宋体" w:hAnsi="宋体" w:cs="宋体"/>
          <w:bCs/>
          <w:sz w:val="24"/>
        </w:rPr>
        <w:t>31.3  发布中标公告的同时，以书面形式将招标结果通知所有未中标的投标人，告知投标人本人未通过资格审查的原因或其本人的评审总得分与排序。</w:t>
      </w:r>
    </w:p>
    <w:p>
      <w:pPr>
        <w:pStyle w:val="16"/>
        <w:snapToGrid w:val="0"/>
        <w:spacing w:line="360" w:lineRule="auto"/>
        <w:rPr>
          <w:rFonts w:ascii="宋体" w:hAnsi="宋体" w:cs="宋体"/>
          <w:bCs/>
          <w:sz w:val="24"/>
        </w:rPr>
      </w:pPr>
      <w:r>
        <w:rPr>
          <w:rFonts w:hint="eastAsia" w:ascii="宋体" w:hAnsi="宋体" w:cs="宋体"/>
          <w:bCs/>
          <w:sz w:val="24"/>
        </w:rPr>
        <w:t>31.4  投标人应同时关注招标公告中公布的网站发布的中标公告，未中标人于中标公告发布之日起5个工作日内，到采购代理机构领取招标结果通知书并办理投标保证金退还手续。</w:t>
      </w:r>
    </w:p>
    <w:p>
      <w:pPr>
        <w:tabs>
          <w:tab w:val="left" w:pos="900"/>
        </w:tabs>
        <w:snapToGrid w:val="0"/>
        <w:spacing w:line="360" w:lineRule="auto"/>
        <w:ind w:firstLine="482"/>
        <w:rPr>
          <w:rFonts w:ascii="宋体" w:hAnsi="宋体" w:cs="宋体"/>
          <w:sz w:val="24"/>
        </w:rPr>
      </w:pPr>
      <w:r>
        <w:rPr>
          <w:rFonts w:hint="eastAsia" w:ascii="宋体" w:hAnsi="宋体" w:cs="宋体"/>
          <w:b/>
          <w:bCs/>
          <w:sz w:val="24"/>
          <w:szCs w:val="24"/>
        </w:rPr>
        <w:t>32.  废标</w:t>
      </w:r>
    </w:p>
    <w:p>
      <w:pPr>
        <w:pStyle w:val="16"/>
        <w:snapToGrid w:val="0"/>
        <w:spacing w:line="360" w:lineRule="auto"/>
        <w:rPr>
          <w:rFonts w:ascii="宋体" w:hAnsi="宋体" w:cs="宋体"/>
          <w:bCs/>
          <w:sz w:val="24"/>
        </w:rPr>
      </w:pPr>
      <w:r>
        <w:rPr>
          <w:rFonts w:hint="eastAsia" w:ascii="宋体" w:hAnsi="宋体" w:cs="宋体"/>
          <w:bCs/>
          <w:sz w:val="24"/>
        </w:rPr>
        <w:t>32.1  在招标采购中，出现下列情形之一的，应予废标：</w:t>
      </w:r>
    </w:p>
    <w:p>
      <w:pPr>
        <w:pStyle w:val="16"/>
        <w:snapToGrid w:val="0"/>
        <w:spacing w:line="360" w:lineRule="auto"/>
        <w:rPr>
          <w:rFonts w:ascii="宋体" w:hAnsi="宋体" w:cs="宋体"/>
          <w:bCs/>
          <w:sz w:val="24"/>
        </w:rPr>
      </w:pPr>
      <w:r>
        <w:rPr>
          <w:rFonts w:hint="eastAsia" w:ascii="宋体" w:hAnsi="宋体" w:cs="宋体"/>
          <w:bCs/>
          <w:sz w:val="24"/>
        </w:rPr>
        <w:t>32.1.1  符合专业条件的供应商或者对招标文件作实质响应的供应商不足三家的；</w:t>
      </w:r>
    </w:p>
    <w:p>
      <w:pPr>
        <w:pStyle w:val="16"/>
        <w:snapToGrid w:val="0"/>
        <w:spacing w:line="360" w:lineRule="auto"/>
        <w:rPr>
          <w:rFonts w:ascii="宋体" w:hAnsi="宋体" w:cs="宋体"/>
          <w:bCs/>
          <w:sz w:val="24"/>
        </w:rPr>
      </w:pPr>
      <w:r>
        <w:rPr>
          <w:rFonts w:hint="eastAsia" w:ascii="宋体" w:hAnsi="宋体" w:cs="宋体"/>
          <w:bCs/>
          <w:sz w:val="24"/>
        </w:rPr>
        <w:t>32.1.2  出现影响采购公正的违法、违规行为的；</w:t>
      </w:r>
    </w:p>
    <w:p>
      <w:pPr>
        <w:pStyle w:val="16"/>
        <w:snapToGrid w:val="0"/>
        <w:spacing w:line="360" w:lineRule="auto"/>
        <w:rPr>
          <w:rFonts w:ascii="宋体" w:hAnsi="宋体" w:cs="宋体"/>
          <w:bCs/>
          <w:sz w:val="24"/>
        </w:rPr>
      </w:pPr>
      <w:r>
        <w:rPr>
          <w:rFonts w:hint="eastAsia" w:ascii="宋体" w:hAnsi="宋体" w:cs="宋体"/>
          <w:bCs/>
          <w:sz w:val="24"/>
        </w:rPr>
        <w:t>32.1.3  投标人的报价均超过了采购预算，采购人不能支付的；</w:t>
      </w:r>
    </w:p>
    <w:p>
      <w:pPr>
        <w:pStyle w:val="16"/>
        <w:snapToGrid w:val="0"/>
        <w:spacing w:line="360" w:lineRule="auto"/>
        <w:rPr>
          <w:rFonts w:ascii="宋体" w:hAnsi="宋体" w:cs="宋体"/>
          <w:bCs/>
          <w:sz w:val="24"/>
        </w:rPr>
      </w:pPr>
      <w:r>
        <w:rPr>
          <w:rFonts w:hint="eastAsia" w:ascii="宋体" w:hAnsi="宋体" w:cs="宋体"/>
          <w:bCs/>
          <w:sz w:val="24"/>
        </w:rPr>
        <w:t>32.1.4  因重大变故，采购任务取消的。</w:t>
      </w:r>
    </w:p>
    <w:p>
      <w:pPr>
        <w:pStyle w:val="16"/>
        <w:snapToGrid w:val="0"/>
        <w:spacing w:line="360" w:lineRule="auto"/>
        <w:rPr>
          <w:rFonts w:ascii="宋体" w:hAnsi="宋体" w:cs="宋体"/>
          <w:bCs/>
          <w:sz w:val="24"/>
        </w:rPr>
      </w:pPr>
      <w:r>
        <w:rPr>
          <w:rFonts w:hint="eastAsia" w:ascii="宋体" w:hAnsi="宋体" w:cs="宋体"/>
          <w:bCs/>
          <w:sz w:val="24"/>
        </w:rPr>
        <w:t>32.2  废标后，采购人将废标理由通知所有投标人。</w:t>
      </w:r>
    </w:p>
    <w:p>
      <w:pPr>
        <w:snapToGrid w:val="0"/>
        <w:spacing w:line="360" w:lineRule="auto"/>
        <w:ind w:firstLine="482"/>
        <w:rPr>
          <w:rFonts w:ascii="宋体" w:hAnsi="宋体" w:cs="宋体"/>
          <w:b/>
          <w:bCs/>
          <w:sz w:val="24"/>
          <w:szCs w:val="24"/>
        </w:rPr>
      </w:pPr>
      <w:bookmarkStart w:id="280" w:name="_Toc445916590"/>
      <w:bookmarkStart w:id="281" w:name="_Toc4349"/>
      <w:bookmarkStart w:id="282" w:name="_Toc445845760"/>
      <w:bookmarkStart w:id="283" w:name="_Toc445903427"/>
      <w:bookmarkStart w:id="284" w:name="_Toc447223761"/>
      <w:bookmarkStart w:id="285" w:name="_Toc445984960"/>
      <w:bookmarkStart w:id="286" w:name="_Toc14613"/>
      <w:bookmarkStart w:id="287" w:name="_Toc4156"/>
      <w:r>
        <w:rPr>
          <w:rFonts w:hint="eastAsia" w:ascii="宋体" w:hAnsi="宋体" w:cs="宋体"/>
          <w:b/>
          <w:bCs/>
          <w:sz w:val="24"/>
          <w:szCs w:val="24"/>
        </w:rPr>
        <w:t xml:space="preserve">33.  </w:t>
      </w:r>
      <w:bookmarkEnd w:id="280"/>
      <w:bookmarkEnd w:id="281"/>
      <w:bookmarkEnd w:id="282"/>
      <w:bookmarkEnd w:id="283"/>
      <w:bookmarkEnd w:id="284"/>
      <w:bookmarkEnd w:id="285"/>
      <w:bookmarkEnd w:id="286"/>
      <w:bookmarkEnd w:id="287"/>
      <w:bookmarkStart w:id="288" w:name="_Toc150480788"/>
      <w:bookmarkStart w:id="289" w:name="_Toc195842915"/>
      <w:bookmarkStart w:id="290" w:name="_Toc150774650"/>
      <w:bookmarkStart w:id="291" w:name="_Toc164351644"/>
      <w:bookmarkStart w:id="292" w:name="_Toc226965823"/>
      <w:bookmarkStart w:id="293" w:name="_Toc164229391"/>
      <w:bookmarkStart w:id="294" w:name="_Toc164608819"/>
      <w:bookmarkStart w:id="295" w:name="_Toc305158818"/>
      <w:bookmarkStart w:id="296" w:name="_Toc305158892"/>
      <w:bookmarkStart w:id="297" w:name="_Toc142311052"/>
      <w:bookmarkStart w:id="298" w:name="_Toc164229245"/>
      <w:bookmarkStart w:id="299" w:name="_Toc226337246"/>
      <w:bookmarkStart w:id="300" w:name="_Toc149720843"/>
      <w:bookmarkStart w:id="301" w:name="_Toc150509301"/>
      <w:bookmarkStart w:id="302" w:name="_Ref467306978"/>
      <w:bookmarkStart w:id="303" w:name="_Toc164608664"/>
      <w:bookmarkStart w:id="304" w:name="_Toc150774755"/>
      <w:bookmarkStart w:id="305" w:name="_Toc520356175"/>
      <w:bookmarkStart w:id="306" w:name="_Toc127151751"/>
      <w:bookmarkStart w:id="307" w:name="_Toc151190177"/>
      <w:bookmarkStart w:id="308" w:name="_Toc151193864"/>
      <w:bookmarkStart w:id="309" w:name="_Toc226965740"/>
      <w:bookmarkStart w:id="310" w:name="_Toc264969240"/>
      <w:bookmarkStart w:id="311" w:name="_Toc151193720"/>
      <w:bookmarkStart w:id="312" w:name="_Toc151193648"/>
      <w:bookmarkStart w:id="313" w:name="_Toc265228388"/>
      <w:bookmarkStart w:id="314" w:name="_Ref467306377"/>
      <w:bookmarkStart w:id="315" w:name="_Toc151193792"/>
      <w:bookmarkStart w:id="316" w:name="_Toc151193938"/>
      <w:bookmarkStart w:id="317" w:name="_Toc226309794"/>
      <w:bookmarkStart w:id="318" w:name="_Ref467307062"/>
      <w:bookmarkStart w:id="319" w:name="_Ref467307204"/>
      <w:bookmarkStart w:id="320" w:name="_Toc127161464"/>
      <w:bookmarkStart w:id="321" w:name="_Toc127151550"/>
      <w:r>
        <w:rPr>
          <w:rFonts w:hint="eastAsia" w:ascii="宋体" w:hAnsi="宋体" w:cs="宋体"/>
          <w:b/>
          <w:bCs/>
          <w:sz w:val="24"/>
          <w:szCs w:val="24"/>
        </w:rPr>
        <w:t>签订合同</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pStyle w:val="16"/>
        <w:snapToGrid w:val="0"/>
        <w:spacing w:line="360" w:lineRule="auto"/>
        <w:rPr>
          <w:rFonts w:ascii="宋体" w:hAnsi="宋体" w:cs="宋体"/>
          <w:bCs/>
          <w:sz w:val="24"/>
        </w:rPr>
      </w:pPr>
      <w:r>
        <w:rPr>
          <w:rFonts w:hint="eastAsia" w:ascii="宋体" w:hAnsi="宋体" w:cs="宋体"/>
          <w:bCs/>
          <w:sz w:val="24"/>
        </w:rPr>
        <w:t xml:space="preserve">32.1  </w:t>
      </w: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pStyle w:val="16"/>
        <w:snapToGrid w:val="0"/>
        <w:spacing w:line="360" w:lineRule="auto"/>
        <w:rPr>
          <w:rFonts w:ascii="宋体" w:hAnsi="宋体" w:cs="宋体"/>
          <w:bCs/>
          <w:sz w:val="24"/>
        </w:rPr>
      </w:pPr>
      <w:r>
        <w:rPr>
          <w:rFonts w:hint="eastAsia" w:ascii="宋体" w:hAnsi="宋体" w:cs="宋体"/>
          <w:bCs/>
          <w:sz w:val="24"/>
        </w:rPr>
        <w:t>32.2  中标人拒绝与采购人签订合同的，采购人可以按照评标报告推荐的中标候选人名单排序，确定下一候选人为中标人，也可以重新开展政府采购活动。</w:t>
      </w:r>
    </w:p>
    <w:p>
      <w:pPr>
        <w:pStyle w:val="16"/>
        <w:snapToGrid w:val="0"/>
        <w:spacing w:line="360" w:lineRule="auto"/>
        <w:rPr>
          <w:rFonts w:ascii="宋体" w:hAnsi="宋体" w:cs="宋体"/>
          <w:bCs/>
          <w:sz w:val="24"/>
        </w:rPr>
      </w:pPr>
      <w:r>
        <w:rPr>
          <w:rFonts w:hint="eastAsia" w:ascii="宋体" w:hAnsi="宋体" w:cs="宋体"/>
          <w:bCs/>
          <w:sz w:val="24"/>
        </w:rPr>
        <w:t xml:space="preserve">32.3  </w:t>
      </w:r>
      <w:r>
        <w:rPr>
          <w:rFonts w:hint="eastAsia" w:ascii="宋体" w:hAnsi="宋体" w:cs="宋体"/>
          <w:sz w:val="24"/>
        </w:rPr>
        <w:t>招标文件、招标文件的修改和澄清文件、中标人的投标文件及其澄清文件、中标通知书等，均为签订合同的依据。</w:t>
      </w:r>
    </w:p>
    <w:p>
      <w:pPr>
        <w:pStyle w:val="16"/>
        <w:snapToGrid w:val="0"/>
        <w:spacing w:line="360" w:lineRule="auto"/>
        <w:rPr>
          <w:rFonts w:ascii="宋体" w:hAnsi="宋体" w:cs="宋体"/>
          <w:bCs/>
          <w:sz w:val="24"/>
        </w:rPr>
      </w:pPr>
      <w:r>
        <w:rPr>
          <w:rFonts w:hint="eastAsia" w:ascii="宋体" w:hAnsi="宋体" w:cs="宋体"/>
          <w:bCs/>
          <w:sz w:val="24"/>
        </w:rPr>
        <w:t xml:space="preserve">32.4  </w:t>
      </w:r>
      <w:r>
        <w:rPr>
          <w:rFonts w:hint="eastAsia" w:ascii="宋体" w:hAnsi="宋体" w:cs="宋体"/>
          <w:sz w:val="24"/>
        </w:rPr>
        <w:t>政府采购合同不能转包。</w:t>
      </w:r>
    </w:p>
    <w:p>
      <w:pPr>
        <w:pStyle w:val="16"/>
        <w:snapToGrid w:val="0"/>
        <w:spacing w:line="360" w:lineRule="auto"/>
        <w:rPr>
          <w:rFonts w:ascii="宋体" w:hAnsi="宋体" w:cs="宋体"/>
          <w:bCs/>
          <w:sz w:val="24"/>
        </w:rPr>
      </w:pPr>
      <w:r>
        <w:rPr>
          <w:rFonts w:hint="eastAsia" w:ascii="宋体" w:hAnsi="宋体" w:cs="宋体"/>
          <w:bCs/>
          <w:sz w:val="24"/>
        </w:rPr>
        <w:t>32.5  投标人依据办法享受扶持政策获得政府采购合同的，小微企业不得将合同分包给大中型企业，中型企业不得将合同分包给大型企业。</w:t>
      </w:r>
    </w:p>
    <w:p>
      <w:pPr>
        <w:pStyle w:val="16"/>
        <w:snapToGrid w:val="0"/>
        <w:spacing w:line="360" w:lineRule="auto"/>
        <w:rPr>
          <w:rFonts w:ascii="宋体" w:hAnsi="宋体" w:cs="宋体"/>
          <w:bCs/>
          <w:sz w:val="24"/>
        </w:rPr>
      </w:pPr>
      <w:r>
        <w:rPr>
          <w:rFonts w:hint="eastAsia" w:ascii="宋体" w:hAnsi="宋体" w:cs="宋体"/>
          <w:bCs/>
          <w:sz w:val="24"/>
        </w:rPr>
        <w:t>32.6  政府采购合同签订后，中标人有义务告知采购代理机构并于5个工作日内至采购代理机构办理投标保证金退还手续。</w:t>
      </w:r>
    </w:p>
    <w:p>
      <w:pPr>
        <w:pStyle w:val="16"/>
        <w:snapToGrid w:val="0"/>
        <w:spacing w:line="360" w:lineRule="auto"/>
        <w:rPr>
          <w:rFonts w:ascii="宋体" w:hAnsi="宋体" w:cs="宋体"/>
          <w:bCs/>
          <w:sz w:val="24"/>
        </w:rPr>
      </w:pPr>
      <w:bookmarkStart w:id="322" w:name="_Toc447223762"/>
      <w:bookmarkStart w:id="323" w:name="_Toc445903428"/>
      <w:bookmarkStart w:id="324" w:name="_Toc445916591"/>
      <w:bookmarkStart w:id="325" w:name="_Toc8091"/>
      <w:bookmarkStart w:id="326" w:name="_Toc2647"/>
      <w:bookmarkStart w:id="327" w:name="_Toc445845761"/>
      <w:bookmarkStart w:id="328" w:name="_Toc1391"/>
      <w:bookmarkStart w:id="329" w:name="_Toc445984961"/>
      <w:r>
        <w:rPr>
          <w:rFonts w:hint="eastAsia" w:ascii="宋体" w:hAnsi="宋体" w:cs="宋体"/>
          <w:bCs/>
          <w:sz w:val="24"/>
        </w:rPr>
        <w:t>32.7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宋体" w:hAnsi="宋体" w:cs="宋体"/>
          <w:b/>
          <w:bCs/>
          <w:sz w:val="24"/>
        </w:rPr>
        <w:t>投标无效</w:t>
      </w:r>
      <w:r>
        <w:rPr>
          <w:rFonts w:hint="eastAsia" w:ascii="宋体" w:hAnsi="宋体" w:cs="宋体"/>
          <w:bCs/>
          <w:sz w:val="24"/>
        </w:rPr>
        <w:t>。中标人就采购项目和分包项目向采购人负责，分包供应商就分包项目承担责任。</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33.  履约保证金</w:t>
      </w:r>
      <w:bookmarkEnd w:id="322"/>
      <w:bookmarkEnd w:id="323"/>
      <w:bookmarkEnd w:id="324"/>
      <w:bookmarkEnd w:id="325"/>
      <w:bookmarkEnd w:id="326"/>
      <w:bookmarkEnd w:id="327"/>
      <w:bookmarkEnd w:id="328"/>
      <w:bookmarkEnd w:id="329"/>
      <w:r>
        <w:rPr>
          <w:rFonts w:hint="eastAsia" w:ascii="宋体" w:hAnsi="宋体" w:cs="宋体"/>
          <w:b/>
          <w:bCs/>
          <w:sz w:val="24"/>
          <w:szCs w:val="24"/>
        </w:rPr>
        <w:t>（本项目不适用）</w:t>
      </w:r>
    </w:p>
    <w:p>
      <w:pPr>
        <w:pStyle w:val="16"/>
        <w:snapToGrid w:val="0"/>
        <w:spacing w:line="360" w:lineRule="auto"/>
        <w:ind w:firstLine="480" w:firstLineChars="200"/>
        <w:rPr>
          <w:rFonts w:ascii="宋体" w:hAnsi="宋体" w:cs="宋体"/>
          <w:sz w:val="24"/>
        </w:rPr>
      </w:pPr>
      <w:r>
        <w:rPr>
          <w:rFonts w:hint="eastAsia" w:ascii="宋体" w:hAnsi="宋体" w:cs="宋体"/>
          <w:sz w:val="24"/>
        </w:rPr>
        <w:t>中标人在合同签订后</w:t>
      </w:r>
      <w:r>
        <w:rPr>
          <w:rFonts w:hint="eastAsia" w:ascii="宋体" w:hAnsi="宋体" w:cs="宋体"/>
          <w:sz w:val="24"/>
          <w:u w:val="single"/>
        </w:rPr>
        <w:t xml:space="preserve"> / </w:t>
      </w:r>
      <w:r>
        <w:rPr>
          <w:rFonts w:hint="eastAsia" w:ascii="宋体" w:hAnsi="宋体" w:cs="宋体"/>
          <w:sz w:val="24"/>
        </w:rPr>
        <w:t>日内，按招标文件中提供的履约保证金保函格式或采购人可以接受的其他形式向采购人提交</w:t>
      </w:r>
      <w:r>
        <w:rPr>
          <w:rFonts w:hint="eastAsia" w:ascii="宋体" w:hAnsi="宋体" w:cs="宋体"/>
          <w:sz w:val="24"/>
          <w:u w:val="single"/>
        </w:rPr>
        <w:t xml:space="preserve"> /  </w:t>
      </w:r>
      <w:r>
        <w:rPr>
          <w:rFonts w:hint="eastAsia" w:ascii="宋体" w:hAnsi="宋体" w:cs="宋体"/>
          <w:sz w:val="24"/>
        </w:rPr>
        <w:t>的履约保证金。</w:t>
      </w:r>
    </w:p>
    <w:p>
      <w:pPr>
        <w:snapToGrid w:val="0"/>
        <w:spacing w:line="360" w:lineRule="auto"/>
        <w:ind w:firstLine="482"/>
        <w:rPr>
          <w:rFonts w:ascii="宋体" w:hAnsi="宋体" w:cs="宋体"/>
          <w:b/>
          <w:bCs/>
          <w:sz w:val="24"/>
          <w:szCs w:val="24"/>
        </w:rPr>
      </w:pPr>
      <w:bookmarkStart w:id="330" w:name="_Toc12707"/>
      <w:bookmarkStart w:id="331" w:name="_Toc445916592"/>
      <w:bookmarkStart w:id="332" w:name="_Toc26220"/>
      <w:bookmarkStart w:id="333" w:name="_Toc445845762"/>
      <w:bookmarkStart w:id="334" w:name="_Toc27681"/>
      <w:bookmarkStart w:id="335" w:name="_Toc445903429"/>
      <w:bookmarkStart w:id="336" w:name="_Toc447223763"/>
      <w:bookmarkStart w:id="337" w:name="_Toc445984962"/>
      <w:r>
        <w:rPr>
          <w:rFonts w:hint="eastAsia" w:ascii="宋体" w:hAnsi="宋体" w:cs="宋体"/>
          <w:b/>
          <w:bCs/>
          <w:sz w:val="24"/>
          <w:szCs w:val="24"/>
        </w:rPr>
        <w:t>34.  询问、质疑与</w:t>
      </w:r>
      <w:bookmarkEnd w:id="330"/>
      <w:bookmarkEnd w:id="331"/>
      <w:bookmarkEnd w:id="332"/>
      <w:bookmarkEnd w:id="333"/>
      <w:bookmarkEnd w:id="334"/>
      <w:bookmarkEnd w:id="335"/>
      <w:bookmarkEnd w:id="336"/>
      <w:bookmarkEnd w:id="337"/>
      <w:r>
        <w:rPr>
          <w:rFonts w:hint="eastAsia" w:ascii="宋体" w:hAnsi="宋体" w:cs="宋体"/>
          <w:b/>
          <w:bCs/>
          <w:sz w:val="24"/>
          <w:szCs w:val="24"/>
        </w:rPr>
        <w:t>答复</w:t>
      </w:r>
    </w:p>
    <w:p>
      <w:pPr>
        <w:pStyle w:val="16"/>
        <w:snapToGrid w:val="0"/>
        <w:spacing w:line="360" w:lineRule="auto"/>
        <w:rPr>
          <w:rFonts w:ascii="宋体" w:hAnsi="宋体" w:cs="宋体"/>
          <w:sz w:val="24"/>
        </w:rPr>
      </w:pPr>
      <w:r>
        <w:rPr>
          <w:rFonts w:hint="eastAsia" w:ascii="宋体" w:hAnsi="宋体" w:cs="宋体"/>
          <w:sz w:val="24"/>
        </w:rPr>
        <w:t>34.1  投标人对本次政府采购活动有疑问的，可以向采购人或采购代理机构提出询问或质疑。</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34.2  询问</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34.2.1  投标人对政府采购活动事项有疑问的，可依法提出询问，并按《投标人须知资料表》载明的形式送达采购人或采购代理机构。</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34.2.2  采购人或采购代理机构对供应商依法提出的询问，在3个工作日内作出答复，但答复的内容不得涉及商业秘密。</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34.3  质疑</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34.3.1  投标人提出质疑的范围只限于招标文件、招标过程以及中标结果三个方面的事项。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逾期提出的质疑，采购单位及采购代理机构不予受理。</w:t>
      </w:r>
    </w:p>
    <w:p>
      <w:pPr>
        <w:pStyle w:val="16"/>
        <w:snapToGrid w:val="0"/>
        <w:spacing w:line="360" w:lineRule="auto"/>
        <w:rPr>
          <w:rFonts w:ascii="宋体" w:hAnsi="宋体" w:cs="宋体"/>
          <w:sz w:val="24"/>
        </w:rPr>
      </w:pPr>
      <w:r>
        <w:rPr>
          <w:rFonts w:hint="eastAsia" w:ascii="宋体" w:hAnsi="宋体" w:cs="宋体"/>
          <w:sz w:val="24"/>
        </w:rPr>
        <w:t>34.3.2  投标人应按照财政部制定的《政府采购质疑函范本》格式（可从财政部官方网站下载）和《政府采购质疑和投诉办法》的要求，在法定质疑期内以书面形式提出质疑，法定质疑期内一次性提出针对同一采购程序环节的质疑，法定质疑期内针对同一采购程序环节再次提出的质疑，采购人、采购代理机构有权不予答复。</w:t>
      </w:r>
    </w:p>
    <w:p>
      <w:pPr>
        <w:pStyle w:val="16"/>
        <w:snapToGrid w:val="0"/>
        <w:spacing w:line="360" w:lineRule="auto"/>
        <w:rPr>
          <w:rFonts w:ascii="宋体" w:hAnsi="宋体" w:cs="宋体"/>
          <w:sz w:val="24"/>
        </w:rPr>
      </w:pPr>
      <w:r>
        <w:rPr>
          <w:rFonts w:hint="eastAsia" w:ascii="宋体" w:hAnsi="宋体" w:cs="宋体"/>
          <w:sz w:val="24"/>
        </w:rPr>
        <w:t>34.3.3  投标人提出质疑时，应以书面形式向招标采购单位提交质疑函（原件）。详见中华人民共和国财政部令第94号。</w:t>
      </w:r>
    </w:p>
    <w:p>
      <w:pPr>
        <w:spacing w:line="360" w:lineRule="auto"/>
        <w:rPr>
          <w:rFonts w:ascii="宋体" w:hAnsi="宋体" w:cs="宋体"/>
          <w:sz w:val="24"/>
        </w:rPr>
      </w:pPr>
      <w:r>
        <w:rPr>
          <w:rFonts w:hint="eastAsia" w:ascii="宋体" w:hAnsi="宋体" w:cs="宋体"/>
          <w:sz w:val="24"/>
        </w:rPr>
        <w:t>34.3.4  接收询问和质疑的联系部门、联系电话和通讯地址见《投标人须知资料表》。</w:t>
      </w:r>
    </w:p>
    <w:p>
      <w:pPr>
        <w:pStyle w:val="16"/>
        <w:snapToGrid w:val="0"/>
        <w:spacing w:line="360" w:lineRule="auto"/>
        <w:rPr>
          <w:rFonts w:ascii="宋体" w:hAnsi="宋体" w:cs="宋体"/>
          <w:sz w:val="24"/>
        </w:rPr>
      </w:pPr>
      <w:r>
        <w:rPr>
          <w:rFonts w:hint="eastAsia" w:ascii="宋体" w:hAnsi="宋体" w:cs="宋体"/>
          <w:sz w:val="24"/>
        </w:rPr>
        <w:t>34.3.5  采购人或采购代理机构在收到书面质疑后7个工作日内作出答复，并以书面形式通知质疑投标人和其他有关投标人。</w:t>
      </w:r>
    </w:p>
    <w:p>
      <w:pPr>
        <w:snapToGrid w:val="0"/>
        <w:spacing w:line="360" w:lineRule="auto"/>
        <w:ind w:firstLine="482"/>
        <w:rPr>
          <w:rFonts w:ascii="宋体" w:hAnsi="宋体" w:cs="宋体"/>
          <w:b/>
          <w:bCs/>
          <w:sz w:val="24"/>
          <w:szCs w:val="24"/>
        </w:rPr>
      </w:pPr>
      <w:bookmarkStart w:id="338" w:name="_Toc445845763"/>
      <w:bookmarkStart w:id="339" w:name="_Toc19362"/>
      <w:bookmarkStart w:id="340" w:name="_Toc20399"/>
      <w:bookmarkStart w:id="341" w:name="_Toc447223764"/>
      <w:bookmarkStart w:id="342" w:name="_Toc27755"/>
      <w:bookmarkStart w:id="343" w:name="_Toc445903430"/>
      <w:bookmarkStart w:id="344" w:name="_Toc445916593"/>
      <w:bookmarkStart w:id="345" w:name="_Toc445984963"/>
      <w:r>
        <w:rPr>
          <w:rFonts w:hint="eastAsia" w:ascii="宋体" w:hAnsi="宋体" w:cs="宋体"/>
          <w:b/>
          <w:bCs/>
          <w:sz w:val="24"/>
          <w:szCs w:val="24"/>
        </w:rPr>
        <w:t>35.  采购代理服务费</w:t>
      </w:r>
      <w:bookmarkEnd w:id="338"/>
      <w:bookmarkEnd w:id="339"/>
      <w:bookmarkEnd w:id="340"/>
      <w:bookmarkEnd w:id="341"/>
      <w:bookmarkEnd w:id="342"/>
      <w:bookmarkEnd w:id="343"/>
      <w:bookmarkEnd w:id="344"/>
      <w:bookmarkEnd w:id="345"/>
    </w:p>
    <w:p>
      <w:pPr>
        <w:pStyle w:val="16"/>
        <w:snapToGrid w:val="0"/>
        <w:spacing w:line="360" w:lineRule="auto"/>
        <w:rPr>
          <w:rFonts w:ascii="宋体" w:hAnsi="宋体" w:cs="宋体"/>
          <w:sz w:val="24"/>
        </w:rPr>
      </w:pPr>
      <w:r>
        <w:rPr>
          <w:rFonts w:hint="eastAsia" w:ascii="宋体" w:hAnsi="宋体" w:cs="宋体"/>
          <w:sz w:val="24"/>
        </w:rPr>
        <w:t>35.1  见《投标人须知资料表》规定。</w:t>
      </w:r>
    </w:p>
    <w:p>
      <w:pPr>
        <w:pStyle w:val="16"/>
        <w:snapToGrid w:val="0"/>
        <w:spacing w:line="360" w:lineRule="auto"/>
        <w:rPr>
          <w:rFonts w:ascii="宋体" w:hAnsi="宋体" w:cs="宋体"/>
          <w:sz w:val="24"/>
        </w:rPr>
      </w:pPr>
      <w:r>
        <w:rPr>
          <w:rFonts w:hint="eastAsia" w:ascii="宋体" w:hAnsi="宋体" w:cs="宋体"/>
          <w:sz w:val="24"/>
        </w:rPr>
        <w:t>35.2  采购代理服务费以支票、汇票、电汇或现金方式支付。</w:t>
      </w:r>
    </w:p>
    <w:p>
      <w:pPr>
        <w:pStyle w:val="3"/>
        <w:spacing w:line="360" w:lineRule="auto"/>
        <w:ind w:firstLine="482"/>
        <w:rPr>
          <w:rFonts w:ascii="宋体" w:hAnsi="宋体"/>
          <w:sz w:val="24"/>
          <w:szCs w:val="24"/>
        </w:rPr>
      </w:pPr>
      <w:bookmarkStart w:id="346" w:name="_Toc100786144"/>
      <w:bookmarkStart w:id="347" w:name="_Toc447223765"/>
      <w:bookmarkStart w:id="348" w:name="_Toc17916"/>
      <w:bookmarkStart w:id="349" w:name="_Toc92789205"/>
      <w:r>
        <w:rPr>
          <w:rFonts w:hint="eastAsia" w:ascii="宋体" w:hAnsi="宋体"/>
          <w:sz w:val="24"/>
          <w:szCs w:val="24"/>
        </w:rPr>
        <w:t>（八）纪律和监督</w:t>
      </w:r>
      <w:bookmarkEnd w:id="346"/>
      <w:bookmarkEnd w:id="347"/>
      <w:bookmarkEnd w:id="348"/>
      <w:bookmarkEnd w:id="349"/>
    </w:p>
    <w:p>
      <w:pPr>
        <w:snapToGrid w:val="0"/>
        <w:spacing w:line="360" w:lineRule="auto"/>
        <w:ind w:firstLine="482"/>
        <w:rPr>
          <w:rFonts w:ascii="宋体" w:hAnsi="宋体" w:cs="宋体"/>
          <w:b/>
          <w:bCs/>
          <w:sz w:val="24"/>
          <w:szCs w:val="24"/>
        </w:rPr>
      </w:pPr>
      <w:bookmarkStart w:id="350" w:name="_Toc233102539"/>
      <w:bookmarkStart w:id="351" w:name="_Toc179632593"/>
      <w:bookmarkStart w:id="352" w:name="_Toc152045575"/>
      <w:bookmarkStart w:id="353" w:name="_Toc415098519"/>
      <w:bookmarkStart w:id="354" w:name="_Toc144974543"/>
      <w:bookmarkStart w:id="355" w:name="_Toc152042351"/>
      <w:r>
        <w:rPr>
          <w:rFonts w:hint="eastAsia" w:ascii="宋体" w:hAnsi="宋体" w:cs="宋体"/>
          <w:b/>
          <w:bCs/>
          <w:sz w:val="24"/>
          <w:szCs w:val="24"/>
        </w:rPr>
        <w:t>36.  对采购人、投标人、评委会成员及有关工作人员的纪律要求</w:t>
      </w:r>
    </w:p>
    <w:p>
      <w:pPr>
        <w:pStyle w:val="16"/>
        <w:snapToGrid w:val="0"/>
        <w:spacing w:line="360" w:lineRule="auto"/>
        <w:rPr>
          <w:rFonts w:ascii="宋体" w:hAnsi="宋体" w:cs="宋体"/>
          <w:sz w:val="24"/>
        </w:rPr>
      </w:pPr>
      <w:r>
        <w:rPr>
          <w:rFonts w:hint="eastAsia" w:ascii="宋体" w:hAnsi="宋体" w:cs="宋体"/>
          <w:sz w:val="24"/>
        </w:rPr>
        <w:t>36.1  对采购人的纪律要求</w:t>
      </w:r>
      <w:bookmarkEnd w:id="350"/>
      <w:bookmarkEnd w:id="351"/>
      <w:bookmarkEnd w:id="352"/>
      <w:bookmarkEnd w:id="353"/>
      <w:bookmarkEnd w:id="354"/>
      <w:bookmarkEnd w:id="355"/>
    </w:p>
    <w:p>
      <w:pPr>
        <w:pStyle w:val="16"/>
        <w:snapToGrid w:val="0"/>
        <w:spacing w:line="360" w:lineRule="auto"/>
        <w:rPr>
          <w:rFonts w:ascii="宋体" w:hAnsi="宋体" w:cs="宋体"/>
          <w:sz w:val="24"/>
        </w:rPr>
      </w:pPr>
      <w:r>
        <w:rPr>
          <w:rFonts w:hint="eastAsia" w:ascii="宋体" w:hAnsi="宋体" w:cs="宋体"/>
          <w:sz w:val="24"/>
        </w:rPr>
        <w:t xml:space="preserve">    采购人不得泄露招标投标活动中应当保密的情况和资料，不得与投标人串通损害国家利益、社会公共利益或者他人合法权益。</w:t>
      </w:r>
    </w:p>
    <w:p>
      <w:pPr>
        <w:pStyle w:val="16"/>
        <w:snapToGrid w:val="0"/>
        <w:spacing w:line="360" w:lineRule="auto"/>
        <w:rPr>
          <w:rFonts w:ascii="宋体" w:hAnsi="宋体" w:cs="宋体"/>
          <w:sz w:val="24"/>
        </w:rPr>
      </w:pPr>
      <w:bookmarkStart w:id="356" w:name="_Toc152045576"/>
      <w:bookmarkStart w:id="357" w:name="_Toc233102540"/>
      <w:bookmarkStart w:id="358" w:name="_Toc144974544"/>
      <w:bookmarkStart w:id="359" w:name="_Toc152042352"/>
      <w:bookmarkStart w:id="360" w:name="_Toc415098520"/>
      <w:bookmarkStart w:id="361" w:name="_Toc179632594"/>
      <w:r>
        <w:rPr>
          <w:rFonts w:hint="eastAsia" w:ascii="宋体" w:hAnsi="宋体" w:cs="宋体"/>
          <w:sz w:val="24"/>
        </w:rPr>
        <w:t>36.2  对投标人的纪律要求</w:t>
      </w:r>
      <w:bookmarkEnd w:id="356"/>
      <w:bookmarkEnd w:id="357"/>
      <w:bookmarkEnd w:id="358"/>
      <w:bookmarkEnd w:id="359"/>
      <w:bookmarkEnd w:id="360"/>
      <w:bookmarkEnd w:id="361"/>
    </w:p>
    <w:p>
      <w:pPr>
        <w:pStyle w:val="16"/>
        <w:snapToGrid w:val="0"/>
        <w:spacing w:line="360" w:lineRule="auto"/>
        <w:rPr>
          <w:rFonts w:ascii="宋体" w:hAnsi="宋体" w:cs="宋体"/>
          <w:sz w:val="24"/>
        </w:rPr>
      </w:pPr>
      <w:r>
        <w:rPr>
          <w:rFonts w:hint="eastAsia" w:ascii="宋体" w:hAnsi="宋体" w:cs="宋体"/>
          <w:sz w:val="24"/>
        </w:rPr>
        <w:t xml:space="preserve">    投标人不得相互串通投标或与采购人串通投标，不得向采购人或者评标委员会成员行贿谋取中标，不得以他人名义投标或者以其他方式弄虚作假骗取中标；投标人不得以任何方式干扰、影响评标工作。</w:t>
      </w:r>
    </w:p>
    <w:p>
      <w:pPr>
        <w:pStyle w:val="16"/>
        <w:snapToGrid w:val="0"/>
        <w:spacing w:line="360" w:lineRule="auto"/>
        <w:rPr>
          <w:rFonts w:ascii="宋体" w:hAnsi="宋体" w:cs="宋体"/>
          <w:sz w:val="24"/>
        </w:rPr>
      </w:pPr>
      <w:bookmarkStart w:id="362" w:name="_Toc233102541"/>
      <w:bookmarkStart w:id="363" w:name="_Toc144974545"/>
      <w:bookmarkStart w:id="364" w:name="_Toc415098521"/>
      <w:bookmarkStart w:id="365" w:name="_Toc152045577"/>
      <w:bookmarkStart w:id="366" w:name="_Toc152042353"/>
      <w:bookmarkStart w:id="367" w:name="_Toc179632595"/>
      <w:r>
        <w:rPr>
          <w:rFonts w:hint="eastAsia" w:ascii="宋体" w:hAnsi="宋体" w:cs="宋体"/>
          <w:sz w:val="24"/>
        </w:rPr>
        <w:t>36.3  对评标委员会成员的纪律要求</w:t>
      </w:r>
      <w:bookmarkEnd w:id="362"/>
      <w:bookmarkEnd w:id="363"/>
      <w:bookmarkEnd w:id="364"/>
      <w:bookmarkEnd w:id="365"/>
      <w:bookmarkEnd w:id="366"/>
      <w:bookmarkEnd w:id="367"/>
    </w:p>
    <w:p>
      <w:pPr>
        <w:pStyle w:val="16"/>
        <w:snapToGrid w:val="0"/>
        <w:spacing w:line="360" w:lineRule="auto"/>
        <w:rPr>
          <w:rFonts w:ascii="宋体" w:hAnsi="宋体" w:cs="宋体"/>
          <w:sz w:val="24"/>
        </w:rPr>
      </w:pPr>
      <w:r>
        <w:rPr>
          <w:rFonts w:hint="eastAsia" w:ascii="宋体" w:hAnsi="宋体" w:cs="宋体"/>
          <w:sz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程序、评标方法和评标标准》没有规定的评审因素和标准进行评标。</w:t>
      </w:r>
    </w:p>
    <w:p>
      <w:pPr>
        <w:pStyle w:val="16"/>
        <w:snapToGrid w:val="0"/>
        <w:spacing w:line="360" w:lineRule="auto"/>
        <w:rPr>
          <w:rFonts w:ascii="宋体" w:hAnsi="宋体" w:cs="宋体"/>
          <w:sz w:val="24"/>
        </w:rPr>
      </w:pPr>
      <w:bookmarkStart w:id="368" w:name="_Toc415098522"/>
      <w:bookmarkStart w:id="369" w:name="_Toc179632596"/>
      <w:bookmarkStart w:id="370" w:name="_Toc152042354"/>
      <w:bookmarkStart w:id="371" w:name="_Toc233102542"/>
      <w:bookmarkStart w:id="372" w:name="_Toc152045578"/>
      <w:bookmarkStart w:id="373" w:name="_Toc144974546"/>
      <w:r>
        <w:rPr>
          <w:rFonts w:hint="eastAsia" w:ascii="宋体" w:hAnsi="宋体" w:cs="宋体"/>
          <w:sz w:val="24"/>
        </w:rPr>
        <w:t>36.4  对与评标活动有关的工作人员的纪律要求</w:t>
      </w:r>
      <w:bookmarkEnd w:id="368"/>
      <w:bookmarkEnd w:id="369"/>
      <w:bookmarkEnd w:id="370"/>
      <w:bookmarkEnd w:id="371"/>
      <w:bookmarkEnd w:id="372"/>
    </w:p>
    <w:p>
      <w:pPr>
        <w:pStyle w:val="16"/>
        <w:snapToGrid w:val="0"/>
        <w:spacing w:line="360" w:lineRule="auto"/>
        <w:ind w:firstLine="480" w:firstLineChars="200"/>
        <w:rPr>
          <w:rFonts w:ascii="宋体" w:hAnsi="宋体" w:cs="宋体"/>
          <w:sz w:val="24"/>
        </w:rPr>
      </w:pPr>
      <w:bookmarkStart w:id="374" w:name="_Toc152042355"/>
      <w:r>
        <w:rPr>
          <w:rFonts w:hint="eastAsia" w:ascii="宋体" w:hAnsi="宋体" w:cs="宋体"/>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374"/>
    </w:p>
    <w:p>
      <w:pPr>
        <w:ind w:firstLine="600"/>
        <w:rPr>
          <w:rFonts w:ascii="宋体" w:hAnsi="宋体" w:cs="宋体"/>
          <w:sz w:val="30"/>
          <w:szCs w:val="30"/>
        </w:rPr>
      </w:pPr>
      <w:bookmarkStart w:id="375" w:name="_Toc5453"/>
      <w:bookmarkStart w:id="376" w:name="_Toc100786145"/>
    </w:p>
    <w:p>
      <w:pPr>
        <w:pStyle w:val="45"/>
        <w:spacing w:line="360" w:lineRule="auto"/>
        <w:ind w:firstLine="602"/>
        <w:rPr>
          <w:rFonts w:ascii="宋体" w:hAnsi="宋体" w:eastAsia="宋体" w:cs="宋体"/>
          <w:sz w:val="24"/>
          <w:szCs w:val="24"/>
        </w:rPr>
      </w:pPr>
      <w:r>
        <w:rPr>
          <w:rFonts w:hint="eastAsia" w:ascii="宋体" w:hAnsi="宋体" w:eastAsia="宋体" w:cs="宋体"/>
          <w:sz w:val="30"/>
          <w:szCs w:val="30"/>
        </w:rPr>
        <w:t xml:space="preserve">第三章  </w:t>
      </w:r>
      <w:bookmarkEnd w:id="375"/>
      <w:r>
        <w:rPr>
          <w:rFonts w:hint="eastAsia" w:ascii="宋体" w:hAnsi="宋体" w:eastAsia="宋体" w:cs="宋体"/>
          <w:sz w:val="30"/>
          <w:szCs w:val="30"/>
        </w:rPr>
        <w:t>拟定签订的合同文本</w:t>
      </w:r>
      <w:bookmarkEnd w:id="376"/>
    </w:p>
    <w:p>
      <w:pPr>
        <w:wordWrap w:val="0"/>
        <w:spacing w:line="480" w:lineRule="auto"/>
        <w:jc w:val="center"/>
        <w:rPr>
          <w:rFonts w:ascii="宋体" w:hAnsi="宋体" w:cs="宋体"/>
        </w:rPr>
      </w:pPr>
      <w:bookmarkStart w:id="377" w:name="_Hlt487972895"/>
      <w:bookmarkEnd w:id="377"/>
      <w:bookmarkStart w:id="378" w:name="_Toc25532"/>
      <w:r>
        <w:rPr>
          <w:rFonts w:hint="eastAsia" w:ascii="宋体" w:hAnsi="宋体" w:cs="宋体"/>
        </w:rPr>
        <w:t xml:space="preserve"> </w:t>
      </w:r>
    </w:p>
    <w:p>
      <w:pPr>
        <w:wordWrap w:val="0"/>
        <w:spacing w:line="480" w:lineRule="auto"/>
        <w:jc w:val="center"/>
        <w:rPr>
          <w:rFonts w:ascii="宋体" w:hAnsi="宋体" w:cs="宋体"/>
          <w:b/>
          <w:bCs/>
          <w:color w:val="000000"/>
          <w:sz w:val="24"/>
        </w:rPr>
      </w:pPr>
      <w:r>
        <w:rPr>
          <w:rFonts w:hint="eastAsia" w:ascii="宋体" w:hAnsi="宋体" w:cs="宋体"/>
          <w:b/>
          <w:bCs/>
          <w:color w:val="000000"/>
          <w:sz w:val="24"/>
        </w:rPr>
        <w:t>（本合同为中小企业预留合同）</w:t>
      </w:r>
    </w:p>
    <w:p/>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多语言网站内容建设与运营推广             </w:t>
      </w:r>
    </w:p>
    <w:p>
      <w:pPr>
        <w:spacing w:line="360" w:lineRule="auto"/>
        <w:jc w:val="center"/>
        <w:outlineLvl w:val="0"/>
        <w:rPr>
          <w:rFonts w:ascii="宋体" w:hAnsi="宋体" w:cs="宋体"/>
          <w:b/>
          <w:sz w:val="36"/>
          <w:szCs w:val="36"/>
        </w:rPr>
      </w:pPr>
      <w:r>
        <w:rPr>
          <w:rFonts w:hint="eastAsia" w:ascii="宋体" w:hAnsi="宋体" w:cs="宋体"/>
          <w:b/>
          <w:sz w:val="36"/>
          <w:szCs w:val="36"/>
        </w:rPr>
        <w:t>（第一包：多语言网站内容建设与运营推广）</w:t>
      </w:r>
    </w:p>
    <w:p>
      <w:pPr>
        <w:snapToGrid w:val="0"/>
        <w:spacing w:before="119" w:line="360" w:lineRule="auto"/>
        <w:ind w:left="958"/>
        <w:rPr>
          <w:rFonts w:ascii="宋体" w:hAnsi="宋体" w:cs="宋体"/>
          <w:sz w:val="28"/>
          <w:szCs w:val="21"/>
        </w:rPr>
      </w:pPr>
    </w:p>
    <w:p>
      <w:pPr>
        <w:snapToGrid w:val="0"/>
        <w:spacing w:before="119" w:line="360" w:lineRule="auto"/>
        <w:ind w:left="958"/>
        <w:rPr>
          <w:rFonts w:ascii="宋体" w:hAnsi="宋体" w:cs="宋体"/>
          <w:sz w:val="28"/>
          <w:szCs w:val="21"/>
        </w:rPr>
      </w:pPr>
    </w:p>
    <w:p>
      <w:pPr>
        <w:snapToGrid w:val="0"/>
        <w:spacing w:before="119" w:line="360" w:lineRule="auto"/>
        <w:ind w:left="958"/>
        <w:rPr>
          <w:rFonts w:ascii="宋体" w:hAnsi="宋体" w:cs="宋体"/>
          <w:sz w:val="28"/>
          <w:szCs w:val="21"/>
        </w:rPr>
      </w:pPr>
    </w:p>
    <w:p>
      <w:pPr>
        <w:snapToGrid w:val="0"/>
        <w:spacing w:before="119" w:line="360" w:lineRule="auto"/>
        <w:ind w:left="958"/>
        <w:rPr>
          <w:rFonts w:ascii="宋体" w:hAnsi="宋体" w:cs="宋体"/>
          <w:sz w:val="28"/>
          <w:szCs w:val="21"/>
        </w:rPr>
      </w:pPr>
    </w:p>
    <w:p>
      <w:pPr>
        <w:wordWrap w:val="0"/>
        <w:spacing w:line="480" w:lineRule="auto"/>
        <w:jc w:val="left"/>
        <w:rPr>
          <w:rFonts w:ascii="宋体" w:hAnsi="宋体" w:cs="宋体"/>
          <w:b/>
          <w:bCs/>
          <w:color w:val="000000"/>
          <w:sz w:val="24"/>
          <w:u w:val="single"/>
        </w:rPr>
      </w:pPr>
      <w:r>
        <w:rPr>
          <w:rFonts w:hint="eastAsia" w:ascii="宋体" w:hAnsi="宋体" w:cs="宋体"/>
          <w:b/>
          <w:bCs/>
          <w:color w:val="000000"/>
          <w:sz w:val="24"/>
        </w:rPr>
        <w:t xml:space="preserve">项目名称： </w:t>
      </w:r>
      <w:r>
        <w:rPr>
          <w:rFonts w:hint="eastAsia" w:ascii="宋体" w:hAnsi="宋体" w:cs="宋体"/>
          <w:b/>
          <w:bCs/>
          <w:color w:val="000000"/>
          <w:sz w:val="24"/>
          <w:u w:val="single"/>
        </w:rPr>
        <w:t>多语言网站内容建设与运营推广 （第一包：多语言网站内容建设与运营推广）</w:t>
      </w:r>
    </w:p>
    <w:p>
      <w:pPr>
        <w:pStyle w:val="2"/>
      </w:pPr>
    </w:p>
    <w:p>
      <w:pPr>
        <w:wordWrap w:val="0"/>
        <w:spacing w:line="480" w:lineRule="auto"/>
        <w:jc w:val="left"/>
        <w:rPr>
          <w:rFonts w:ascii="宋体" w:hAnsi="宋体" w:cs="宋体"/>
          <w:color w:val="000000"/>
          <w:sz w:val="24"/>
          <w:u w:val="single"/>
        </w:rPr>
      </w:pPr>
      <w:r>
        <w:rPr>
          <w:rFonts w:hint="eastAsia" w:ascii="宋体" w:hAnsi="宋体" w:cs="宋体"/>
          <w:b/>
          <w:bCs/>
          <w:color w:val="000000"/>
          <w:sz w:val="24"/>
        </w:rPr>
        <w:t>甲方（委托方）：</w:t>
      </w:r>
      <w:r>
        <w:rPr>
          <w:rFonts w:hint="eastAsia" w:ascii="宋体" w:hAnsi="宋体" w:cs="宋体"/>
          <w:b/>
          <w:bCs/>
          <w:color w:val="000000"/>
          <w:sz w:val="24"/>
          <w:u w:val="single"/>
        </w:rPr>
        <w:t>北京市文化和旅游局宣传中心（北京市旅游运行监测中心）</w:t>
      </w:r>
    </w:p>
    <w:p>
      <w:pPr>
        <w:pStyle w:val="2"/>
      </w:pPr>
    </w:p>
    <w:p>
      <w:pPr>
        <w:wordWrap w:val="0"/>
        <w:spacing w:line="480" w:lineRule="auto"/>
        <w:jc w:val="left"/>
        <w:rPr>
          <w:rFonts w:ascii="宋体" w:hAnsi="宋体" w:cs="宋体"/>
          <w:color w:val="000000"/>
          <w:sz w:val="28"/>
          <w:szCs w:val="28"/>
        </w:rPr>
      </w:pPr>
      <w:r>
        <w:rPr>
          <w:rFonts w:hint="eastAsia" w:ascii="宋体" w:hAnsi="宋体" w:cs="宋体"/>
          <w:b/>
          <w:bCs/>
          <w:color w:val="000000"/>
          <w:sz w:val="24"/>
        </w:rPr>
        <w:t>乙方（受托方）：</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8"/>
          <w:szCs w:val="28"/>
        </w:rPr>
        <w:t xml:space="preserve">          </w:t>
      </w:r>
    </w:p>
    <w:p>
      <w:pPr>
        <w:spacing w:line="360" w:lineRule="auto"/>
        <w:ind w:firstLine="480" w:firstLineChars="200"/>
        <w:rPr>
          <w:rFonts w:ascii="宋体" w:hAnsi="宋体" w:cs="宋体"/>
          <w:color w:val="000000"/>
          <w:sz w:val="24"/>
        </w:rPr>
        <w:sectPr>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cs="宋体"/>
          <w:color w:val="000000"/>
          <w:sz w:val="24"/>
        </w:rPr>
      </w:pPr>
      <w:r>
        <w:rPr>
          <w:rFonts w:hint="eastAsia" w:ascii="宋体" w:hAnsi="宋体" w:cs="宋体"/>
          <w:color w:val="000000"/>
          <w:sz w:val="24"/>
        </w:rPr>
        <w:t>鉴于</w:t>
      </w:r>
      <w:r>
        <w:rPr>
          <w:rFonts w:hint="eastAsia" w:ascii="宋体" w:hAnsi="宋体" w:cs="宋体"/>
          <w:color w:val="000000"/>
          <w:sz w:val="24"/>
          <w:u w:val="single"/>
        </w:rPr>
        <w:t>多语言网站内容建设与运营推广（第一包：多语言网站内容建设与运营推广）项目</w:t>
      </w:r>
      <w:r>
        <w:rPr>
          <w:rFonts w:hint="eastAsia" w:ascii="宋体" w:hAnsi="宋体" w:cs="宋体"/>
          <w:color w:val="000000"/>
          <w:sz w:val="24"/>
        </w:rPr>
        <w:t>通过公开招标确定乙方为本项目中标人，甲乙双方依据《中华人民共和国民法典》等法律法规，本着友好合作、平等互利的原则，经协商一致，特签订本合同，双方共同信守。</w:t>
      </w:r>
    </w:p>
    <w:p>
      <w:pPr>
        <w:spacing w:line="360" w:lineRule="auto"/>
        <w:rPr>
          <w:rFonts w:ascii="宋体" w:hAnsi="宋体" w:cs="宋体"/>
          <w:b/>
          <w:bCs/>
          <w:color w:val="000000"/>
          <w:sz w:val="24"/>
        </w:rPr>
      </w:pPr>
      <w:r>
        <w:rPr>
          <w:rFonts w:hint="eastAsia" w:ascii="宋体" w:hAnsi="宋体" w:cs="宋体"/>
          <w:b/>
          <w:bCs/>
          <w:color w:val="000000"/>
          <w:sz w:val="24"/>
        </w:rPr>
        <w:t>一、合同名词术语定义</w:t>
      </w:r>
    </w:p>
    <w:p>
      <w:pPr>
        <w:spacing w:line="360" w:lineRule="auto"/>
        <w:ind w:firstLine="420"/>
        <w:rPr>
          <w:rFonts w:ascii="宋体" w:hAnsi="宋体" w:cs="宋体"/>
          <w:color w:val="000000"/>
          <w:sz w:val="24"/>
        </w:rPr>
      </w:pPr>
      <w:r>
        <w:rPr>
          <w:rFonts w:hint="eastAsia" w:ascii="宋体" w:hAnsi="宋体" w:cs="宋体"/>
          <w:color w:val="000000"/>
          <w:sz w:val="24"/>
        </w:rPr>
        <w:t>1.“合同”：系指甲乙双方就本项目建设达成并签署的协议，包括所有的附表、附件以及下面指出的构成合同的所有文件。双方同意下列文件作为本合同不可分割的组成部分，彼此相互解释，相互补充：</w:t>
      </w:r>
    </w:p>
    <w:p>
      <w:pPr>
        <w:spacing w:line="360" w:lineRule="auto"/>
        <w:ind w:firstLine="420"/>
        <w:rPr>
          <w:rFonts w:ascii="宋体" w:hAnsi="宋体" w:cs="宋体"/>
          <w:color w:val="000000"/>
          <w:sz w:val="24"/>
        </w:rPr>
      </w:pPr>
      <w:r>
        <w:rPr>
          <w:rFonts w:hint="eastAsia" w:ascii="宋体" w:hAnsi="宋体" w:cs="宋体"/>
          <w:color w:val="000000"/>
          <w:sz w:val="24"/>
        </w:rPr>
        <w:t>（1）本合同正文及附件；</w:t>
      </w:r>
    </w:p>
    <w:p>
      <w:pPr>
        <w:spacing w:line="360" w:lineRule="auto"/>
        <w:ind w:firstLine="420"/>
        <w:rPr>
          <w:rFonts w:ascii="宋体" w:hAnsi="宋体" w:cs="宋体"/>
          <w:color w:val="000000"/>
          <w:sz w:val="24"/>
        </w:rPr>
      </w:pPr>
      <w:r>
        <w:rPr>
          <w:rFonts w:hint="eastAsia" w:ascii="宋体" w:hAnsi="宋体" w:cs="宋体"/>
          <w:color w:val="000000"/>
          <w:sz w:val="24"/>
        </w:rPr>
        <w:t>（2）中标人中标文件及书面承诺；</w:t>
      </w:r>
    </w:p>
    <w:p>
      <w:pPr>
        <w:spacing w:line="360" w:lineRule="auto"/>
        <w:ind w:firstLine="420"/>
        <w:rPr>
          <w:rFonts w:ascii="宋体" w:hAnsi="宋体" w:cs="宋体"/>
          <w:color w:val="000000"/>
          <w:sz w:val="24"/>
        </w:rPr>
      </w:pPr>
      <w:r>
        <w:rPr>
          <w:rFonts w:hint="eastAsia" w:ascii="宋体" w:hAnsi="宋体" w:cs="宋体"/>
          <w:color w:val="000000"/>
          <w:sz w:val="24"/>
        </w:rPr>
        <w:t>（3）招标人招标文件及附件；</w:t>
      </w:r>
    </w:p>
    <w:p>
      <w:pPr>
        <w:spacing w:line="360" w:lineRule="auto"/>
        <w:ind w:firstLine="420"/>
        <w:rPr>
          <w:rFonts w:ascii="宋体" w:hAnsi="宋体" w:cs="宋体"/>
          <w:color w:val="000000"/>
          <w:sz w:val="24"/>
        </w:rPr>
      </w:pPr>
      <w:r>
        <w:rPr>
          <w:rFonts w:hint="eastAsia" w:ascii="宋体" w:hAnsi="宋体" w:cs="宋体"/>
          <w:color w:val="000000"/>
          <w:sz w:val="24"/>
        </w:rPr>
        <w:t>（4）在合同实施过程中双方共同签署的补充与修正文件。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甲乙双方同意在出现合同理解上的歧义时，按照补充与修正文件、本合同正文及其附件、中标文件及书面承诺、招标文件及附件次序优先执行。</w:t>
      </w:r>
    </w:p>
    <w:p>
      <w:pPr>
        <w:spacing w:line="360" w:lineRule="auto"/>
        <w:ind w:firstLine="480" w:firstLineChars="200"/>
        <w:rPr>
          <w:rFonts w:ascii="宋体" w:hAnsi="宋体" w:cs="宋体"/>
          <w:color w:val="000000"/>
          <w:sz w:val="24"/>
        </w:rPr>
      </w:pPr>
      <w:r>
        <w:rPr>
          <w:rFonts w:hint="eastAsia" w:ascii="宋体" w:hAnsi="宋体" w:cs="宋体"/>
          <w:color w:val="000000"/>
          <w:sz w:val="24"/>
        </w:rPr>
        <w:t>2.“合同价款”：系指根据本合同规定乙方在正确、全面地履行合同义务后，甲方应支付给乙方的费用金额。</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3.“服务”：系指任何由乙方按合同项下的要求进行的软件开发、安装、定制、集成、试运行、测试、培训、运营、维护、修理、技术支持和其他为正常使用和运行系统提供的必要服务。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4.“验收”是指经项目监理方审核，满足验收条件后，由甲方组织对项目进行的验收。</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二、服务对象、目的和期限</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1.乙方为甲方（北京旅游网：https://www.visitbeijing.com.cn/）提供运行、维护、保障服务（以下简称运维服务）。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2.服务目的：乙方为甲方提供</w:t>
      </w:r>
      <w:r>
        <w:rPr>
          <w:rFonts w:ascii="宋体" w:hAnsi="宋体" w:cs="宋体"/>
          <w:color w:val="000000"/>
          <w:sz w:val="24"/>
          <w:u w:val="single"/>
        </w:rPr>
        <w:t>15</w:t>
      </w:r>
      <w:r>
        <w:rPr>
          <w:rFonts w:hint="eastAsia" w:ascii="宋体" w:hAnsi="宋体" w:cs="宋体"/>
          <w:color w:val="000000"/>
          <w:sz w:val="24"/>
        </w:rPr>
        <w:t>个月运维服务，对北京旅游网中文、英文、法文、西文、韩文、日文、俄文、繁体中文7个语种、8种语言版本网站进行内容运维与宣传推广工作，对中英韩文的3G网站进行内容运维，维护旅游资源库平台，版权图库采购，持续借助多种渠道和资源对重点工作、重大活动进行宣推，以及</w:t>
      </w:r>
      <w:r>
        <w:rPr>
          <w:rFonts w:hint="eastAsia" w:ascii="宋体" w:hAnsi="宋体" w:cs="宋体"/>
          <w:sz w:val="24"/>
        </w:rPr>
        <w:t>其他甲方交办的，为实现甲方合同目的的工作</w:t>
      </w:r>
      <w:r>
        <w:rPr>
          <w:rFonts w:hint="eastAsia" w:ascii="宋体" w:hAnsi="宋体" w:cs="宋体"/>
          <w:color w:val="000000"/>
          <w:sz w:val="24"/>
        </w:rPr>
        <w:t>。</w:t>
      </w:r>
    </w:p>
    <w:p>
      <w:pPr>
        <w:spacing w:line="360" w:lineRule="auto"/>
        <w:ind w:firstLine="420"/>
        <w:rPr>
          <w:rFonts w:ascii="宋体" w:hAnsi="宋体" w:cs="宋体"/>
          <w:sz w:val="24"/>
        </w:rPr>
      </w:pPr>
      <w:bookmarkStart w:id="379" w:name="_Hlk121891010"/>
      <w:r>
        <w:rPr>
          <w:rFonts w:hint="eastAsia" w:ascii="宋体" w:hAnsi="宋体" w:cs="宋体"/>
          <w:color w:val="000000"/>
          <w:sz w:val="24"/>
        </w:rPr>
        <w:t>3.合同服务期限为：</w:t>
      </w:r>
      <w:r>
        <w:rPr>
          <w:rFonts w:hint="eastAsia" w:ascii="宋体" w:hAnsi="宋体" w:cs="宋体"/>
          <w:color w:val="000000"/>
          <w:sz w:val="24"/>
          <w:u w:val="single"/>
        </w:rPr>
        <w:t>2025年1月1日至2026年3月31日。</w:t>
      </w:r>
    </w:p>
    <w:bookmarkEnd w:id="379"/>
    <w:p>
      <w:pPr>
        <w:spacing w:line="360" w:lineRule="auto"/>
        <w:rPr>
          <w:rFonts w:ascii="宋体" w:hAnsi="宋体" w:cs="宋体"/>
          <w:b/>
          <w:bCs/>
          <w:color w:val="000000"/>
          <w:sz w:val="24"/>
        </w:rPr>
      </w:pPr>
      <w:r>
        <w:rPr>
          <w:rFonts w:hint="eastAsia" w:ascii="宋体" w:hAnsi="宋体" w:cs="宋体"/>
          <w:b/>
          <w:bCs/>
          <w:color w:val="000000"/>
          <w:sz w:val="24"/>
        </w:rPr>
        <w:t>三、合同金额及付款方式</w:t>
      </w:r>
    </w:p>
    <w:p>
      <w:pPr>
        <w:spacing w:line="360" w:lineRule="auto"/>
        <w:ind w:firstLine="480" w:firstLineChars="200"/>
        <w:rPr>
          <w:rFonts w:ascii="宋体" w:hAnsi="宋体" w:cs="宋体"/>
          <w:sz w:val="24"/>
        </w:rPr>
      </w:pPr>
      <w:r>
        <w:rPr>
          <w:rFonts w:hint="eastAsia" w:ascii="宋体" w:hAnsi="宋体" w:cs="宋体"/>
          <w:sz w:val="24"/>
        </w:rPr>
        <w:t>1.合同金额</w:t>
      </w:r>
    </w:p>
    <w:p>
      <w:pPr>
        <w:spacing w:line="360" w:lineRule="auto"/>
        <w:ind w:firstLine="480" w:firstLineChars="200"/>
        <w:jc w:val="left"/>
        <w:rPr>
          <w:rFonts w:ascii="宋体" w:hAnsi="宋体" w:cs="宋体"/>
          <w:sz w:val="24"/>
        </w:rPr>
      </w:pPr>
      <w:r>
        <w:rPr>
          <w:rFonts w:hint="eastAsia" w:ascii="宋体" w:hAnsi="宋体" w:cs="宋体"/>
          <w:sz w:val="24"/>
        </w:rPr>
        <w:t>合同总金额为人民币</w:t>
      </w:r>
      <w:r>
        <w:rPr>
          <w:rFonts w:hint="eastAsia" w:ascii="宋体" w:hAnsi="宋体" w:cs="宋体"/>
          <w:sz w:val="24"/>
          <w:u w:val="single"/>
        </w:rPr>
        <w:t xml:space="preserve">         元</w:t>
      </w:r>
      <w:r>
        <w:rPr>
          <w:rFonts w:hint="eastAsia" w:ascii="宋体" w:hAnsi="宋体" w:cs="宋体"/>
          <w:sz w:val="24"/>
        </w:rPr>
        <w:t>（大写：</w:t>
      </w:r>
      <w:r>
        <w:rPr>
          <w:rFonts w:hint="eastAsia" w:ascii="宋体" w:hAnsi="宋体" w:cs="宋体"/>
          <w:sz w:val="24"/>
          <w:u w:val="single"/>
        </w:rPr>
        <w:t xml:space="preserve">        元整</w:t>
      </w:r>
      <w:r>
        <w:rPr>
          <w:rFonts w:hint="eastAsia" w:ascii="宋体" w:hAnsi="宋体" w:cs="宋体"/>
          <w:sz w:val="24"/>
        </w:rPr>
        <w:t>）（费用明细附后）。含税，增值税税率</w:t>
      </w:r>
      <w:r>
        <w:rPr>
          <w:rFonts w:hint="eastAsia" w:ascii="宋体" w:hAnsi="宋体" w:cs="宋体"/>
          <w:sz w:val="24"/>
          <w:u w:val="single"/>
        </w:rPr>
        <w:t xml:space="preserve">     </w:t>
      </w:r>
      <w:r>
        <w:rPr>
          <w:rFonts w:hint="eastAsia" w:ascii="宋体" w:hAnsi="宋体" w:cs="宋体"/>
          <w:sz w:val="24"/>
        </w:rPr>
        <w:t>，不含税金额：</w:t>
      </w:r>
      <w:r>
        <w:rPr>
          <w:rFonts w:hint="eastAsia" w:ascii="宋体" w:hAnsi="宋体" w:cs="宋体"/>
          <w:sz w:val="24"/>
          <w:u w:val="single"/>
        </w:rPr>
        <w:t xml:space="preserve">        元</w:t>
      </w:r>
      <w:r>
        <w:rPr>
          <w:rFonts w:hint="eastAsia" w:ascii="宋体" w:hAnsi="宋体" w:cs="宋体"/>
          <w:sz w:val="24"/>
        </w:rPr>
        <w:t>，税额：</w:t>
      </w:r>
      <w:r>
        <w:rPr>
          <w:rFonts w:hint="eastAsia" w:ascii="宋体" w:hAnsi="宋体" w:cs="宋体"/>
          <w:sz w:val="24"/>
          <w:u w:val="single"/>
        </w:rPr>
        <w:t xml:space="preserve">          元</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2.支付和结算方式</w:t>
      </w:r>
    </w:p>
    <w:p>
      <w:pPr>
        <w:spacing w:line="360" w:lineRule="auto"/>
        <w:ind w:firstLine="480" w:firstLineChars="200"/>
        <w:rPr>
          <w:rFonts w:ascii="宋体" w:hAnsi="宋体" w:cs="宋体"/>
          <w:sz w:val="24"/>
        </w:rPr>
      </w:pPr>
      <w:r>
        <w:rPr>
          <w:rFonts w:hint="eastAsia" w:ascii="宋体" w:hAnsi="宋体" w:cs="宋体"/>
          <w:sz w:val="24"/>
        </w:rPr>
        <w:t>双方因本合同发生的一切费用均已包含在合同总金额中，并以人民币结算及支付。</w:t>
      </w:r>
    </w:p>
    <w:p>
      <w:pPr>
        <w:spacing w:line="360" w:lineRule="auto"/>
        <w:ind w:firstLine="480" w:firstLineChars="200"/>
        <w:rPr>
          <w:rFonts w:ascii="宋体" w:hAnsi="宋体" w:cs="宋体"/>
          <w:sz w:val="24"/>
        </w:rPr>
      </w:pPr>
      <w:r>
        <w:rPr>
          <w:rFonts w:hint="eastAsia" w:ascii="宋体" w:hAnsi="宋体" w:cs="宋体"/>
          <w:sz w:val="24"/>
        </w:rPr>
        <w:t>乙方的账户名称、开户银行及账号以下面为准：</w:t>
      </w:r>
    </w:p>
    <w:p>
      <w:pPr>
        <w:autoSpaceDN w:val="0"/>
        <w:spacing w:line="360" w:lineRule="auto"/>
        <w:ind w:firstLine="480" w:firstLineChars="200"/>
        <w:rPr>
          <w:rFonts w:ascii="宋体" w:hAnsi="宋体" w:cs="宋体"/>
          <w:sz w:val="24"/>
        </w:rPr>
      </w:pPr>
      <w:r>
        <w:rPr>
          <w:rFonts w:hint="eastAsia" w:ascii="宋体" w:hAnsi="宋体" w:cs="宋体"/>
          <w:sz w:val="24"/>
        </w:rPr>
        <w:t xml:space="preserve">账户名称： </w:t>
      </w:r>
    </w:p>
    <w:p>
      <w:pPr>
        <w:autoSpaceDN w:val="0"/>
        <w:spacing w:line="360" w:lineRule="auto"/>
        <w:ind w:firstLine="480" w:firstLineChars="200"/>
        <w:rPr>
          <w:rFonts w:ascii="宋体" w:hAnsi="宋体" w:cs="宋体"/>
          <w:sz w:val="24"/>
        </w:rPr>
      </w:pPr>
      <w:r>
        <w:rPr>
          <w:rFonts w:hint="eastAsia" w:ascii="宋体" w:hAnsi="宋体" w:cs="宋体"/>
          <w:sz w:val="24"/>
        </w:rPr>
        <w:t xml:space="preserve">统一社会信用代码： </w:t>
      </w:r>
    </w:p>
    <w:p>
      <w:pPr>
        <w:autoSpaceDN w:val="0"/>
        <w:spacing w:line="360" w:lineRule="auto"/>
        <w:ind w:firstLine="480" w:firstLineChars="200"/>
        <w:rPr>
          <w:rFonts w:ascii="宋体" w:hAnsi="宋体" w:cs="宋体"/>
          <w:sz w:val="24"/>
        </w:rPr>
      </w:pPr>
      <w:r>
        <w:rPr>
          <w:rFonts w:hint="eastAsia" w:ascii="宋体" w:hAnsi="宋体" w:cs="宋体"/>
          <w:sz w:val="24"/>
        </w:rPr>
        <w:t xml:space="preserve">银行账号：  </w:t>
      </w:r>
    </w:p>
    <w:p>
      <w:pPr>
        <w:autoSpaceDN w:val="0"/>
        <w:spacing w:line="360" w:lineRule="auto"/>
        <w:ind w:firstLine="480" w:firstLineChars="200"/>
        <w:rPr>
          <w:rFonts w:ascii="宋体" w:hAnsi="宋体" w:cs="宋体"/>
          <w:sz w:val="24"/>
        </w:rPr>
      </w:pPr>
      <w:r>
        <w:rPr>
          <w:rFonts w:hint="eastAsia" w:ascii="宋体" w:hAnsi="宋体" w:cs="宋体"/>
          <w:sz w:val="24"/>
        </w:rPr>
        <w:t xml:space="preserve">开户银行： </w:t>
      </w:r>
    </w:p>
    <w:p>
      <w:pPr>
        <w:autoSpaceDN w:val="0"/>
        <w:spacing w:line="360" w:lineRule="auto"/>
        <w:ind w:firstLine="480" w:firstLineChars="200"/>
        <w:rPr>
          <w:rFonts w:ascii="宋体" w:hAnsi="宋体" w:cs="宋体"/>
          <w:sz w:val="24"/>
        </w:rPr>
      </w:pPr>
      <w:r>
        <w:rPr>
          <w:rFonts w:hint="eastAsia" w:ascii="宋体" w:hAnsi="宋体" w:cs="宋体"/>
          <w:sz w:val="24"/>
        </w:rPr>
        <w:t xml:space="preserve">银行行号： </w:t>
      </w:r>
    </w:p>
    <w:p>
      <w:pPr>
        <w:spacing w:line="360" w:lineRule="auto"/>
        <w:rPr>
          <w:rFonts w:ascii="宋体" w:hAnsi="宋体" w:cs="宋体"/>
          <w:sz w:val="24"/>
        </w:rPr>
      </w:pPr>
      <w:r>
        <w:rPr>
          <w:rFonts w:hint="eastAsia" w:ascii="宋体" w:hAnsi="宋体" w:cs="宋体"/>
          <w:sz w:val="24"/>
        </w:rPr>
        <w:t xml:space="preserve">    银行地址： </w:t>
      </w:r>
    </w:p>
    <w:p>
      <w:pPr>
        <w:spacing w:line="360" w:lineRule="auto"/>
        <w:ind w:firstLine="480" w:firstLineChars="200"/>
        <w:rPr>
          <w:rFonts w:ascii="宋体" w:hAnsi="宋体" w:cs="宋体"/>
          <w:sz w:val="24"/>
        </w:rPr>
      </w:pPr>
      <w:r>
        <w:rPr>
          <w:rFonts w:hint="eastAsia" w:ascii="宋体" w:hAnsi="宋体" w:cs="宋体"/>
          <w:sz w:val="24"/>
        </w:rPr>
        <w:t>3.价款支付方式</w:t>
      </w:r>
    </w:p>
    <w:p>
      <w:pPr>
        <w:spacing w:line="360" w:lineRule="auto"/>
        <w:ind w:firstLine="480" w:firstLineChars="200"/>
        <w:jc w:val="left"/>
        <w:rPr>
          <w:rFonts w:ascii="宋体" w:hAnsi="宋体" w:cs="宋体"/>
          <w:sz w:val="24"/>
        </w:rPr>
      </w:pPr>
      <w:r>
        <w:rPr>
          <w:rFonts w:hint="eastAsia" w:ascii="宋体" w:hAnsi="宋体" w:cs="宋体"/>
          <w:sz w:val="24"/>
          <w:szCs w:val="24"/>
        </w:rPr>
        <w:t>3.1项目完成签约和通过财政拨款账户缴纳资费的周期为15个月，因此甲方承诺在2025年12月31日前交纳已出账的当年全部费用,2026年费用将根据当年财政实际批复金额为准。甲方承诺分三次支付：合同签订</w:t>
      </w:r>
      <w:r>
        <w:rPr>
          <w:rFonts w:ascii="宋体" w:hAnsi="宋体" w:cs="宋体"/>
          <w:sz w:val="24"/>
          <w:szCs w:val="24"/>
        </w:rPr>
        <w:t>后的30个工作日且政府资金已到位</w:t>
      </w:r>
      <w:r>
        <w:rPr>
          <w:rFonts w:hint="eastAsia" w:ascii="宋体" w:hAnsi="宋体" w:cs="宋体"/>
          <w:sz w:val="24"/>
          <w:szCs w:val="24"/>
        </w:rPr>
        <w:t>，支付合同总价的</w:t>
      </w:r>
      <w:r>
        <w:rPr>
          <w:rFonts w:ascii="宋体" w:hAnsi="宋体" w:cs="宋体"/>
          <w:sz w:val="24"/>
          <w:szCs w:val="24"/>
        </w:rPr>
        <w:t>60%，计￥</w:t>
      </w:r>
      <w:r>
        <w:rPr>
          <w:rFonts w:ascii="宋体" w:hAnsi="宋体" w:cs="宋体"/>
          <w:sz w:val="24"/>
          <w:szCs w:val="24"/>
          <w:u w:val="single"/>
        </w:rPr>
        <w:t xml:space="preserve">    </w:t>
      </w:r>
      <w:r>
        <w:rPr>
          <w:rFonts w:hint="eastAsia" w:ascii="宋体" w:hAnsi="宋体" w:cs="宋体"/>
          <w:sz w:val="24"/>
          <w:szCs w:val="24"/>
        </w:rPr>
        <w:t>元（大写：</w:t>
      </w:r>
      <w:r>
        <w:rPr>
          <w:rFonts w:ascii="宋体" w:hAnsi="宋体" w:cs="宋体"/>
          <w:sz w:val="24"/>
          <w:szCs w:val="24"/>
          <w:u w:val="single"/>
        </w:rPr>
        <w:t xml:space="preserve">    </w:t>
      </w:r>
      <w:r>
        <w:rPr>
          <w:rFonts w:hint="eastAsia" w:ascii="宋体" w:hAnsi="宋体" w:cs="宋体"/>
          <w:sz w:val="24"/>
          <w:szCs w:val="24"/>
        </w:rPr>
        <w:t>）；项目</w:t>
      </w:r>
      <w:r>
        <w:rPr>
          <w:rFonts w:ascii="宋体" w:hAnsi="宋体" w:cs="宋体"/>
          <w:sz w:val="24"/>
          <w:szCs w:val="24"/>
        </w:rPr>
        <w:t>中期验收后30个工作日</w:t>
      </w:r>
      <w:r>
        <w:rPr>
          <w:rFonts w:hint="eastAsia" w:ascii="宋体" w:hAnsi="宋体" w:cs="宋体"/>
          <w:sz w:val="24"/>
          <w:szCs w:val="24"/>
        </w:rPr>
        <w:t>，支付合同总价的</w:t>
      </w:r>
      <w:r>
        <w:rPr>
          <w:rFonts w:ascii="宋体" w:hAnsi="宋体" w:cs="宋体"/>
          <w:sz w:val="24"/>
          <w:szCs w:val="24"/>
        </w:rPr>
        <w:t>20%，计￥</w:t>
      </w:r>
      <w:r>
        <w:rPr>
          <w:rFonts w:ascii="宋体" w:hAnsi="宋体" w:cs="宋体"/>
          <w:sz w:val="24"/>
          <w:szCs w:val="24"/>
          <w:u w:val="single"/>
        </w:rPr>
        <w:t xml:space="preserve">    </w:t>
      </w:r>
      <w:r>
        <w:rPr>
          <w:rFonts w:hint="eastAsia" w:ascii="宋体" w:hAnsi="宋体" w:cs="宋体"/>
          <w:sz w:val="24"/>
          <w:szCs w:val="24"/>
        </w:rPr>
        <w:t>元（大写：</w:t>
      </w:r>
      <w:r>
        <w:rPr>
          <w:rFonts w:ascii="宋体" w:hAnsi="宋体" w:cs="宋体"/>
          <w:sz w:val="24"/>
          <w:szCs w:val="24"/>
          <w:u w:val="single"/>
        </w:rPr>
        <w:t xml:space="preserve">    </w:t>
      </w:r>
      <w:r>
        <w:rPr>
          <w:rFonts w:hint="eastAsia" w:ascii="宋体" w:hAnsi="宋体" w:cs="宋体"/>
          <w:sz w:val="24"/>
          <w:szCs w:val="24"/>
        </w:rPr>
        <w:t>）；项目竣工</w:t>
      </w:r>
      <w:r>
        <w:rPr>
          <w:rFonts w:ascii="宋体" w:hAnsi="宋体" w:cs="宋体"/>
          <w:sz w:val="24"/>
          <w:szCs w:val="24"/>
        </w:rPr>
        <w:t>验收后</w:t>
      </w:r>
      <w:r>
        <w:rPr>
          <w:rFonts w:hint="eastAsia" w:ascii="宋体" w:hAnsi="宋体" w:cs="宋体"/>
          <w:sz w:val="24"/>
          <w:szCs w:val="24"/>
        </w:rPr>
        <w:t>，根据财政实际批复支付合同尾款，为合同总价的</w:t>
      </w:r>
      <w:r>
        <w:rPr>
          <w:rFonts w:ascii="宋体" w:hAnsi="宋体" w:cs="宋体"/>
          <w:sz w:val="24"/>
          <w:szCs w:val="24"/>
        </w:rPr>
        <w:t>20%计￥</w:t>
      </w:r>
      <w:r>
        <w:rPr>
          <w:rFonts w:ascii="宋体" w:hAnsi="宋体" w:cs="宋体"/>
          <w:sz w:val="24"/>
          <w:szCs w:val="24"/>
          <w:u w:val="single"/>
        </w:rPr>
        <w:t xml:space="preserve">    </w:t>
      </w:r>
      <w:r>
        <w:rPr>
          <w:rFonts w:hint="eastAsia" w:ascii="宋体" w:hAnsi="宋体" w:cs="宋体"/>
          <w:sz w:val="24"/>
          <w:szCs w:val="24"/>
        </w:rPr>
        <w:t>元（大写：</w:t>
      </w:r>
      <w:r>
        <w:rPr>
          <w:rFonts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rPr>
      </w:pPr>
      <w:r>
        <w:rPr>
          <w:rFonts w:hint="eastAsia" w:ascii="宋体" w:hAnsi="宋体" w:cs="宋体"/>
          <w:sz w:val="24"/>
        </w:rPr>
        <w:t>3.2乙方承诺在政府资金未及时到位情况下保证不影响工作进度和服务质量，并不追究甲方违约责任。</w:t>
      </w:r>
    </w:p>
    <w:p>
      <w:pPr>
        <w:spacing w:line="360" w:lineRule="auto"/>
        <w:ind w:firstLine="480" w:firstLineChars="200"/>
        <w:rPr>
          <w:rFonts w:ascii="宋体" w:hAnsi="宋体" w:cs="宋体"/>
          <w:sz w:val="24"/>
        </w:rPr>
      </w:pPr>
      <w:r>
        <w:rPr>
          <w:rFonts w:hint="eastAsia" w:ascii="宋体" w:hAnsi="宋体" w:cs="宋体"/>
          <w:sz w:val="24"/>
        </w:rPr>
        <w:t>3.3乙方负责支付按照国家规定与合同执行有关的相关税费，直至合同执行完成。一切税费已由乙方计入合同总价之中。</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四、服务内容和服务方式</w:t>
      </w:r>
    </w:p>
    <w:p>
      <w:pPr>
        <w:spacing w:line="360" w:lineRule="auto"/>
        <w:ind w:firstLine="480" w:firstLineChars="200"/>
        <w:rPr>
          <w:rFonts w:ascii="宋体" w:hAnsi="宋体" w:cs="宋体"/>
          <w:color w:val="000000"/>
          <w:sz w:val="24"/>
        </w:rPr>
      </w:pPr>
      <w:r>
        <w:rPr>
          <w:rFonts w:hint="eastAsia" w:ascii="宋体" w:hAnsi="宋体" w:cs="宋体"/>
          <w:color w:val="000000"/>
          <w:sz w:val="24"/>
        </w:rPr>
        <w:t>具体服务内容：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主要是对中文、英文、法文、西文、韩文、日文、俄文、繁体中文7个语种站、8种语言版本网站进行内容运维与宣传推广工作；对中英韩文的3G网站进行内容运维；维护旅游资源库平台；版权图库采购：持续借助多种渠道和资源对重点工作、重大活动进行宣推。（详见招投标文件）</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五、双方责任</w:t>
      </w:r>
    </w:p>
    <w:p>
      <w:pPr>
        <w:spacing w:line="360" w:lineRule="auto"/>
        <w:ind w:firstLine="405"/>
        <w:rPr>
          <w:rFonts w:ascii="宋体" w:hAnsi="宋体" w:cs="宋体"/>
          <w:color w:val="000000"/>
          <w:sz w:val="24"/>
        </w:rPr>
      </w:pPr>
      <w:r>
        <w:rPr>
          <w:rFonts w:hint="eastAsia" w:ascii="宋体" w:hAnsi="宋体" w:cs="宋体"/>
          <w:color w:val="000000"/>
          <w:sz w:val="24"/>
        </w:rPr>
        <w:t>1.甲方责任</w:t>
      </w:r>
    </w:p>
    <w:p>
      <w:pPr>
        <w:spacing w:line="360" w:lineRule="auto"/>
        <w:ind w:firstLine="405"/>
        <w:rPr>
          <w:rFonts w:ascii="宋体" w:hAnsi="宋体" w:cs="宋体"/>
          <w:color w:val="000000"/>
          <w:sz w:val="24"/>
        </w:rPr>
      </w:pPr>
      <w:r>
        <w:rPr>
          <w:rFonts w:hint="eastAsia" w:ascii="宋体" w:hAnsi="宋体" w:cs="宋体"/>
          <w:color w:val="000000"/>
          <w:sz w:val="24"/>
        </w:rPr>
        <w:t>（1）在项目实施过程中，甲方指派项目负责人，并做好组织、配合与协调工作。</w:t>
      </w:r>
    </w:p>
    <w:p>
      <w:pPr>
        <w:spacing w:line="360" w:lineRule="auto"/>
        <w:ind w:firstLine="405"/>
        <w:rPr>
          <w:rFonts w:ascii="宋体" w:hAnsi="宋体" w:cs="宋体"/>
          <w:color w:val="000000"/>
          <w:sz w:val="24"/>
        </w:rPr>
      </w:pPr>
      <w:r>
        <w:rPr>
          <w:rFonts w:hint="eastAsia" w:ascii="宋体" w:hAnsi="宋体" w:cs="宋体"/>
          <w:color w:val="000000"/>
          <w:sz w:val="24"/>
        </w:rPr>
        <w:t>（2）乙方向甲方提供的内部资料，甲方予以保密，甲方不向任何第三方泄露乙方的商业机密和技术机密。</w:t>
      </w:r>
    </w:p>
    <w:p>
      <w:pPr>
        <w:spacing w:line="360" w:lineRule="auto"/>
        <w:ind w:firstLine="405"/>
        <w:rPr>
          <w:rFonts w:ascii="宋体" w:hAnsi="宋体" w:cs="宋体"/>
          <w:color w:val="000000"/>
          <w:sz w:val="24"/>
        </w:rPr>
      </w:pPr>
      <w:r>
        <w:rPr>
          <w:rFonts w:hint="eastAsia" w:ascii="宋体" w:hAnsi="宋体" w:cs="宋体"/>
          <w:color w:val="000000"/>
          <w:sz w:val="24"/>
        </w:rPr>
        <w:t>（3）在项目满足验收条件后10个工作日内，甲方根据合同规定及时组织相关人员对项目进行验收。</w:t>
      </w:r>
    </w:p>
    <w:p>
      <w:pPr>
        <w:spacing w:line="360" w:lineRule="auto"/>
        <w:ind w:firstLine="405"/>
        <w:rPr>
          <w:rFonts w:ascii="宋体" w:hAnsi="宋体" w:cs="宋体"/>
          <w:color w:val="000000"/>
          <w:sz w:val="24"/>
        </w:rPr>
      </w:pPr>
      <w:r>
        <w:rPr>
          <w:rFonts w:hint="eastAsia" w:ascii="宋体" w:hAnsi="宋体" w:cs="宋体"/>
          <w:color w:val="000000"/>
          <w:sz w:val="24"/>
        </w:rPr>
        <w:t>（4）严格按照合同规定的付款方式向乙方支付合同款项。</w:t>
      </w:r>
    </w:p>
    <w:p>
      <w:pPr>
        <w:spacing w:line="360" w:lineRule="auto"/>
        <w:ind w:firstLine="405"/>
        <w:rPr>
          <w:rFonts w:ascii="宋体" w:hAnsi="宋体" w:cs="宋体"/>
          <w:color w:val="000000"/>
          <w:sz w:val="24"/>
        </w:rPr>
      </w:pPr>
      <w:r>
        <w:rPr>
          <w:rFonts w:hint="eastAsia" w:ascii="宋体" w:hAnsi="宋体" w:cs="宋体"/>
          <w:color w:val="000000"/>
          <w:sz w:val="24"/>
        </w:rPr>
        <w:t>2.乙方责任</w:t>
      </w:r>
    </w:p>
    <w:p>
      <w:pPr>
        <w:spacing w:line="360" w:lineRule="auto"/>
        <w:ind w:firstLine="405"/>
        <w:rPr>
          <w:rFonts w:ascii="宋体" w:hAnsi="宋体" w:cs="宋体"/>
          <w:color w:val="000000"/>
          <w:sz w:val="24"/>
        </w:rPr>
      </w:pPr>
      <w:r>
        <w:rPr>
          <w:rFonts w:hint="eastAsia" w:ascii="宋体" w:hAnsi="宋体" w:cs="宋体"/>
          <w:color w:val="000000"/>
          <w:sz w:val="24"/>
        </w:rPr>
        <w:t>（1）严格按照运维服务规范及本合同约定，组织相关技术专家、技术人员等会同甲方指定人员成立项目组，负责本项目的相关服务工作。</w:t>
      </w:r>
    </w:p>
    <w:p>
      <w:pPr>
        <w:spacing w:line="360" w:lineRule="auto"/>
        <w:ind w:firstLine="405"/>
        <w:rPr>
          <w:rFonts w:ascii="宋体" w:hAnsi="宋体" w:cs="宋体"/>
          <w:color w:val="000000"/>
          <w:sz w:val="24"/>
        </w:rPr>
      </w:pPr>
      <w:r>
        <w:rPr>
          <w:rFonts w:hint="eastAsia" w:ascii="宋体" w:hAnsi="宋体" w:cs="宋体"/>
          <w:color w:val="000000"/>
          <w:sz w:val="24"/>
        </w:rPr>
        <w:t>（2）按本项目招标文件中的要求及甲方的实际情况，提供故障解决方案、数据库系统优化及分析方案、相关软件使用培训等，并定时记录相关运维工作过程，作为文档在合同结束时交付甲方。</w:t>
      </w:r>
    </w:p>
    <w:p>
      <w:pPr>
        <w:spacing w:line="360" w:lineRule="auto"/>
        <w:ind w:firstLine="405"/>
        <w:rPr>
          <w:rFonts w:ascii="宋体" w:hAnsi="宋体" w:cs="宋体"/>
          <w:color w:val="000000"/>
          <w:sz w:val="24"/>
        </w:rPr>
      </w:pPr>
      <w:r>
        <w:rPr>
          <w:rFonts w:hint="eastAsia" w:ascii="宋体" w:hAnsi="宋体" w:cs="宋体"/>
          <w:color w:val="000000"/>
          <w:sz w:val="24"/>
        </w:rPr>
        <w:t>（3）根据甲方的实际工作情况，完成相关应用软件的升级、提供服务确保甲方关键系统正常运行，并为甲方提供可行的技术解决方案。</w:t>
      </w:r>
    </w:p>
    <w:p>
      <w:pPr>
        <w:spacing w:line="360" w:lineRule="auto"/>
        <w:ind w:firstLine="405"/>
        <w:rPr>
          <w:rFonts w:ascii="宋体" w:hAnsi="宋体" w:cs="宋体"/>
          <w:color w:val="000000"/>
          <w:sz w:val="24"/>
        </w:rPr>
      </w:pPr>
      <w:r>
        <w:rPr>
          <w:rFonts w:hint="eastAsia" w:ascii="宋体" w:hAnsi="宋体" w:cs="宋体"/>
          <w:color w:val="000000"/>
          <w:sz w:val="24"/>
        </w:rPr>
        <w:t>（4）甲方向乙方提供的内部资料乙方应予以保密，乙方承诺不向任何第三方泄露甲方的业务机密。</w:t>
      </w:r>
    </w:p>
    <w:p>
      <w:pPr>
        <w:spacing w:line="360" w:lineRule="auto"/>
        <w:ind w:firstLine="405"/>
        <w:rPr>
          <w:rFonts w:ascii="宋体" w:hAnsi="宋体" w:cs="宋体"/>
          <w:color w:val="000000"/>
          <w:sz w:val="24"/>
        </w:rPr>
      </w:pPr>
      <w:r>
        <w:rPr>
          <w:rFonts w:hint="eastAsia" w:ascii="宋体" w:hAnsi="宋体" w:cs="宋体"/>
          <w:color w:val="000000"/>
          <w:sz w:val="24"/>
        </w:rPr>
        <w:t>（5）乙方应按合同规定时间提交相关的技术服务及支持文件，并积极配合甲方、第三方测评单位对服务结果评估验收。本合同验收由甲方、乙方和监理方三方共同进行或按相关规定进行。</w:t>
      </w:r>
    </w:p>
    <w:p>
      <w:pPr>
        <w:spacing w:line="360" w:lineRule="auto"/>
        <w:ind w:firstLine="405"/>
        <w:rPr>
          <w:rFonts w:ascii="宋体" w:hAnsi="宋体" w:cs="宋体"/>
          <w:color w:val="000000"/>
          <w:sz w:val="24"/>
        </w:rPr>
      </w:pPr>
      <w:r>
        <w:rPr>
          <w:rFonts w:hint="eastAsia" w:ascii="宋体" w:hAnsi="宋体" w:cs="宋体"/>
          <w:color w:val="000000"/>
          <w:sz w:val="24"/>
        </w:rPr>
        <w:t>（6）乙方应充分了解甲方的需求，并有责任向甲方阐述对业务需求的理解，以求达成理解一致。</w:t>
      </w:r>
    </w:p>
    <w:p>
      <w:pPr>
        <w:spacing w:line="360" w:lineRule="auto"/>
        <w:ind w:firstLine="405"/>
        <w:rPr>
          <w:rFonts w:ascii="宋体" w:hAnsi="宋体" w:cs="宋体"/>
          <w:color w:val="000000"/>
          <w:sz w:val="24"/>
        </w:rPr>
      </w:pPr>
      <w:r>
        <w:rPr>
          <w:rFonts w:hint="eastAsia" w:ascii="宋体" w:hAnsi="宋体" w:cs="宋体"/>
          <w:color w:val="000000"/>
          <w:sz w:val="24"/>
        </w:rPr>
        <w:t>（7）乙方应负责在相关服务完成时，将相关服务产生的全部有关（包括但不限于）技术及服务文件、资料、培训教材等相关文档（包括电子文档）汇编成册交付甲方，并提供相关支持软件的辅助使用技术文档。乙方若不能完整交付服务需提交或约定应当提交的文件和文档，必须负责补齐，否则视为未按合同约定提供服务或验收不合格。</w:t>
      </w:r>
    </w:p>
    <w:p>
      <w:pPr>
        <w:spacing w:line="360" w:lineRule="auto"/>
        <w:ind w:firstLine="405"/>
        <w:rPr>
          <w:rFonts w:ascii="宋体" w:hAnsi="宋体" w:cs="宋体"/>
          <w:color w:val="000000"/>
          <w:sz w:val="24"/>
        </w:rPr>
      </w:pPr>
      <w:r>
        <w:rPr>
          <w:rFonts w:hint="eastAsia" w:ascii="宋体" w:hAnsi="宋体" w:cs="宋体"/>
          <w:color w:val="000000"/>
          <w:sz w:val="24"/>
        </w:rPr>
        <w:t>（8）乙方保证所提供升级版本软件和运维服务质量符合合同的约定、系统正常运行、出现故障</w:t>
      </w:r>
      <w:r>
        <w:rPr>
          <w:rFonts w:hint="eastAsia" w:ascii="宋体" w:hAnsi="宋体" w:cs="宋体"/>
          <w:color w:val="000000"/>
          <w:sz w:val="24"/>
          <w:u w:val="single"/>
        </w:rPr>
        <w:t>4</w:t>
      </w:r>
      <w:r>
        <w:rPr>
          <w:rFonts w:hint="eastAsia" w:ascii="宋体" w:hAnsi="宋体" w:cs="宋体"/>
          <w:color w:val="000000"/>
          <w:sz w:val="24"/>
        </w:rPr>
        <w:t>小时内及时修复，协助甲方实现合同目的。</w:t>
      </w:r>
    </w:p>
    <w:p>
      <w:pPr>
        <w:spacing w:line="360" w:lineRule="auto"/>
        <w:ind w:firstLine="405"/>
        <w:rPr>
          <w:rFonts w:ascii="宋体" w:hAnsi="宋体" w:cs="宋体"/>
          <w:color w:val="000000"/>
          <w:sz w:val="24"/>
        </w:rPr>
      </w:pPr>
      <w:r>
        <w:rPr>
          <w:rFonts w:hint="eastAsia" w:ascii="宋体" w:hAnsi="宋体" w:cs="宋体"/>
          <w:color w:val="000000"/>
          <w:sz w:val="24"/>
        </w:rPr>
        <w:t>（9）乙方在运营的过程中，应保证原创文章真实可靠，转载文章均来自有资质的网站。内容、页面、链接等发布准确，甲方、监理方和第三方测评单位如果发现的文章错误量达到年度文章数量的5%，那么将扣除对应项目合同款的0.5%，错误量以甲方、乙方和监理方三方确认的错误清单为准。</w:t>
      </w:r>
    </w:p>
    <w:p>
      <w:pPr>
        <w:spacing w:line="360" w:lineRule="auto"/>
        <w:ind w:firstLine="405"/>
        <w:rPr>
          <w:rFonts w:ascii="宋体" w:hAnsi="宋体" w:cs="宋体"/>
          <w:color w:val="000000"/>
          <w:sz w:val="24"/>
        </w:rPr>
      </w:pPr>
      <w:r>
        <w:rPr>
          <w:rFonts w:hint="eastAsia" w:ascii="宋体" w:hAnsi="宋体" w:cs="宋体"/>
          <w:sz w:val="24"/>
        </w:rPr>
        <w:t>（10）乙方应保证每天接收处理网民留言，及时汇报舆情，简单留言一个工作日内回复，不确定或无法处理的问题及时报甲方获取回复口径。</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六、知识产权</w:t>
      </w:r>
    </w:p>
    <w:p>
      <w:pPr>
        <w:spacing w:line="360" w:lineRule="auto"/>
        <w:ind w:firstLine="405"/>
        <w:rPr>
          <w:rFonts w:ascii="宋体" w:hAnsi="宋体" w:cs="宋体"/>
          <w:color w:val="000000"/>
          <w:sz w:val="24"/>
        </w:rPr>
      </w:pPr>
      <w:r>
        <w:rPr>
          <w:rFonts w:hint="eastAsia" w:ascii="宋体" w:hAnsi="宋体" w:cs="宋体"/>
          <w:color w:val="000000"/>
          <w:sz w:val="24"/>
        </w:rPr>
        <w:t>任何一方应尊重并保护对方及相关第三方的知识产权。</w:t>
      </w:r>
    </w:p>
    <w:p>
      <w:pPr>
        <w:spacing w:line="360" w:lineRule="auto"/>
        <w:ind w:firstLine="405"/>
        <w:rPr>
          <w:rFonts w:ascii="宋体" w:hAnsi="宋体" w:cs="宋体"/>
          <w:color w:val="000000"/>
          <w:sz w:val="24"/>
        </w:rPr>
      </w:pPr>
      <w:r>
        <w:rPr>
          <w:rFonts w:hint="eastAsia" w:ascii="宋体" w:hAnsi="宋体" w:cs="宋体"/>
          <w:color w:val="000000"/>
          <w:sz w:val="24"/>
        </w:rPr>
        <w:t>乙方应保证，甲方在中华人民共和国使用乙方提供的服务的任何一部分时，免受第三方提出的侵犯其知识产权的索赔或诉讼，合同到期后仍然有效。第三方授权使用的图片、视频、软件等产品，乙方应保证甲方基于本合同的发布记录能在网站上保留三年以上，并在到期前一个月提醒甲方。</w:t>
      </w:r>
    </w:p>
    <w:p>
      <w:pPr>
        <w:spacing w:line="360" w:lineRule="auto"/>
        <w:ind w:firstLine="405"/>
        <w:rPr>
          <w:rFonts w:ascii="宋体" w:hAnsi="宋体" w:cs="宋体"/>
          <w:color w:val="000000"/>
          <w:sz w:val="24"/>
        </w:rPr>
      </w:pPr>
      <w:r>
        <w:rPr>
          <w:rFonts w:hint="eastAsia" w:ascii="宋体" w:hAnsi="宋体" w:cs="宋体"/>
          <w:color w:val="000000"/>
          <w:sz w:val="24"/>
        </w:rPr>
        <w:t>甲方应保证，乙方在中华人民共和国使用甲方提供的相关资料的任何一部分时免受第三方提出的侵犯其知识产权的索赔或诉讼。</w:t>
      </w:r>
    </w:p>
    <w:p>
      <w:pPr>
        <w:spacing w:line="360" w:lineRule="auto"/>
        <w:ind w:firstLine="405"/>
        <w:rPr>
          <w:rFonts w:ascii="宋体" w:hAnsi="宋体" w:cs="宋体"/>
          <w:color w:val="000000"/>
          <w:sz w:val="24"/>
        </w:rPr>
      </w:pPr>
      <w:r>
        <w:rPr>
          <w:rFonts w:hint="eastAsia" w:ascii="宋体" w:hAnsi="宋体" w:cs="宋体"/>
          <w:color w:val="000000"/>
          <w:sz w:val="24"/>
        </w:rPr>
        <w:t>如果甲方在使用乙方提供的服务或相关作品的任何一部分时被任何第三方诉称侵犯了该第三方知识产权或任何其他权利，甲方应立即通知乙方。乙方应负责处理这一指控并应以乙方的名义自负费用向起诉方提出抗辩。由此可能产生的一切法律责任和经济责任均由乙方承担。甲方将尽可能地对乙方抗辩给予协助，由此发生的费用由乙方承担。</w:t>
      </w:r>
    </w:p>
    <w:p>
      <w:pPr>
        <w:spacing w:line="360" w:lineRule="auto"/>
        <w:ind w:firstLine="405"/>
        <w:rPr>
          <w:rFonts w:ascii="宋体" w:hAnsi="宋体" w:cs="宋体"/>
          <w:color w:val="000000"/>
          <w:sz w:val="24"/>
        </w:rPr>
      </w:pPr>
      <w:r>
        <w:rPr>
          <w:rFonts w:hint="eastAsia" w:ascii="宋体" w:hAnsi="宋体" w:cs="宋体"/>
          <w:color w:val="000000"/>
          <w:sz w:val="24"/>
        </w:rPr>
        <w:t>在合同履行过程中，甲方或相关第三方向乙方提供的商标、图片、文字等资料，知识产权属于甲方或相关第三方，为合同目的，乙方及乙方合作第三方享有免费使用权。</w:t>
      </w:r>
    </w:p>
    <w:p>
      <w:pPr>
        <w:spacing w:line="360" w:lineRule="auto"/>
        <w:ind w:firstLine="405"/>
        <w:rPr>
          <w:rFonts w:ascii="宋体" w:hAnsi="宋体" w:cs="宋体"/>
          <w:color w:val="000000"/>
          <w:sz w:val="24"/>
        </w:rPr>
      </w:pPr>
      <w:r>
        <w:rPr>
          <w:rFonts w:hint="eastAsia" w:ascii="宋体" w:hAnsi="宋体" w:cs="宋体"/>
          <w:color w:val="000000"/>
          <w:sz w:val="24"/>
        </w:rPr>
        <w:t>在合同履行过程中，乙方提供的相关资料或乙方通过合法方式取得的相关资料的知识产权归乙方所有，为合同目的，甲方享有免费使用权。但需保护对方及相关第三方的知识产权。</w:t>
      </w:r>
    </w:p>
    <w:p>
      <w:pPr>
        <w:spacing w:line="360" w:lineRule="auto"/>
        <w:ind w:firstLine="405"/>
        <w:rPr>
          <w:rFonts w:ascii="宋体" w:hAnsi="宋体" w:cs="宋体"/>
          <w:sz w:val="24"/>
        </w:rPr>
      </w:pPr>
      <w:r>
        <w:rPr>
          <w:rFonts w:hint="eastAsia" w:ascii="宋体" w:hAnsi="宋体" w:cs="宋体"/>
          <w:sz w:val="24"/>
        </w:rPr>
        <w:t>项目服务期间，乙方向甲方提供的系统性能分析及优化评估报告，其所有权归属为甲方所有。自双方合同签订之日起，因履行合同所产生的有关网站系统和平台的所有知识产权归“北京旅游网”/北京市文化和旅游局所有，乙方应充分配合甲方对有关系统和平台的知识产权进行核验。</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七、保密条款</w:t>
      </w:r>
    </w:p>
    <w:p>
      <w:pPr>
        <w:spacing w:line="360" w:lineRule="auto"/>
        <w:ind w:firstLine="405"/>
        <w:rPr>
          <w:rFonts w:ascii="宋体" w:hAnsi="宋体" w:cs="宋体"/>
          <w:color w:val="000000"/>
          <w:sz w:val="24"/>
        </w:rPr>
      </w:pPr>
      <w:r>
        <w:rPr>
          <w:rFonts w:hint="eastAsia" w:ascii="宋体" w:hAnsi="宋体" w:cs="宋体"/>
          <w:color w:val="000000"/>
          <w:sz w:val="24"/>
        </w:rPr>
        <w:t>1.甲方同意使用至少与甲方使用于自身专有资料相同的谨慎与防范措施，对乙方向甲方透漏的、包含专有资料并标明“专有”或“保密”的任何资料或数据，如乙方的图纸和软件（包括但不限于设计、报告、软件文件、手册、模型、说明书等）予以保密，但无论如何，谨慎不得低于合理程度。未经乙方书面允许，不得复制、向他人透露或者使用该等资料或数据。这些义务不适用于下述任何资料或数据：在未违反本条的情况下属于或成为公共资料的资料或数据；甲方合法地从第三方获得的资料或数据；甲方独立开发并且未从乙方的资料或数据中获益的资料或数据。</w:t>
      </w:r>
    </w:p>
    <w:p>
      <w:pPr>
        <w:spacing w:line="360" w:lineRule="auto"/>
        <w:ind w:firstLine="405"/>
        <w:rPr>
          <w:rFonts w:ascii="宋体" w:hAnsi="宋体" w:cs="宋体"/>
          <w:color w:val="000000"/>
          <w:sz w:val="24"/>
        </w:rPr>
      </w:pPr>
      <w:r>
        <w:rPr>
          <w:rFonts w:hint="eastAsia" w:ascii="宋体" w:hAnsi="宋体" w:cs="宋体"/>
          <w:color w:val="000000"/>
          <w:sz w:val="24"/>
        </w:rPr>
        <w:t>2.乙方同意使用至少与乙方使用于自身专有资料相同的谨慎与防范措施，对甲方向乙方透露的、包含专有资料并表明“专有”或“保密”的任何资料或数据，如甲方的需求、业务模式（包括但不限于岗位职能等）予以保密，但无论如何，谨慎不得低于合理限度。未经甲方书面允许，不得复制、向他人透露或者使用该等资料或数据。这些义务不适用于下述任何资料或数据：在未违反本条的情况下属于或成为公共资料的资料或数据；乙方合法地从第三方获得的资料或数据；乙方独立开发并且未从甲方的资料或数据中获益的资料或数据。</w:t>
      </w:r>
    </w:p>
    <w:p>
      <w:pPr>
        <w:spacing w:line="360" w:lineRule="auto"/>
        <w:ind w:firstLine="405"/>
        <w:rPr>
          <w:rFonts w:ascii="宋体" w:hAnsi="宋体" w:cs="宋体"/>
          <w:color w:val="000000"/>
          <w:sz w:val="24"/>
        </w:rPr>
      </w:pPr>
      <w:r>
        <w:rPr>
          <w:rFonts w:hint="eastAsia" w:ascii="宋体" w:hAnsi="宋体" w:cs="宋体"/>
          <w:color w:val="000000"/>
          <w:sz w:val="24"/>
        </w:rPr>
        <w:t>3.对于甲方自身的特殊保密需求，甲方有义务对因系统开发、维护等的需要而提供给乙方的资料和数据实施合乎规定（该类规定包括但不限于相关的保密法律、法规、规定、通知等）的保密处理措施，并对此负责；同时，乙方有义务遵守和配合执行甲方的保密管理规定与保密措施，并在项目实施完成后，归还甲方提供的非公开的业务资料。</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八、项目变更</w:t>
      </w:r>
    </w:p>
    <w:p>
      <w:pPr>
        <w:spacing w:line="360" w:lineRule="auto"/>
        <w:ind w:firstLine="405"/>
        <w:rPr>
          <w:rFonts w:ascii="宋体" w:hAnsi="宋体" w:cs="宋体"/>
          <w:color w:val="000000"/>
          <w:sz w:val="24"/>
        </w:rPr>
      </w:pPr>
      <w:r>
        <w:rPr>
          <w:rFonts w:hint="eastAsia" w:ascii="宋体" w:hAnsi="宋体" w:cs="宋体"/>
          <w:color w:val="000000"/>
          <w:sz w:val="24"/>
        </w:rPr>
        <w:t>为了维护和兼顾各方的利益，确保系统的质量，在本合同签署后，甲、乙双方均有权在履行本合同的过程中合理地提出变更、扩展、替换或修改运维服务内容中的某些部分的建议。为此，双方同意：</w:t>
      </w:r>
    </w:p>
    <w:p>
      <w:pPr>
        <w:spacing w:line="360" w:lineRule="auto"/>
        <w:ind w:firstLine="405"/>
        <w:rPr>
          <w:rFonts w:ascii="宋体" w:hAnsi="宋体" w:cs="宋体"/>
          <w:color w:val="000000"/>
          <w:sz w:val="24"/>
        </w:rPr>
      </w:pPr>
      <w:r>
        <w:rPr>
          <w:rFonts w:hint="eastAsia" w:ascii="宋体" w:hAnsi="宋体" w:cs="宋体"/>
          <w:color w:val="000000"/>
          <w:sz w:val="24"/>
        </w:rPr>
        <w:t>1.甲方应当将服务内容变更请求以书面形式提交给乙方。乙方应在5个工作日内对此作出书面回复，其内容包括该变更对合同价格、服务周期、项目技术服务内容的影响和变化以及对合同条款的影响等。</w:t>
      </w:r>
    </w:p>
    <w:p>
      <w:pPr>
        <w:spacing w:line="360" w:lineRule="auto"/>
        <w:ind w:firstLine="405"/>
        <w:rPr>
          <w:rFonts w:ascii="宋体" w:hAnsi="宋体" w:cs="宋体"/>
          <w:color w:val="000000"/>
          <w:sz w:val="24"/>
        </w:rPr>
      </w:pPr>
      <w:r>
        <w:rPr>
          <w:rFonts w:hint="eastAsia" w:ascii="宋体" w:hAnsi="宋体" w:cs="宋体"/>
          <w:color w:val="000000"/>
          <w:sz w:val="24"/>
        </w:rPr>
        <w:t>2.甲方在收到乙方的回复后，应在2个工作日内以书面方式通知乙方是否接受乙方上述回复。如果甲方接受乙方的上述回复，则由乙方发起正式变更流程，由乙方向项目监理方提交书面变更申请；监理方对变更内容进行审核确认，形成变更审核意见，三方对此变更以书面形式予以确认，并按变更后的约定履行本合同。</w:t>
      </w:r>
    </w:p>
    <w:p>
      <w:pPr>
        <w:spacing w:line="360" w:lineRule="auto"/>
        <w:ind w:firstLine="405"/>
        <w:rPr>
          <w:rFonts w:ascii="宋体" w:hAnsi="宋体" w:cs="宋体"/>
          <w:color w:val="000000"/>
          <w:sz w:val="24"/>
        </w:rPr>
      </w:pPr>
      <w:r>
        <w:rPr>
          <w:rFonts w:hint="eastAsia" w:ascii="宋体" w:hAnsi="宋体" w:cs="宋体"/>
          <w:color w:val="000000"/>
          <w:sz w:val="24"/>
        </w:rPr>
        <w:t>3.如乙方提出部分服务内容的变更建议，乙方应同时详细阐明该变更对合同价格、运维系统的稳定性、可靠性的影响和变化以及对合同条款的影响等。乙方向项目监理方提交书面变更申请；监理方对变更内容进行审核确认，形成变更审核意见。</w:t>
      </w:r>
    </w:p>
    <w:p>
      <w:pPr>
        <w:spacing w:line="360" w:lineRule="auto"/>
        <w:ind w:firstLine="405"/>
        <w:rPr>
          <w:rFonts w:ascii="宋体" w:hAnsi="宋体" w:cs="宋体"/>
          <w:color w:val="000000"/>
          <w:sz w:val="24"/>
        </w:rPr>
      </w:pPr>
      <w:r>
        <w:rPr>
          <w:rFonts w:hint="eastAsia" w:ascii="宋体" w:hAnsi="宋体" w:cs="宋体"/>
          <w:color w:val="000000"/>
          <w:sz w:val="24"/>
        </w:rPr>
        <w:t>4.甲方在收到监理方提交的变更审核意见后，应当在5个工作日内以书面方式明确是否同意和接受乙方的上述变更建议。如果甲方接受变更建议，则三方对此变更以书面形式作出确认，并按照变更后的约定履行本合同。</w:t>
      </w:r>
    </w:p>
    <w:p>
      <w:pPr>
        <w:pStyle w:val="2"/>
      </w:pPr>
      <w:r>
        <w:t>5.甲方不同意乙方提出的变更，乙方应修改变更建议直至甲方同意。如乙方始终无法提供甲方认可的变更方案，甲方将视之为乙方违约。同样，如乙方不同意甲方提出的变更，甲方应修改变更建议直至乙方同意。如甲方始终无法提供乙方认可的变更方案，乙方将视之为甲方违约。违约由合同第十五处理</w:t>
      </w:r>
    </w:p>
    <w:p>
      <w:pPr>
        <w:spacing w:line="360" w:lineRule="auto"/>
        <w:rPr>
          <w:rFonts w:ascii="宋体" w:hAnsi="宋体" w:cs="宋体"/>
          <w:b/>
          <w:bCs/>
          <w:color w:val="000000"/>
          <w:sz w:val="24"/>
        </w:rPr>
      </w:pPr>
    </w:p>
    <w:p>
      <w:pPr>
        <w:spacing w:line="360" w:lineRule="auto"/>
        <w:rPr>
          <w:rFonts w:ascii="宋体" w:hAnsi="宋体" w:cs="宋体"/>
          <w:b/>
          <w:bCs/>
          <w:color w:val="000000"/>
          <w:sz w:val="24"/>
        </w:rPr>
      </w:pPr>
      <w:r>
        <w:rPr>
          <w:rFonts w:hint="eastAsia" w:ascii="宋体" w:hAnsi="宋体" w:cs="宋体"/>
          <w:b/>
          <w:bCs/>
          <w:color w:val="000000"/>
          <w:sz w:val="24"/>
        </w:rPr>
        <w:t>九、不可抗力</w:t>
      </w:r>
    </w:p>
    <w:p>
      <w:pPr>
        <w:spacing w:line="360" w:lineRule="auto"/>
        <w:ind w:firstLine="405"/>
        <w:rPr>
          <w:rFonts w:ascii="宋体" w:hAnsi="宋体" w:cs="宋体"/>
          <w:color w:val="000000"/>
          <w:sz w:val="24"/>
        </w:rPr>
      </w:pPr>
      <w:r>
        <w:rPr>
          <w:rFonts w:hint="eastAsia" w:ascii="宋体" w:hAnsi="宋体" w:cs="宋体"/>
          <w:color w:val="000000"/>
          <w:sz w:val="24"/>
        </w:rPr>
        <w:t>由于不可抗力的原因，阻止、限制、延迟或干扰双方履行本合同，则应免除双方因不可抗力所延迟或阻止的部分合同的履行责任，但是，双方应采取合理的措施避免或消除该等造成不履行的原因，并且一旦该等原因被消除，则双方应继续履行原受消除原因影响的条款。不可抗力事件系指买卖双方在缔结合同时所不能预见、并且它的发生及其后果是无法避免和无法克服的事件，诸如战争、严重火灾、水灾、洪水、台风、地震等。</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十、违约合同解除</w:t>
      </w:r>
    </w:p>
    <w:p>
      <w:pPr>
        <w:spacing w:line="360" w:lineRule="auto"/>
        <w:ind w:firstLine="405"/>
        <w:rPr>
          <w:rFonts w:ascii="宋体" w:hAnsi="宋体" w:cs="宋体"/>
          <w:color w:val="000000"/>
          <w:sz w:val="24"/>
        </w:rPr>
      </w:pPr>
      <w:r>
        <w:rPr>
          <w:rFonts w:hint="eastAsia" w:ascii="宋体" w:hAnsi="宋体" w:cs="宋体"/>
          <w:color w:val="000000"/>
          <w:sz w:val="24"/>
        </w:rPr>
        <w:t>若合同一方有足够证据证明合同另一方未按规定时间或规定的内容履行本合同项下规定义务，可向对方提出书面违约通知，提出解除部分或全部合同，合同中未终止的部分应继续履行。</w:t>
      </w:r>
    </w:p>
    <w:p>
      <w:pPr>
        <w:spacing w:line="360" w:lineRule="auto"/>
        <w:rPr>
          <w:rFonts w:ascii="宋体" w:hAnsi="宋体" w:cs="宋体"/>
          <w:b/>
          <w:bCs/>
          <w:color w:val="000000"/>
          <w:sz w:val="24"/>
        </w:rPr>
      </w:pPr>
    </w:p>
    <w:p>
      <w:pPr>
        <w:spacing w:line="360" w:lineRule="auto"/>
        <w:rPr>
          <w:rFonts w:ascii="宋体" w:hAnsi="宋体" w:cs="宋体"/>
          <w:b/>
          <w:bCs/>
          <w:color w:val="000000"/>
          <w:sz w:val="24"/>
        </w:rPr>
      </w:pPr>
      <w:r>
        <w:rPr>
          <w:rFonts w:hint="eastAsia" w:ascii="宋体" w:hAnsi="宋体" w:cs="宋体"/>
          <w:b/>
          <w:bCs/>
          <w:color w:val="000000"/>
          <w:sz w:val="24"/>
        </w:rPr>
        <w:t>十一、破产合同终止</w:t>
      </w:r>
    </w:p>
    <w:p>
      <w:pPr>
        <w:spacing w:line="360" w:lineRule="auto"/>
        <w:ind w:firstLine="405"/>
        <w:rPr>
          <w:rFonts w:ascii="宋体" w:hAnsi="宋体" w:cs="宋体"/>
          <w:color w:val="000000"/>
          <w:sz w:val="24"/>
        </w:rPr>
      </w:pPr>
      <w:r>
        <w:rPr>
          <w:rFonts w:hint="eastAsia" w:ascii="宋体" w:hAnsi="宋体" w:cs="宋体"/>
          <w:color w:val="000000"/>
          <w:sz w:val="24"/>
        </w:rPr>
        <w:t>如合同一方破产或有证据证明其无清偿能力，另一方可在任何时候以书面形式通知对方，提出终止合同而不给对方补偿。或要求资产保全防止损失扩大。本合同的终止将不影响乙方采取或将要采取的任何行动或补救措施的权利。</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十二、变更和修改</w:t>
      </w:r>
    </w:p>
    <w:p>
      <w:pPr>
        <w:spacing w:line="360" w:lineRule="auto"/>
        <w:ind w:firstLine="405"/>
        <w:rPr>
          <w:rFonts w:ascii="宋体" w:hAnsi="宋体" w:cs="宋体"/>
          <w:color w:val="000000"/>
          <w:sz w:val="24"/>
        </w:rPr>
      </w:pPr>
      <w:r>
        <w:rPr>
          <w:rFonts w:hint="eastAsia" w:ascii="宋体" w:hAnsi="宋体" w:cs="宋体"/>
          <w:color w:val="000000"/>
          <w:sz w:val="24"/>
        </w:rPr>
        <w:t>任何对合同条款的变更或修改均须甲乙双方签订书面补充协议。</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十三、转让与分包</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1.本合同不得转让。</w:t>
      </w:r>
    </w:p>
    <w:p>
      <w:pPr>
        <w:spacing w:line="360" w:lineRule="auto"/>
        <w:ind w:firstLine="480" w:firstLineChars="200"/>
        <w:rPr>
          <w:rFonts w:ascii="宋体" w:hAnsi="宋体" w:cs="宋体"/>
          <w:color w:val="000000"/>
          <w:sz w:val="24"/>
        </w:rPr>
      </w:pPr>
      <w:r>
        <w:rPr>
          <w:rFonts w:hint="eastAsia" w:ascii="宋体" w:hAnsi="宋体" w:cs="宋体"/>
          <w:color w:val="000000"/>
          <w:sz w:val="24"/>
        </w:rPr>
        <w:t>2.经甲方同意，乙方可以将合同项下对技术上有特殊要求的部分工作分包给第三方完成。分包应符合国家相关法律法规的规定。乙方应对分包的结果承担全部责任。</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十四、适用法律</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本合同适用中华人民共和国法律。</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十五、违约金及损失赔偿</w:t>
      </w:r>
    </w:p>
    <w:p>
      <w:pPr>
        <w:spacing w:line="360" w:lineRule="auto"/>
        <w:ind w:firstLine="480" w:firstLineChars="200"/>
        <w:rPr>
          <w:rFonts w:ascii="宋体" w:hAnsi="宋体" w:cs="宋体"/>
          <w:color w:val="000000"/>
          <w:sz w:val="24"/>
        </w:rPr>
      </w:pPr>
      <w:r>
        <w:rPr>
          <w:rFonts w:hint="eastAsia" w:ascii="宋体" w:hAnsi="宋体" w:cs="宋体"/>
          <w:color w:val="000000"/>
          <w:sz w:val="24"/>
        </w:rPr>
        <w:t>1.违反本合同约定，违约方应按照《中华人民共和国民法典》有关条款的规定承担违约责任。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2.除了本合同“不可抗力”规定的不可抗力事故外，如果乙方不能按合同规定时间准时提供服务，甲方在不影响合同项下的其它补救措施的情况下，可从合同价款中扣除误期赔偿费。每延误一日的赔偿费按迟交或未提供服务的服务费用的0.1%计收，不足1日者按1日计算直至交货或提供服务为止。误期赔偿费的最高限额为合同总价的5%。一旦达到误期赔偿费的最高限额，甲方有权无需乙方同意终止合同。</w:t>
      </w:r>
    </w:p>
    <w:p>
      <w:pPr>
        <w:spacing w:line="360" w:lineRule="auto"/>
        <w:ind w:firstLine="480" w:firstLineChars="200"/>
        <w:rPr>
          <w:rFonts w:ascii="宋体" w:hAnsi="宋体" w:cs="宋体"/>
          <w:color w:val="000000"/>
          <w:sz w:val="24"/>
        </w:rPr>
      </w:pPr>
      <w:r>
        <w:rPr>
          <w:rFonts w:hint="eastAsia" w:ascii="宋体" w:hAnsi="宋体" w:cs="宋体"/>
          <w:color w:val="000000"/>
          <w:sz w:val="24"/>
        </w:rPr>
        <w:t>3.财政资金到位后，如因甲方自身原因导致付款延误，自规定支付最后期限起，每延期1日，甲方应当向乙方支付应付金额0.1%的违约金，但违约金的总数不超过合同总价的5%。一旦达到误期赔偿费的最高限额，乙方有权无需甲方同意终止合同或停止服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4.乙方怠于履约或经明示仍不纠正违法违约行为的，以及不能保证系统正常安全运行的，甲方有权单方采取其他必要的补救措施，所产生的费用由乙方承担。乙方未提供服务部分的预付费用应返还甲方，并向甲方支付合同总价的20%的违约金。</w:t>
      </w:r>
    </w:p>
    <w:p>
      <w:pPr>
        <w:spacing w:line="360" w:lineRule="auto"/>
        <w:ind w:firstLine="420"/>
        <w:rPr>
          <w:rFonts w:ascii="宋体" w:hAnsi="宋体" w:cs="宋体"/>
          <w:color w:val="000000"/>
          <w:sz w:val="24"/>
        </w:rPr>
      </w:pPr>
      <w:r>
        <w:rPr>
          <w:rFonts w:hint="eastAsia" w:ascii="宋体" w:hAnsi="宋体" w:cs="宋体"/>
          <w:color w:val="000000"/>
          <w:sz w:val="24"/>
        </w:rPr>
        <w:t>5.任何一方违反本合同所规定的保密义务，承担由此引起的责任。违约方应按本合同总价的20%支付违约金。此外，当一方的受损失金额超过违约金时，受损失一方有权要求对方赔偿超过部分。</w:t>
      </w:r>
    </w:p>
    <w:p>
      <w:pPr>
        <w:spacing w:line="360" w:lineRule="auto"/>
        <w:ind w:firstLine="420"/>
        <w:rPr>
          <w:rFonts w:ascii="宋体" w:hAnsi="宋体" w:cs="宋体"/>
          <w:color w:val="000000"/>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4970780</wp:posOffset>
                </wp:positionH>
                <wp:positionV relativeFrom="paragraph">
                  <wp:posOffset>104140</wp:posOffset>
                </wp:positionV>
                <wp:extent cx="635" cy="635"/>
                <wp:effectExtent l="57150" t="57150" r="56515" b="56515"/>
                <wp:wrapNone/>
                <wp:docPr id="3" name="墨迹 3"/>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3">
                          <w14:nvContentPartPr>
                            <w14:cNvPr id="3" name="墨迹 3"/>
                            <w14:cNvContentPartPr>
                              <a14:cpLocks xmlns:a14="http://schemas.microsoft.com/office/drawing/2010/main" noChangeAspect="1"/>
                            </w14:cNvContentPartPr>
                          </w14:nvContentPartPr>
                          <w14:xfrm>
                            <a:off x="0" y="0"/>
                            <a:ext cx="635" cy="635"/>
                          </w14:xfrm>
                        </w14:contentPart>
                      </mc:Choice>
                    </mc:AlternateContent>
                  </a:graphicData>
                </a:graphic>
              </wp:anchor>
            </w:drawing>
          </mc:Choice>
          <mc:Fallback>
            <w:pict>
              <v:shape id="_x0000_s1026" o:spid="_x0000_s1026" o:spt="75" style="position:absolute;left:0pt;margin-left:391.4pt;margin-top:8.2pt;height:0.05pt;width:0.05pt;z-index:251660288;mso-width-relative:page;mso-height-relative:page;" coordsize="21600,21600" o:gfxdata="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">
                <v:imagedata r:id="rId14" o:title=""/>
                <o:lock v:ext="edit"/>
              </v:shape>
            </w:pict>
          </mc:Fallback>
        </mc:AlternateContent>
      </w:r>
      <w:r>
        <w:rPr>
          <w:rFonts w:hint="eastAsia" w:ascii="宋体" w:hAnsi="宋体" w:cs="宋体"/>
          <w:color w:val="000000"/>
          <w:sz w:val="24"/>
        </w:rPr>
        <w:t>6.乙方因违反本合同所约定的知识产权约定，对甲方带来重大负面影响或败诉，应承担由此引起的赔偿责任，并按不超过本合同总价的10%支付违约金。</w:t>
      </w:r>
    </w:p>
    <w:p>
      <w:pPr>
        <w:spacing w:line="360" w:lineRule="auto"/>
        <w:ind w:firstLine="420"/>
        <w:rPr>
          <w:rFonts w:ascii="宋体" w:hAnsi="宋体" w:cs="宋体"/>
          <w:color w:val="000000"/>
          <w:sz w:val="24"/>
        </w:rPr>
      </w:pPr>
      <w:r>
        <w:rPr>
          <w:rFonts w:hint="eastAsia" w:ascii="宋体" w:hAnsi="宋体" w:cs="宋体"/>
          <w:color w:val="000000"/>
          <w:sz w:val="24"/>
        </w:rPr>
        <w:t>7.乙方在项目服务中出现重大失误，造成恶劣社会影响，甲方保留进一步追究乙方责任的权利。</w:t>
      </w:r>
    </w:p>
    <w:p>
      <w:pPr>
        <w:spacing w:line="360" w:lineRule="auto"/>
        <w:ind w:firstLine="420"/>
        <w:rPr>
          <w:rFonts w:ascii="宋体" w:hAnsi="宋体" w:cs="宋体"/>
          <w:color w:val="000000"/>
          <w:sz w:val="24"/>
        </w:rPr>
      </w:pPr>
      <w:r>
        <w:rPr>
          <w:rFonts w:hint="eastAsia" w:ascii="宋体" w:hAnsi="宋体" w:cs="宋体"/>
          <w:color w:val="000000"/>
          <w:sz w:val="24"/>
        </w:rPr>
        <w:t>8.如乙方未经甲方书面授权以网站相关进行盈利性商业行为，甲方有权单方采取必要的措施，所产生费用由乙方承担。情节严重的，甲方有权解除合同。</w:t>
      </w:r>
    </w:p>
    <w:p>
      <w:pPr>
        <w:spacing w:line="360" w:lineRule="auto"/>
        <w:ind w:firstLine="420"/>
        <w:rPr>
          <w:rFonts w:ascii="宋体" w:hAnsi="宋体" w:cs="宋体"/>
          <w:color w:val="000000"/>
          <w:sz w:val="24"/>
        </w:rPr>
      </w:pPr>
    </w:p>
    <w:p>
      <w:pPr>
        <w:spacing w:line="360" w:lineRule="auto"/>
        <w:rPr>
          <w:rFonts w:ascii="宋体" w:hAnsi="宋体" w:cs="宋体"/>
          <w:b/>
          <w:bCs/>
          <w:color w:val="000000"/>
          <w:sz w:val="24"/>
        </w:rPr>
      </w:pPr>
      <w:r>
        <w:rPr>
          <w:rFonts w:hint="eastAsia" w:ascii="宋体" w:hAnsi="宋体" w:cs="宋体"/>
          <w:b/>
          <w:bCs/>
          <w:color w:val="000000"/>
          <w:sz w:val="24"/>
        </w:rPr>
        <w:t>十六、解决合同纠纷的方式</w:t>
      </w:r>
    </w:p>
    <w:p>
      <w:pPr>
        <w:spacing w:line="360" w:lineRule="auto"/>
        <w:ind w:firstLine="420"/>
        <w:rPr>
          <w:rFonts w:ascii="宋体" w:hAnsi="宋体" w:cs="宋体"/>
          <w:color w:val="000000"/>
          <w:sz w:val="24"/>
        </w:rPr>
      </w:pPr>
      <w:r>
        <w:rPr>
          <w:rFonts w:hint="eastAsia" w:ascii="宋体" w:hAnsi="宋体" w:cs="宋体"/>
          <w:color w:val="000000"/>
          <w:sz w:val="24"/>
        </w:rPr>
        <w:t>1.甲、乙双方在合同履行过程中发生的一切争议，均应通过双方友好协商解决。如果协商开始后30天还未解决，双方同意选择第（1）种方式解决纠纷：</w:t>
      </w:r>
    </w:p>
    <w:p>
      <w:pPr>
        <w:spacing w:line="360" w:lineRule="auto"/>
        <w:ind w:firstLine="420"/>
        <w:rPr>
          <w:rFonts w:ascii="宋体" w:hAnsi="宋体" w:cs="宋体"/>
          <w:color w:val="000000"/>
          <w:sz w:val="24"/>
        </w:rPr>
      </w:pPr>
      <w:r>
        <w:rPr>
          <w:rFonts w:hint="eastAsia" w:ascii="宋体" w:hAnsi="宋体" w:cs="宋体"/>
          <w:color w:val="000000"/>
          <w:sz w:val="24"/>
        </w:rPr>
        <w:t>（1）由甲方所在地有管辖权的人民法院判决。</w:t>
      </w:r>
    </w:p>
    <w:p>
      <w:pPr>
        <w:spacing w:line="360" w:lineRule="auto"/>
        <w:ind w:firstLine="420"/>
        <w:rPr>
          <w:rFonts w:ascii="宋体" w:hAnsi="宋体" w:cs="宋体"/>
          <w:color w:val="000000"/>
          <w:sz w:val="24"/>
        </w:rPr>
      </w:pPr>
      <w:r>
        <w:rPr>
          <w:rFonts w:hint="eastAsia" w:ascii="宋体" w:hAnsi="宋体" w:cs="宋体"/>
          <w:color w:val="000000"/>
          <w:sz w:val="24"/>
        </w:rPr>
        <w:t>（2）由北京仲裁委员会仲裁。</w:t>
      </w:r>
    </w:p>
    <w:p>
      <w:pPr>
        <w:spacing w:line="360" w:lineRule="auto"/>
        <w:ind w:firstLine="405"/>
        <w:rPr>
          <w:rFonts w:ascii="宋体" w:hAnsi="宋体" w:cs="宋体"/>
          <w:color w:val="000000"/>
          <w:sz w:val="24"/>
        </w:rPr>
      </w:pPr>
      <w:r>
        <w:rPr>
          <w:rFonts w:hint="eastAsia" w:ascii="宋体" w:hAnsi="宋体" w:cs="宋体"/>
          <w:color w:val="000000"/>
          <w:sz w:val="24"/>
        </w:rPr>
        <w:t>仲裁由北京仲裁委员会按其仲裁规则和程序在北京进行。除非双方另行同意，仲裁的官方语言应为中文。仲裁裁决应为最终裁决，对双方均具有约束力。除另有裁决外，仲裁费由败诉方负担。</w:t>
      </w:r>
    </w:p>
    <w:p>
      <w:pPr>
        <w:numPr>
          <w:ilvl w:val="0"/>
          <w:numId w:val="5"/>
        </w:numPr>
        <w:spacing w:line="360" w:lineRule="auto"/>
        <w:ind w:firstLine="405"/>
        <w:rPr>
          <w:rFonts w:ascii="宋体" w:hAnsi="宋体" w:cs="宋体"/>
          <w:color w:val="000000"/>
          <w:sz w:val="24"/>
        </w:rPr>
      </w:pPr>
      <w:r>
        <w:rPr>
          <w:rFonts w:hint="eastAsia" w:ascii="宋体" w:hAnsi="宋体" w:cs="宋体"/>
          <w:color w:val="000000"/>
          <w:sz w:val="24"/>
        </w:rPr>
        <w:t>诉讼、仲裁期间，除正在进行的诉讼、仲裁部分外，合同其它部分继续执行。</w:t>
      </w:r>
    </w:p>
    <w:p>
      <w:pPr>
        <w:pStyle w:val="2"/>
      </w:pPr>
    </w:p>
    <w:p>
      <w:pPr>
        <w:spacing w:line="360" w:lineRule="auto"/>
        <w:rPr>
          <w:rFonts w:ascii="宋体" w:hAnsi="宋体" w:cs="宋体"/>
          <w:b/>
          <w:bCs/>
          <w:color w:val="000000"/>
          <w:sz w:val="24"/>
        </w:rPr>
      </w:pPr>
      <w:r>
        <w:rPr>
          <w:rFonts w:hint="eastAsia" w:ascii="宋体" w:hAnsi="宋体" w:cs="宋体"/>
          <w:b/>
          <w:bCs/>
          <w:color w:val="000000"/>
          <w:sz w:val="24"/>
        </w:rPr>
        <w:t>十七、合同生效及其他</w:t>
      </w:r>
    </w:p>
    <w:p>
      <w:pPr>
        <w:spacing w:line="360" w:lineRule="auto"/>
        <w:ind w:firstLine="405"/>
        <w:rPr>
          <w:rFonts w:ascii="宋体" w:hAnsi="宋体" w:cs="宋体"/>
          <w:color w:val="000000"/>
          <w:sz w:val="24"/>
        </w:rPr>
      </w:pPr>
      <w:r>
        <w:rPr>
          <w:rFonts w:hint="eastAsia" w:ascii="宋体" w:hAnsi="宋体" w:cs="宋体"/>
          <w:color w:val="000000"/>
          <w:sz w:val="24"/>
        </w:rPr>
        <w:t>1.下列条件全部符合后，合同生效：</w:t>
      </w:r>
    </w:p>
    <w:p>
      <w:pPr>
        <w:spacing w:line="360" w:lineRule="auto"/>
        <w:ind w:firstLine="405"/>
        <w:rPr>
          <w:rFonts w:ascii="宋体" w:hAnsi="宋体" w:cs="宋体"/>
          <w:color w:val="000000"/>
          <w:sz w:val="24"/>
        </w:rPr>
      </w:pPr>
      <w:r>
        <w:rPr>
          <w:rFonts w:hint="eastAsia" w:ascii="宋体" w:hAnsi="宋体" w:cs="宋体"/>
          <w:color w:val="000000"/>
          <w:sz w:val="24"/>
        </w:rPr>
        <w:t>双方法定代表人或授权代表签字并加盖单位公章。</w:t>
      </w:r>
    </w:p>
    <w:p>
      <w:pPr>
        <w:spacing w:line="360" w:lineRule="auto"/>
        <w:ind w:firstLine="405"/>
        <w:rPr>
          <w:rFonts w:ascii="宋体" w:hAnsi="宋体" w:cs="宋体"/>
          <w:color w:val="000000"/>
          <w:sz w:val="24"/>
        </w:rPr>
      </w:pPr>
      <w:r>
        <w:rPr>
          <w:rFonts w:hint="eastAsia" w:ascii="宋体" w:hAnsi="宋体" w:cs="宋体"/>
          <w:color w:val="000000"/>
          <w:sz w:val="24"/>
        </w:rPr>
        <w:t>2.下述合同附件为本合同不可分割的部分并与本合同具有同等效力；</w:t>
      </w:r>
    </w:p>
    <w:p>
      <w:pPr>
        <w:spacing w:line="360" w:lineRule="auto"/>
        <w:ind w:firstLine="405"/>
        <w:rPr>
          <w:rFonts w:ascii="宋体" w:hAnsi="宋体" w:cs="宋体"/>
          <w:color w:val="000000"/>
          <w:sz w:val="24"/>
        </w:rPr>
      </w:pPr>
      <w:r>
        <w:rPr>
          <w:rFonts w:hint="eastAsia" w:ascii="宋体" w:hAnsi="宋体" w:cs="宋体"/>
          <w:color w:val="000000"/>
          <w:sz w:val="24"/>
        </w:rPr>
        <w:t>（1）招标文件</w:t>
      </w:r>
    </w:p>
    <w:p>
      <w:pPr>
        <w:spacing w:line="360" w:lineRule="auto"/>
        <w:ind w:firstLine="405"/>
        <w:rPr>
          <w:rFonts w:ascii="宋体" w:hAnsi="宋体" w:cs="宋体"/>
          <w:color w:val="000000"/>
          <w:sz w:val="24"/>
        </w:rPr>
      </w:pPr>
      <w:r>
        <w:rPr>
          <w:rFonts w:hint="eastAsia" w:ascii="宋体" w:hAnsi="宋体" w:cs="宋体"/>
          <w:color w:val="000000"/>
          <w:sz w:val="24"/>
        </w:rPr>
        <w:t>（2）投标文件（如被甲方接受）</w:t>
      </w:r>
    </w:p>
    <w:p>
      <w:pPr>
        <w:spacing w:line="360" w:lineRule="auto"/>
        <w:ind w:firstLine="405"/>
        <w:rPr>
          <w:rFonts w:ascii="宋体" w:hAnsi="宋体" w:cs="宋体"/>
          <w:color w:val="000000"/>
          <w:sz w:val="24"/>
        </w:rPr>
      </w:pPr>
      <w:r>
        <w:rPr>
          <w:rFonts w:hint="eastAsia" w:ascii="宋体" w:hAnsi="宋体" w:cs="宋体"/>
          <w:color w:val="000000"/>
          <w:sz w:val="24"/>
        </w:rPr>
        <w:t>（3）中标/成交通知书</w:t>
      </w:r>
    </w:p>
    <w:p>
      <w:pPr>
        <w:spacing w:line="360" w:lineRule="auto"/>
        <w:ind w:firstLine="405"/>
        <w:rPr>
          <w:rFonts w:ascii="宋体" w:hAnsi="宋体" w:cs="宋体"/>
          <w:color w:val="000000"/>
          <w:sz w:val="24"/>
        </w:rPr>
      </w:pPr>
      <w:r>
        <w:rPr>
          <w:rFonts w:hint="eastAsia" w:ascii="宋体" w:hAnsi="宋体" w:cs="宋体"/>
          <w:color w:val="000000"/>
          <w:sz w:val="24"/>
        </w:rPr>
        <w:t>3.本合同一式八份，具有同等法律效力。甲方叁份，乙方叁份，采购代理机构一份，采购监督管理部门一份均具有同等法律效力。</w:t>
      </w:r>
    </w:p>
    <w:p>
      <w:pPr>
        <w:spacing w:line="360" w:lineRule="auto"/>
        <w:ind w:firstLine="405"/>
        <w:rPr>
          <w:rFonts w:ascii="宋体" w:hAnsi="宋体" w:cs="宋体"/>
          <w:color w:val="000000"/>
          <w:sz w:val="24"/>
        </w:rPr>
      </w:pPr>
      <w:r>
        <w:rPr>
          <w:rFonts w:hint="eastAsia" w:ascii="宋体" w:hAnsi="宋体" w:cs="宋体"/>
          <w:color w:val="000000"/>
          <w:sz w:val="24"/>
        </w:rPr>
        <w:t>4.本合同满足条款规定的生效条件后即生效，至双方均履行完各自的合同义务后终止。但有关违约、索赔及争端解决的条款除外。</w:t>
      </w:r>
    </w:p>
    <w:p>
      <w:pPr>
        <w:spacing w:line="360" w:lineRule="auto"/>
        <w:ind w:firstLine="405"/>
        <w:rPr>
          <w:rFonts w:ascii="宋体" w:hAnsi="宋体" w:cs="宋体"/>
          <w:color w:val="000000"/>
          <w:sz w:val="24"/>
        </w:rPr>
      </w:pPr>
      <w:r>
        <w:rPr>
          <w:rFonts w:hint="eastAsia" w:ascii="宋体" w:hAnsi="宋体" w:cs="宋体"/>
          <w:color w:val="000000"/>
          <w:sz w:val="24"/>
        </w:rPr>
        <w:t>5.合同之未尽事宜，双方本着相互信任和谅解的原则，友好协商解决并签订补充协议。</w:t>
      </w:r>
    </w:p>
    <w:p>
      <w:pPr>
        <w:rPr>
          <w:rFonts w:ascii="宋体" w:hAnsi="宋体" w:cs="宋体"/>
          <w:color w:val="000000"/>
          <w:sz w:val="24"/>
        </w:rPr>
      </w:pPr>
      <w:r>
        <w:rPr>
          <w:rFonts w:hint="eastAsia" w:ascii="宋体" w:hAnsi="宋体" w:cs="宋体"/>
          <w:color w:val="000000"/>
          <w:sz w:val="24"/>
        </w:rPr>
        <w:br w:type="page"/>
      </w:r>
    </w:p>
    <w:p>
      <w:pPr>
        <w:spacing w:line="360" w:lineRule="auto"/>
        <w:ind w:firstLine="405"/>
        <w:rPr>
          <w:rFonts w:ascii="宋体" w:hAnsi="宋体" w:cs="宋体"/>
          <w:color w:val="000000"/>
          <w:sz w:val="24"/>
        </w:rPr>
      </w:pPr>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甲方：北京市文化和旅游局宣传中心（北京市旅游运行监测中心）</w:t>
            </w:r>
          </w:p>
          <w:p>
            <w:pPr>
              <w:autoSpaceDN w:val="0"/>
              <w:spacing w:line="360" w:lineRule="auto"/>
              <w:rPr>
                <w:rFonts w:ascii="宋体" w:hAnsi="宋体" w:cs="宋体"/>
                <w:sz w:val="24"/>
              </w:rPr>
            </w:pPr>
            <w:r>
              <w:rPr>
                <w:rFonts w:hint="eastAsia" w:ascii="宋体" w:hAnsi="宋体" w:cs="宋体"/>
                <w:sz w:val="24"/>
              </w:rPr>
              <w:t>（加盖公章）</w:t>
            </w:r>
          </w:p>
        </w:tc>
        <w:tc>
          <w:tcPr>
            <w:tcW w:w="4261" w:type="dxa"/>
          </w:tcPr>
          <w:p>
            <w:pPr>
              <w:autoSpaceDN w:val="0"/>
              <w:spacing w:line="360" w:lineRule="auto"/>
              <w:rPr>
                <w:rFonts w:ascii="宋体" w:hAnsi="宋体" w:cs="宋体"/>
                <w:sz w:val="24"/>
              </w:rPr>
            </w:pPr>
            <w:r>
              <w:rPr>
                <w:rFonts w:hint="eastAsia" w:ascii="宋体" w:hAnsi="宋体" w:cs="宋体"/>
                <w:sz w:val="24"/>
              </w:rPr>
              <w:t>乙方：</w:t>
            </w:r>
          </w:p>
          <w:p>
            <w:pPr>
              <w:autoSpaceDN w:val="0"/>
              <w:spacing w:line="360" w:lineRule="auto"/>
              <w:rPr>
                <w:rFonts w:ascii="宋体" w:hAnsi="宋体" w:cs="宋体"/>
                <w:sz w:val="24"/>
              </w:rPr>
            </w:pPr>
            <w:r>
              <w:rPr>
                <w:rFonts w:hint="eastAsia" w:ascii="宋体" w:hAnsi="宋体" w:cs="宋体"/>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60" w:lineRule="auto"/>
              <w:rPr>
                <w:rFonts w:ascii="宋体" w:hAnsi="宋体" w:cs="宋体"/>
                <w:sz w:val="24"/>
              </w:rPr>
            </w:pPr>
            <w:r>
              <w:rPr>
                <w:rFonts w:hint="eastAsia" w:ascii="宋体" w:hAnsi="宋体" w:cs="宋体"/>
                <w:sz w:val="24"/>
              </w:rPr>
              <w:t>法定代表人或委托代理人：</w:t>
            </w:r>
          </w:p>
          <w:p>
            <w:pPr>
              <w:autoSpaceDN w:val="0"/>
              <w:spacing w:line="360" w:lineRule="auto"/>
              <w:rPr>
                <w:rFonts w:ascii="宋体" w:hAnsi="宋体" w:cs="宋体"/>
                <w:sz w:val="24"/>
              </w:rPr>
            </w:pPr>
            <w:r>
              <w:rPr>
                <w:rFonts w:hint="eastAsia" w:ascii="宋体" w:hAnsi="宋体" w:cs="宋体"/>
                <w:sz w:val="24"/>
              </w:rPr>
              <w:t>（签字或签章）</w:t>
            </w:r>
          </w:p>
        </w:tc>
        <w:tc>
          <w:tcPr>
            <w:tcW w:w="4261" w:type="dxa"/>
          </w:tcPr>
          <w:p>
            <w:pPr>
              <w:widowControl/>
              <w:spacing w:line="360" w:lineRule="auto"/>
              <w:rPr>
                <w:rFonts w:ascii="宋体" w:hAnsi="宋体" w:cs="宋体"/>
                <w:sz w:val="24"/>
              </w:rPr>
            </w:pPr>
            <w:r>
              <w:rPr>
                <w:rFonts w:hint="eastAsia" w:ascii="宋体" w:hAnsi="宋体" w:cs="宋体"/>
                <w:sz w:val="24"/>
              </w:rPr>
              <w:t>法定代表人或委托代理人：</w:t>
            </w:r>
          </w:p>
          <w:p>
            <w:pPr>
              <w:autoSpaceDN w:val="0"/>
              <w:spacing w:line="360" w:lineRule="auto"/>
              <w:rPr>
                <w:rFonts w:ascii="宋体" w:hAnsi="宋体" w:cs="宋体"/>
                <w:sz w:val="24"/>
              </w:rPr>
            </w:pPr>
            <w:r>
              <w:rPr>
                <w:rFonts w:hint="eastAsia" w:ascii="宋体" w:hAnsi="宋体" w:cs="宋体"/>
                <w:sz w:val="24"/>
              </w:rPr>
              <w:t>（签字或签章）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地址：北京市</w:t>
            </w:r>
          </w:p>
        </w:tc>
        <w:tc>
          <w:tcPr>
            <w:tcW w:w="4261" w:type="dxa"/>
          </w:tcPr>
          <w:p>
            <w:pPr>
              <w:autoSpaceDN w:val="0"/>
              <w:spacing w:line="360" w:lineRule="auto"/>
              <w:rPr>
                <w:rFonts w:ascii="宋体" w:hAnsi="宋体" w:cs="宋体"/>
                <w:sz w:val="24"/>
              </w:rPr>
            </w:pPr>
            <w:r>
              <w:rPr>
                <w:rFonts w:hint="eastAsia" w:ascii="宋体" w:hAnsi="宋体" w:cs="宋体"/>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开户行：</w:t>
            </w:r>
          </w:p>
        </w:tc>
        <w:tc>
          <w:tcPr>
            <w:tcW w:w="4261" w:type="dxa"/>
          </w:tcPr>
          <w:p>
            <w:pPr>
              <w:autoSpaceDN w:val="0"/>
              <w:spacing w:line="360" w:lineRule="auto"/>
              <w:rPr>
                <w:rFonts w:ascii="宋体" w:hAnsi="宋体" w:cs="宋体"/>
                <w:sz w:val="24"/>
              </w:rPr>
            </w:pPr>
            <w:r>
              <w:rPr>
                <w:rFonts w:hint="eastAsia" w:ascii="宋体" w:hAnsi="宋体" w:cs="宋体"/>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银行地址：</w:t>
            </w:r>
          </w:p>
        </w:tc>
        <w:tc>
          <w:tcPr>
            <w:tcW w:w="4261" w:type="dxa"/>
          </w:tcPr>
          <w:p>
            <w:pPr>
              <w:autoSpaceDN w:val="0"/>
              <w:spacing w:line="360" w:lineRule="auto"/>
              <w:rPr>
                <w:rFonts w:ascii="宋体" w:hAnsi="宋体" w:cs="宋体"/>
                <w:sz w:val="24"/>
              </w:rPr>
            </w:pPr>
            <w:r>
              <w:rPr>
                <w:rFonts w:hint="eastAsia" w:ascii="宋体" w:hAnsi="宋体" w:cs="宋体"/>
                <w:sz w:val="24"/>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户名：</w:t>
            </w:r>
          </w:p>
        </w:tc>
        <w:tc>
          <w:tcPr>
            <w:tcW w:w="4261" w:type="dxa"/>
          </w:tcPr>
          <w:p>
            <w:pPr>
              <w:autoSpaceDN w:val="0"/>
              <w:spacing w:line="360" w:lineRule="auto"/>
              <w:rPr>
                <w:rFonts w:ascii="宋体" w:hAnsi="宋体" w:cs="宋体"/>
                <w:sz w:val="24"/>
              </w:rPr>
            </w:pPr>
            <w:r>
              <w:rPr>
                <w:rFonts w:hint="eastAsia" w:ascii="宋体" w:hAnsi="宋体" w:cs="宋体"/>
                <w:sz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账号：</w:t>
            </w:r>
          </w:p>
        </w:tc>
        <w:tc>
          <w:tcPr>
            <w:tcW w:w="4261" w:type="dxa"/>
          </w:tcPr>
          <w:p>
            <w:pPr>
              <w:autoSpaceDN w:val="0"/>
              <w:spacing w:line="360" w:lineRule="auto"/>
              <w:rPr>
                <w:rFonts w:ascii="宋体" w:hAnsi="宋体" w:cs="宋体"/>
                <w:sz w:val="24"/>
              </w:rPr>
            </w:pPr>
            <w:r>
              <w:rPr>
                <w:rFonts w:hint="eastAsia" w:ascii="宋体" w:hAnsi="宋体" w:cs="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邮编：</w:t>
            </w:r>
          </w:p>
        </w:tc>
        <w:tc>
          <w:tcPr>
            <w:tcW w:w="4261" w:type="dxa"/>
          </w:tcPr>
          <w:p>
            <w:pPr>
              <w:autoSpaceDN w:val="0"/>
              <w:spacing w:line="360" w:lineRule="auto"/>
              <w:rPr>
                <w:rFonts w:ascii="宋体" w:hAnsi="宋体" w:cs="宋体"/>
                <w:sz w:val="24"/>
              </w:rPr>
            </w:pPr>
            <w:r>
              <w:rPr>
                <w:rFonts w:hint="eastAsia" w:ascii="宋体" w:hAnsi="宋体" w:cs="宋体"/>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电话：</w:t>
            </w:r>
          </w:p>
        </w:tc>
        <w:tc>
          <w:tcPr>
            <w:tcW w:w="4261" w:type="dxa"/>
          </w:tcPr>
          <w:p>
            <w:pPr>
              <w:autoSpaceDN w:val="0"/>
              <w:spacing w:line="360" w:lineRule="auto"/>
              <w:rPr>
                <w:rFonts w:ascii="宋体" w:hAnsi="宋体" w:cs="宋体"/>
                <w:sz w:val="24"/>
              </w:rPr>
            </w:pPr>
            <w:r>
              <w:rPr>
                <w:rFonts w:hint="eastAsia" w:ascii="宋体" w:hAnsi="宋体" w:cs="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传真：</w:t>
            </w:r>
          </w:p>
        </w:tc>
        <w:tc>
          <w:tcPr>
            <w:tcW w:w="4261" w:type="dxa"/>
          </w:tcPr>
          <w:p>
            <w:pPr>
              <w:autoSpaceDN w:val="0"/>
              <w:spacing w:line="360" w:lineRule="auto"/>
              <w:rPr>
                <w:rFonts w:ascii="宋体" w:hAnsi="宋体" w:cs="宋体"/>
                <w:sz w:val="24"/>
              </w:rPr>
            </w:pPr>
            <w:r>
              <w:rPr>
                <w:rFonts w:hint="eastAsia" w:ascii="宋体" w:hAnsi="宋体" w:cs="宋体"/>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电子邮箱：</w:t>
            </w:r>
          </w:p>
        </w:tc>
        <w:tc>
          <w:tcPr>
            <w:tcW w:w="4261" w:type="dxa"/>
          </w:tcPr>
          <w:p>
            <w:pPr>
              <w:autoSpaceDN w:val="0"/>
              <w:spacing w:line="360" w:lineRule="auto"/>
              <w:rPr>
                <w:rFonts w:ascii="宋体" w:hAnsi="宋体" w:cs="宋体"/>
                <w:sz w:val="24"/>
              </w:rPr>
            </w:pPr>
            <w:r>
              <w:rPr>
                <w:rFonts w:hint="eastAsia" w:ascii="宋体" w:hAnsi="宋体" w:cs="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autoSpaceDN w:val="0"/>
              <w:spacing w:line="360" w:lineRule="auto"/>
              <w:rPr>
                <w:rFonts w:ascii="宋体" w:hAnsi="宋体" w:cs="宋体"/>
                <w:sz w:val="24"/>
              </w:rPr>
            </w:pPr>
            <w:r>
              <w:rPr>
                <w:rFonts w:hint="eastAsia" w:ascii="宋体" w:hAnsi="宋体" w:cs="宋体"/>
                <w:sz w:val="24"/>
              </w:rPr>
              <w:t xml:space="preserve">    年   月    日</w:t>
            </w:r>
          </w:p>
        </w:tc>
        <w:tc>
          <w:tcPr>
            <w:tcW w:w="4261" w:type="dxa"/>
          </w:tcPr>
          <w:p>
            <w:pPr>
              <w:autoSpaceDN w:val="0"/>
              <w:spacing w:line="360" w:lineRule="auto"/>
              <w:rPr>
                <w:rFonts w:ascii="宋体" w:hAnsi="宋体" w:cs="宋体"/>
                <w:sz w:val="24"/>
              </w:rPr>
            </w:pPr>
            <w:r>
              <w:rPr>
                <w:rFonts w:hint="eastAsia" w:ascii="宋体" w:hAnsi="宋体" w:cs="宋体"/>
                <w:sz w:val="24"/>
              </w:rPr>
              <w:t xml:space="preserve">    年   月    日</w:t>
            </w:r>
          </w:p>
        </w:tc>
      </w:tr>
    </w:tbl>
    <w:p>
      <w:pPr>
        <w:rPr>
          <w:rFonts w:ascii="宋体" w:hAnsi="宋体" w:cs="宋体"/>
        </w:rPr>
      </w:pPr>
      <w:r>
        <w:rPr>
          <w:rFonts w:hint="eastAsia" w:ascii="宋体" w:hAnsi="宋体" w:cs="宋体"/>
        </w:rPr>
        <w:br w:type="page"/>
      </w:r>
    </w:p>
    <w:p>
      <w:pPr>
        <w:wordWrap w:val="0"/>
        <w:spacing w:line="480" w:lineRule="auto"/>
        <w:jc w:val="center"/>
        <w:rPr>
          <w:rFonts w:ascii="宋体" w:hAnsi="宋体" w:cs="宋体"/>
          <w:b/>
          <w:bCs/>
          <w:color w:val="000000"/>
          <w:sz w:val="24"/>
        </w:rPr>
      </w:pPr>
      <w:r>
        <w:rPr>
          <w:rFonts w:hint="eastAsia" w:ascii="宋体" w:hAnsi="宋体" w:cs="宋体"/>
          <w:b/>
          <w:bCs/>
          <w:color w:val="000000"/>
          <w:sz w:val="24"/>
        </w:rPr>
        <w:t>（本合同为非中小企业预留合同）</w:t>
      </w:r>
    </w:p>
    <w:p>
      <w:pPr>
        <w:pStyle w:val="2"/>
      </w:pPr>
    </w:p>
    <w:p>
      <w:pPr>
        <w:rPr>
          <w:rFonts w:ascii="宋体" w:hAnsi="宋体" w:cs="宋体"/>
          <w:b/>
          <w:bCs/>
          <w:color w:val="000000"/>
          <w:sz w:val="24"/>
        </w:rPr>
      </w:pPr>
    </w:p>
    <w:p>
      <w:pPr>
        <w:pStyle w:val="2"/>
      </w:pPr>
    </w:p>
    <w:p/>
    <w:p>
      <w:pPr>
        <w:spacing w:line="360" w:lineRule="auto"/>
        <w:jc w:val="center"/>
        <w:outlineLvl w:val="0"/>
        <w:rPr>
          <w:rFonts w:ascii="宋体" w:hAnsi="宋体" w:cs="宋体"/>
          <w:b/>
          <w:sz w:val="52"/>
          <w:szCs w:val="52"/>
        </w:rPr>
      </w:pPr>
      <w:r>
        <w:rPr>
          <w:rFonts w:hint="eastAsia" w:ascii="宋体" w:hAnsi="宋体" w:cs="宋体"/>
          <w:b/>
          <w:sz w:val="52"/>
          <w:szCs w:val="52"/>
        </w:rPr>
        <w:t>项目监理合同书</w:t>
      </w: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28"/>
          <w:szCs w:val="28"/>
        </w:rPr>
        <w:sectPr>
          <w:headerReference r:id="rId5" w:type="default"/>
          <w:footerReference r:id="rId7" w:type="default"/>
          <w:headerReference r:id="rId6" w:type="even"/>
          <w:footerReference r:id="rId8" w:type="even"/>
          <w:pgSz w:w="11906" w:h="16838"/>
          <w:pgMar w:top="1440" w:right="1800" w:bottom="1440" w:left="1800" w:header="851" w:footer="992" w:gutter="0"/>
          <w:cols w:space="720" w:num="1"/>
          <w:titlePg/>
          <w:docGrid w:type="lines" w:linePitch="312" w:charSpace="0"/>
        </w:sectPr>
      </w:pPr>
      <w:r>
        <w:rPr>
          <w:rFonts w:hint="eastAsia" w:ascii="宋体" w:hAnsi="宋体" w:cs="宋体"/>
          <w:b/>
          <w:sz w:val="28"/>
          <w:szCs w:val="28"/>
        </w:rPr>
        <w:t>xxx年xx月</w:t>
      </w:r>
    </w:p>
    <w:p>
      <w:pPr>
        <w:jc w:val="center"/>
        <w:rPr>
          <w:rFonts w:ascii="宋体" w:hAnsi="宋体" w:cs="宋体"/>
          <w:bCs/>
          <w:sz w:val="24"/>
          <w:szCs w:val="24"/>
        </w:rPr>
      </w:pPr>
    </w:p>
    <w:p>
      <w:pPr>
        <w:spacing w:line="360" w:lineRule="auto"/>
        <w:rPr>
          <w:rFonts w:ascii="宋体" w:hAnsi="宋体" w:cs="宋体"/>
          <w:bCs/>
          <w:sz w:val="24"/>
          <w:szCs w:val="24"/>
          <w:u w:val="single"/>
        </w:rPr>
      </w:pPr>
      <w:r>
        <w:rPr>
          <w:rFonts w:hint="eastAsia" w:ascii="宋体" w:hAnsi="宋体" w:cs="宋体"/>
          <w:b/>
          <w:bCs/>
          <w:sz w:val="24"/>
          <w:szCs w:val="24"/>
        </w:rPr>
        <w:t>委托人：</w:t>
      </w:r>
      <w:r>
        <w:rPr>
          <w:rFonts w:hint="eastAsia" w:ascii="宋体" w:hAnsi="宋体" w:cs="宋体"/>
          <w:bCs/>
          <w:sz w:val="24"/>
          <w:szCs w:val="24"/>
          <w:u w:val="single"/>
        </w:rPr>
        <w:t xml:space="preserve">北京市文化和旅游局宣传中心(北京市旅游运行监测中心)      </w:t>
      </w:r>
    </w:p>
    <w:p>
      <w:pPr>
        <w:spacing w:line="360" w:lineRule="auto"/>
        <w:rPr>
          <w:rFonts w:ascii="宋体" w:hAnsi="宋体" w:cs="宋体"/>
          <w:sz w:val="24"/>
          <w:szCs w:val="24"/>
          <w:u w:val="single"/>
        </w:rPr>
      </w:pPr>
      <w:r>
        <w:rPr>
          <w:rFonts w:hint="eastAsia" w:ascii="宋体" w:hAnsi="宋体" w:cs="宋体"/>
          <w:b/>
          <w:bCs/>
          <w:sz w:val="24"/>
          <w:szCs w:val="24"/>
        </w:rPr>
        <w:t>监理人：</w:t>
      </w:r>
      <w:r>
        <w:rPr>
          <w:rFonts w:hint="eastAsia" w:ascii="宋体" w:hAnsi="宋体" w:cs="宋体"/>
          <w:sz w:val="24"/>
          <w:szCs w:val="24"/>
          <w:u w:val="single"/>
        </w:rPr>
        <w:t xml:space="preserve">                              </w:t>
      </w:r>
    </w:p>
    <w:p>
      <w:pPr>
        <w:spacing w:line="360" w:lineRule="auto"/>
        <w:rPr>
          <w:rFonts w:ascii="宋体" w:hAnsi="宋体" w:cs="宋体"/>
          <w:sz w:val="24"/>
          <w:szCs w:val="24"/>
          <w:u w:val="single"/>
        </w:rPr>
      </w:pPr>
      <w:r>
        <w:rPr>
          <w:rFonts w:hint="eastAsia" w:ascii="宋体" w:hAnsi="宋体" w:cs="宋体"/>
          <w:b/>
          <w:bCs/>
          <w:sz w:val="24"/>
          <w:szCs w:val="24"/>
        </w:rPr>
        <w:t>合同名称：</w:t>
      </w:r>
      <w:r>
        <w:rPr>
          <w:rFonts w:hint="eastAsia" w:ascii="宋体" w:hAnsi="宋体" w:cs="宋体"/>
          <w:sz w:val="24"/>
          <w:szCs w:val="24"/>
          <w:u w:val="single"/>
        </w:rPr>
        <w:t xml:space="preserve"> xxxxxxxx项目监理合同书    </w:t>
      </w:r>
    </w:p>
    <w:p>
      <w:pPr>
        <w:spacing w:line="360" w:lineRule="auto"/>
        <w:rPr>
          <w:rFonts w:ascii="宋体" w:hAnsi="宋体" w:cs="宋体"/>
          <w:bCs/>
          <w:sz w:val="24"/>
          <w:szCs w:val="24"/>
          <w:u w:val="single"/>
        </w:rPr>
      </w:pPr>
      <w:r>
        <w:rPr>
          <w:rFonts w:hint="eastAsia" w:ascii="宋体" w:hAnsi="宋体" w:cs="宋体"/>
          <w:b/>
          <w:bCs/>
          <w:sz w:val="24"/>
          <w:szCs w:val="24"/>
        </w:rPr>
        <w:t>合同编号：</w:t>
      </w:r>
    </w:p>
    <w:p>
      <w:pPr>
        <w:spacing w:line="360" w:lineRule="auto"/>
        <w:ind w:firstLine="460" w:firstLineChars="192"/>
        <w:rPr>
          <w:rFonts w:ascii="宋体" w:hAnsi="宋体" w:cs="宋体"/>
          <w:sz w:val="24"/>
          <w:szCs w:val="24"/>
        </w:rPr>
      </w:pPr>
    </w:p>
    <w:p>
      <w:pPr>
        <w:spacing w:line="360" w:lineRule="auto"/>
        <w:ind w:firstLine="460" w:firstLineChars="192"/>
        <w:rPr>
          <w:rFonts w:ascii="宋体" w:hAnsi="宋体" w:cs="宋体"/>
          <w:bCs/>
          <w:sz w:val="24"/>
          <w:szCs w:val="24"/>
        </w:rPr>
      </w:pPr>
      <w:r>
        <w:rPr>
          <w:rFonts w:hint="eastAsia" w:ascii="宋体" w:hAnsi="宋体" w:cs="宋体"/>
          <w:sz w:val="24"/>
          <w:szCs w:val="24"/>
        </w:rPr>
        <w:t>依据国家有关法律、法规，</w:t>
      </w:r>
      <w:r>
        <w:rPr>
          <w:rFonts w:hint="eastAsia" w:ascii="宋体" w:hAnsi="宋体" w:cs="宋体"/>
          <w:bCs/>
          <w:sz w:val="24"/>
          <w:szCs w:val="24"/>
          <w:u w:val="single"/>
        </w:rPr>
        <w:t xml:space="preserve"> 北京市文化和旅游局宣传中心(北京市旅游运行监测中心)  </w:t>
      </w:r>
      <w:r>
        <w:rPr>
          <w:rFonts w:hint="eastAsia" w:ascii="宋体" w:hAnsi="宋体" w:cs="宋体"/>
          <w:sz w:val="24"/>
          <w:szCs w:val="24"/>
        </w:rPr>
        <w:t>（以下简称委托人），委托</w:t>
      </w:r>
      <w:r>
        <w:rPr>
          <w:rFonts w:hint="eastAsia" w:ascii="宋体" w:hAnsi="宋体" w:cs="宋体"/>
          <w:sz w:val="24"/>
          <w:szCs w:val="24"/>
          <w:u w:val="single"/>
        </w:rPr>
        <w:t xml:space="preserve"> xxxx </w:t>
      </w:r>
      <w:r>
        <w:rPr>
          <w:rFonts w:hint="eastAsia" w:ascii="宋体" w:hAnsi="宋体" w:cs="宋体"/>
          <w:sz w:val="24"/>
          <w:szCs w:val="24"/>
        </w:rPr>
        <w:t>（以下简称监理人）提供</w:t>
      </w:r>
      <w:r>
        <w:rPr>
          <w:rFonts w:hint="eastAsia" w:ascii="宋体" w:hAnsi="宋体" w:cs="宋体"/>
          <w:sz w:val="24"/>
          <w:szCs w:val="24"/>
          <w:u w:val="single"/>
        </w:rPr>
        <w:t xml:space="preserve">   xxxxxxx   </w:t>
      </w:r>
      <w:r>
        <w:rPr>
          <w:rFonts w:hint="eastAsia" w:ascii="宋体" w:hAnsi="宋体" w:cs="宋体"/>
          <w:sz w:val="24"/>
          <w:szCs w:val="24"/>
        </w:rPr>
        <w:t>监理服务，经双方协商一致，订立本合同。</w:t>
      </w:r>
    </w:p>
    <w:p>
      <w:pPr>
        <w:spacing w:line="360" w:lineRule="auto"/>
        <w:ind w:firstLine="480" w:firstLineChars="200"/>
        <w:rPr>
          <w:rFonts w:ascii="宋体" w:hAnsi="宋体" w:cs="宋体"/>
          <w:sz w:val="24"/>
          <w:szCs w:val="24"/>
        </w:rPr>
      </w:pPr>
      <w:r>
        <w:rPr>
          <w:rFonts w:hint="eastAsia" w:ascii="宋体" w:hAnsi="宋体" w:cs="宋体"/>
          <w:sz w:val="24"/>
          <w:szCs w:val="24"/>
        </w:rPr>
        <w:t>一、工程概况</w:t>
      </w:r>
    </w:p>
    <w:p>
      <w:pPr>
        <w:spacing w:line="360" w:lineRule="auto"/>
        <w:ind w:firstLine="720" w:firstLineChars="300"/>
        <w:jc w:val="left"/>
        <w:rPr>
          <w:rFonts w:ascii="宋体" w:hAnsi="宋体" w:cs="宋体"/>
          <w:sz w:val="24"/>
          <w:szCs w:val="24"/>
          <w:u w:val="single"/>
        </w:rPr>
      </w:pPr>
      <w:r>
        <w:rPr>
          <w:rFonts w:hint="eastAsia" w:ascii="宋体" w:hAnsi="宋体" w:cs="宋体"/>
          <w:sz w:val="24"/>
          <w:szCs w:val="24"/>
        </w:rPr>
        <w:t>1、工程名称：</w:t>
      </w:r>
      <w:r>
        <w:rPr>
          <w:rFonts w:hint="eastAsia" w:ascii="宋体" w:hAnsi="宋体" w:cs="宋体"/>
          <w:sz w:val="24"/>
          <w:szCs w:val="24"/>
          <w:u w:val="single"/>
        </w:rPr>
        <w:t xml:space="preserve">  xxxxxxxx   </w:t>
      </w:r>
    </w:p>
    <w:p>
      <w:pPr>
        <w:spacing w:line="360" w:lineRule="auto"/>
        <w:ind w:firstLine="720" w:firstLineChars="300"/>
        <w:jc w:val="left"/>
        <w:rPr>
          <w:rFonts w:ascii="宋体" w:hAnsi="宋体" w:cs="宋体"/>
          <w:sz w:val="24"/>
          <w:szCs w:val="24"/>
          <w:u w:val="single"/>
        </w:rPr>
      </w:pPr>
      <w:r>
        <w:rPr>
          <w:rFonts w:hint="eastAsia" w:ascii="宋体" w:hAnsi="宋体" w:cs="宋体"/>
          <w:sz w:val="24"/>
          <w:szCs w:val="24"/>
        </w:rPr>
        <w:t>2、建设地点：</w:t>
      </w:r>
      <w:r>
        <w:rPr>
          <w:rFonts w:hint="eastAsia" w:ascii="宋体" w:hAnsi="宋体" w:cs="宋体"/>
          <w:sz w:val="24"/>
          <w:szCs w:val="24"/>
          <w:u w:val="single"/>
        </w:rPr>
        <w:t>北京市</w:t>
      </w:r>
    </w:p>
    <w:p>
      <w:pPr>
        <w:spacing w:line="360" w:lineRule="auto"/>
        <w:ind w:firstLine="720" w:firstLineChars="300"/>
        <w:jc w:val="left"/>
        <w:rPr>
          <w:rFonts w:ascii="宋体" w:hAnsi="宋体" w:cs="宋体"/>
          <w:sz w:val="24"/>
          <w:szCs w:val="24"/>
        </w:rPr>
      </w:pPr>
      <w:r>
        <w:rPr>
          <w:rFonts w:hint="eastAsia" w:ascii="宋体" w:hAnsi="宋体" w:cs="宋体"/>
          <w:sz w:val="24"/>
          <w:szCs w:val="24"/>
        </w:rPr>
        <w:t>3、工程总预算(人民币，下同)：xxxx万元，大写</w:t>
      </w:r>
      <w:r>
        <w:rPr>
          <w:rFonts w:hint="eastAsia" w:ascii="宋体" w:hAnsi="宋体" w:cs="宋体"/>
          <w:sz w:val="24"/>
          <w:szCs w:val="24"/>
          <w:u w:val="single"/>
        </w:rPr>
        <w:t>：xxxx</w:t>
      </w:r>
    </w:p>
    <w:p>
      <w:pPr>
        <w:spacing w:line="360" w:lineRule="auto"/>
        <w:ind w:firstLine="720" w:firstLineChars="300"/>
        <w:jc w:val="left"/>
        <w:rPr>
          <w:rFonts w:ascii="宋体" w:hAnsi="宋体" w:cs="宋体"/>
          <w:sz w:val="24"/>
          <w:szCs w:val="24"/>
          <w:u w:val="single"/>
        </w:rPr>
      </w:pPr>
      <w:r>
        <w:rPr>
          <w:rFonts w:hint="eastAsia" w:ascii="宋体" w:hAnsi="宋体" w:cs="宋体"/>
          <w:sz w:val="24"/>
          <w:szCs w:val="24"/>
        </w:rPr>
        <w:t>4、工期：</w:t>
      </w:r>
      <w:r>
        <w:rPr>
          <w:rFonts w:hint="eastAsia" w:ascii="宋体" w:hAnsi="宋体" w:cs="宋体"/>
          <w:sz w:val="24"/>
          <w:szCs w:val="24"/>
          <w:u w:val="single"/>
        </w:rPr>
        <w:t>15个月（2025年1月1日至2026年3月31日）。</w:t>
      </w:r>
    </w:p>
    <w:p>
      <w:pPr>
        <w:spacing w:line="360" w:lineRule="auto"/>
        <w:ind w:firstLine="480" w:firstLineChars="200"/>
        <w:rPr>
          <w:rFonts w:ascii="宋体" w:hAnsi="宋体" w:cs="宋体"/>
          <w:sz w:val="24"/>
          <w:szCs w:val="24"/>
        </w:rPr>
      </w:pPr>
      <w:r>
        <w:rPr>
          <w:rFonts w:hint="eastAsia" w:ascii="宋体" w:hAnsi="宋体" w:cs="宋体"/>
          <w:sz w:val="24"/>
          <w:szCs w:val="24"/>
        </w:rPr>
        <w:t>二、监理范围</w:t>
      </w:r>
    </w:p>
    <w:p>
      <w:pPr>
        <w:spacing w:line="360" w:lineRule="auto"/>
        <w:ind w:firstLine="616" w:firstLineChars="257"/>
        <w:rPr>
          <w:rFonts w:ascii="宋体" w:hAnsi="宋体" w:cs="宋体"/>
          <w:sz w:val="24"/>
          <w:szCs w:val="24"/>
          <w:u w:val="single"/>
        </w:rPr>
      </w:pPr>
      <w:r>
        <w:rPr>
          <w:rFonts w:hint="eastAsia" w:ascii="宋体" w:hAnsi="宋体" w:cs="宋体"/>
          <w:sz w:val="24"/>
          <w:szCs w:val="24"/>
        </w:rPr>
        <w:t xml:space="preserve"> 1、监理项目名称：</w:t>
      </w:r>
      <w:r>
        <w:rPr>
          <w:rFonts w:hint="eastAsia" w:ascii="宋体" w:hAnsi="宋体" w:cs="宋体"/>
          <w:sz w:val="24"/>
          <w:szCs w:val="24"/>
          <w:u w:val="single"/>
        </w:rPr>
        <w:t xml:space="preserve">  xxxxxxxx  </w:t>
      </w:r>
    </w:p>
    <w:p>
      <w:pPr>
        <w:spacing w:line="360" w:lineRule="auto"/>
        <w:ind w:firstLine="720" w:firstLineChars="300"/>
        <w:jc w:val="left"/>
        <w:rPr>
          <w:rFonts w:ascii="宋体" w:hAnsi="宋体" w:cs="宋体"/>
          <w:sz w:val="24"/>
          <w:szCs w:val="24"/>
          <w:u w:val="single"/>
        </w:rPr>
      </w:pPr>
      <w:r>
        <w:rPr>
          <w:rFonts w:hint="eastAsia" w:ascii="宋体" w:hAnsi="宋体" w:cs="宋体"/>
          <w:sz w:val="24"/>
          <w:szCs w:val="24"/>
        </w:rPr>
        <w:t>2、监理服务内容：</w:t>
      </w:r>
      <w:r>
        <w:rPr>
          <w:rFonts w:hint="eastAsia" w:ascii="宋体" w:hAnsi="宋体" w:cs="宋体"/>
          <w:sz w:val="24"/>
          <w:szCs w:val="24"/>
          <w:u w:val="single"/>
        </w:rPr>
        <w:t>xxxxxx</w:t>
      </w:r>
    </w:p>
    <w:p>
      <w:pPr>
        <w:spacing w:line="360" w:lineRule="auto"/>
        <w:ind w:firstLine="720" w:firstLineChars="300"/>
        <w:jc w:val="left"/>
        <w:rPr>
          <w:rFonts w:ascii="宋体" w:hAnsi="宋体" w:cs="宋体"/>
          <w:sz w:val="24"/>
          <w:szCs w:val="24"/>
        </w:rPr>
      </w:pPr>
      <w:r>
        <w:rPr>
          <w:rFonts w:hint="eastAsia" w:ascii="宋体" w:hAnsi="宋体" w:cs="宋体"/>
          <w:sz w:val="24"/>
          <w:szCs w:val="24"/>
        </w:rPr>
        <w:t>3、监理项目金额：</w:t>
      </w:r>
      <w:r>
        <w:rPr>
          <w:rFonts w:hint="eastAsia" w:ascii="宋体" w:hAnsi="宋体" w:cs="宋体"/>
          <w:sz w:val="24"/>
          <w:szCs w:val="24"/>
          <w:u w:val="single"/>
        </w:rPr>
        <w:t>xxxx万元（大写：xxxx）</w:t>
      </w:r>
    </w:p>
    <w:p>
      <w:pPr>
        <w:spacing w:line="360" w:lineRule="auto"/>
        <w:ind w:firstLine="480" w:firstLineChars="200"/>
        <w:rPr>
          <w:rFonts w:ascii="宋体" w:hAnsi="宋体" w:cs="宋体"/>
          <w:sz w:val="24"/>
          <w:szCs w:val="24"/>
        </w:rPr>
      </w:pPr>
      <w:r>
        <w:rPr>
          <w:rFonts w:hint="eastAsia" w:ascii="宋体" w:hAnsi="宋体" w:cs="宋体"/>
          <w:sz w:val="24"/>
          <w:szCs w:val="24"/>
        </w:rPr>
        <w:t>三、监理服务内容、期限</w:t>
      </w:r>
    </w:p>
    <w:p>
      <w:pPr>
        <w:spacing w:line="360" w:lineRule="auto"/>
        <w:ind w:firstLine="720" w:firstLineChars="300"/>
        <w:rPr>
          <w:rFonts w:ascii="宋体" w:hAnsi="宋体" w:cs="宋体"/>
          <w:sz w:val="24"/>
          <w:szCs w:val="24"/>
        </w:rPr>
      </w:pPr>
      <w:r>
        <w:rPr>
          <w:rFonts w:hint="eastAsia" w:ascii="宋体" w:hAnsi="宋体" w:cs="宋体"/>
          <w:sz w:val="24"/>
          <w:szCs w:val="24"/>
        </w:rPr>
        <w:t>1、监理服务内容：详见专用合同条款约定具体服务内容和金额。</w:t>
      </w:r>
    </w:p>
    <w:p>
      <w:pPr>
        <w:spacing w:line="360" w:lineRule="auto"/>
        <w:ind w:firstLine="720" w:firstLineChars="300"/>
        <w:rPr>
          <w:rFonts w:ascii="宋体" w:hAnsi="宋体" w:cs="宋体"/>
          <w:sz w:val="24"/>
          <w:szCs w:val="24"/>
        </w:rPr>
      </w:pPr>
      <w:r>
        <w:rPr>
          <w:rFonts w:hint="eastAsia" w:ascii="宋体" w:hAnsi="宋体" w:cs="宋体"/>
          <w:sz w:val="24"/>
          <w:szCs w:val="24"/>
        </w:rPr>
        <w:t>2、监理服务期限：</w:t>
      </w:r>
      <w:r>
        <w:rPr>
          <w:rFonts w:hint="eastAsia" w:ascii="宋体" w:hAnsi="宋体" w:cs="宋体"/>
          <w:sz w:val="24"/>
          <w:szCs w:val="24"/>
          <w:u w:val="single"/>
        </w:rPr>
        <w:t xml:space="preserve">                    </w:t>
      </w:r>
      <w:r>
        <w:rPr>
          <w:rFonts w:hint="eastAsia" w:ascii="宋体" w:hAnsi="宋体" w:cs="宋体"/>
          <w:sz w:val="24"/>
          <w:szCs w:val="24"/>
        </w:rPr>
        <w:t>监理服务期限为一年。</w:t>
      </w:r>
    </w:p>
    <w:p>
      <w:pPr>
        <w:spacing w:line="360" w:lineRule="auto"/>
        <w:ind w:firstLine="480" w:firstLineChars="200"/>
        <w:rPr>
          <w:rFonts w:ascii="宋体" w:hAnsi="宋体" w:cs="宋体"/>
          <w:sz w:val="24"/>
          <w:szCs w:val="24"/>
        </w:rPr>
      </w:pPr>
      <w:r>
        <w:rPr>
          <w:rFonts w:hint="eastAsia" w:ascii="宋体" w:hAnsi="宋体" w:cs="宋体"/>
          <w:sz w:val="24"/>
          <w:szCs w:val="24"/>
        </w:rPr>
        <w:t>四、监理服务酬金</w:t>
      </w:r>
    </w:p>
    <w:p>
      <w:pPr>
        <w:spacing w:line="360" w:lineRule="auto"/>
        <w:ind w:firstLine="720" w:firstLineChars="300"/>
        <w:rPr>
          <w:rFonts w:ascii="宋体" w:hAnsi="宋体" w:cs="宋体"/>
          <w:sz w:val="24"/>
          <w:szCs w:val="24"/>
        </w:rPr>
      </w:pPr>
      <w:r>
        <w:rPr>
          <w:rFonts w:hint="eastAsia" w:ascii="宋体" w:hAnsi="宋体" w:cs="宋体"/>
          <w:sz w:val="24"/>
          <w:szCs w:val="24"/>
        </w:rPr>
        <w:t>监理正常服务酬金为（大写）</w:t>
      </w:r>
      <w:r>
        <w:rPr>
          <w:rFonts w:hint="eastAsia" w:ascii="宋体" w:hAnsi="宋体" w:cs="宋体"/>
          <w:sz w:val="24"/>
          <w:szCs w:val="24"/>
          <w:u w:val="single"/>
        </w:rPr>
        <w:t>xxxx（费用明细附后）</w:t>
      </w:r>
      <w:r>
        <w:rPr>
          <w:rFonts w:hint="eastAsia" w:ascii="宋体" w:hAnsi="宋体" w:cs="宋体"/>
          <w:sz w:val="24"/>
          <w:szCs w:val="24"/>
        </w:rPr>
        <w:t>，由委托人按专用合同条款约定的方式、时间向监理人支付。</w:t>
      </w:r>
    </w:p>
    <w:p>
      <w:pPr>
        <w:spacing w:line="360" w:lineRule="auto"/>
        <w:ind w:firstLine="480" w:firstLineChars="200"/>
        <w:rPr>
          <w:rFonts w:ascii="宋体" w:hAnsi="宋体" w:cs="宋体"/>
          <w:sz w:val="24"/>
          <w:szCs w:val="24"/>
        </w:rPr>
      </w:pPr>
      <w:r>
        <w:rPr>
          <w:rFonts w:hint="eastAsia" w:ascii="宋体" w:hAnsi="宋体" w:cs="宋体"/>
          <w:sz w:val="24"/>
          <w:szCs w:val="24"/>
        </w:rPr>
        <w:t>五、监理合同的组成文件及解释顺序</w:t>
      </w:r>
    </w:p>
    <w:p>
      <w:pPr>
        <w:spacing w:line="360" w:lineRule="auto"/>
        <w:ind w:firstLine="720" w:firstLineChars="300"/>
        <w:rPr>
          <w:rFonts w:ascii="宋体" w:hAnsi="宋体" w:cs="宋体"/>
          <w:sz w:val="24"/>
          <w:szCs w:val="24"/>
        </w:rPr>
      </w:pPr>
      <w:r>
        <w:rPr>
          <w:rFonts w:hint="eastAsia" w:ascii="宋体" w:hAnsi="宋体" w:cs="宋体"/>
          <w:sz w:val="24"/>
          <w:szCs w:val="24"/>
        </w:rPr>
        <w:t>1、监理合同书；</w:t>
      </w:r>
    </w:p>
    <w:p>
      <w:pPr>
        <w:spacing w:line="360" w:lineRule="auto"/>
        <w:ind w:firstLine="720" w:firstLineChars="300"/>
        <w:rPr>
          <w:rFonts w:ascii="宋体" w:hAnsi="宋体" w:cs="宋体"/>
          <w:sz w:val="24"/>
          <w:szCs w:val="24"/>
        </w:rPr>
      </w:pPr>
      <w:r>
        <w:rPr>
          <w:rFonts w:hint="eastAsia" w:ascii="宋体" w:hAnsi="宋体" w:cs="宋体"/>
          <w:sz w:val="24"/>
          <w:szCs w:val="24"/>
        </w:rPr>
        <w:t>2、专用合同条款；</w:t>
      </w:r>
    </w:p>
    <w:p>
      <w:pPr>
        <w:spacing w:line="360" w:lineRule="auto"/>
        <w:ind w:firstLine="720" w:firstLineChars="300"/>
        <w:rPr>
          <w:rFonts w:ascii="宋体" w:hAnsi="宋体" w:cs="宋体"/>
          <w:sz w:val="24"/>
          <w:szCs w:val="24"/>
        </w:rPr>
      </w:pPr>
      <w:r>
        <w:rPr>
          <w:rFonts w:hint="eastAsia" w:ascii="宋体" w:hAnsi="宋体" w:cs="宋体"/>
          <w:sz w:val="24"/>
          <w:szCs w:val="24"/>
        </w:rPr>
        <w:t>3、通用合同条款；</w:t>
      </w:r>
    </w:p>
    <w:p>
      <w:pPr>
        <w:tabs>
          <w:tab w:val="left" w:pos="4111"/>
        </w:tabs>
        <w:spacing w:line="360" w:lineRule="auto"/>
        <w:ind w:firstLine="720" w:firstLineChars="300"/>
        <w:rPr>
          <w:rFonts w:ascii="宋体" w:hAnsi="宋体" w:cs="宋体"/>
          <w:sz w:val="24"/>
          <w:szCs w:val="24"/>
        </w:rPr>
      </w:pPr>
      <w:r>
        <w:rPr>
          <w:rFonts w:hint="eastAsia" w:ascii="宋体" w:hAnsi="宋体" w:cs="宋体"/>
          <w:sz w:val="24"/>
          <w:szCs w:val="24"/>
        </w:rPr>
        <w:t>4、监理方案；</w:t>
      </w:r>
    </w:p>
    <w:p>
      <w:pPr>
        <w:spacing w:line="360" w:lineRule="auto"/>
        <w:ind w:firstLine="720" w:firstLineChars="300"/>
        <w:rPr>
          <w:rFonts w:ascii="宋体" w:hAnsi="宋体" w:cs="宋体"/>
          <w:sz w:val="24"/>
          <w:szCs w:val="24"/>
        </w:rPr>
      </w:pPr>
      <w:r>
        <w:rPr>
          <w:rFonts w:hint="eastAsia" w:ascii="宋体" w:hAnsi="宋体" w:cs="宋体"/>
          <w:sz w:val="24"/>
          <w:szCs w:val="24"/>
        </w:rPr>
        <w:t>5、双方确认需进入合同的其他文件。</w:t>
      </w:r>
    </w:p>
    <w:p>
      <w:pPr>
        <w:spacing w:line="360" w:lineRule="auto"/>
        <w:ind w:firstLine="480" w:firstLineChars="200"/>
        <w:rPr>
          <w:rFonts w:ascii="宋体" w:hAnsi="宋体" w:cs="宋体"/>
          <w:b/>
          <w:sz w:val="24"/>
          <w:szCs w:val="24"/>
        </w:rPr>
      </w:pPr>
      <w:r>
        <w:rPr>
          <w:rFonts w:hint="eastAsia" w:ascii="宋体" w:hAnsi="宋体" w:cs="宋体"/>
          <w:sz w:val="24"/>
          <w:szCs w:val="24"/>
        </w:rPr>
        <w:t>六、本合同书经双方法定代表人或其授权代表人签名并加盖本单位公章后生效。</w:t>
      </w:r>
    </w:p>
    <w:p>
      <w:pPr>
        <w:spacing w:line="360" w:lineRule="auto"/>
        <w:ind w:firstLine="480" w:firstLineChars="200"/>
        <w:rPr>
          <w:rFonts w:ascii="宋体" w:hAnsi="宋体" w:cs="宋体"/>
          <w:sz w:val="24"/>
          <w:szCs w:val="24"/>
        </w:rPr>
      </w:pPr>
      <w:r>
        <w:rPr>
          <w:rFonts w:hint="eastAsia" w:ascii="宋体" w:hAnsi="宋体" w:cs="宋体"/>
          <w:sz w:val="24"/>
          <w:szCs w:val="24"/>
        </w:rPr>
        <w:t>七、本合同书一式捌份，具有同等法律效力，委托人执肆份，监理人执肆份。</w:t>
      </w:r>
    </w:p>
    <w:p>
      <w:pPr>
        <w:spacing w:line="360" w:lineRule="auto"/>
        <w:ind w:left="200" w:firstLine="75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委托人：</w:t>
      </w:r>
      <w:r>
        <w:rPr>
          <w:rFonts w:hint="eastAsia" w:ascii="宋体" w:hAnsi="宋体" w:cs="宋体"/>
          <w:bCs/>
          <w:sz w:val="24"/>
          <w:szCs w:val="24"/>
          <w:u w:val="single"/>
        </w:rPr>
        <w:t xml:space="preserve">北京市文化和旅游局宣传中心   </w:t>
      </w:r>
      <w:r>
        <w:rPr>
          <w:rFonts w:hint="eastAsia" w:ascii="宋体" w:hAnsi="宋体" w:cs="宋体"/>
          <w:bCs/>
          <w:sz w:val="24"/>
          <w:szCs w:val="24"/>
        </w:rPr>
        <w:t xml:space="preserve">  </w:t>
      </w:r>
      <w:r>
        <w:rPr>
          <w:rFonts w:hint="eastAsia" w:ascii="宋体" w:hAnsi="宋体" w:cs="宋体"/>
          <w:sz w:val="24"/>
          <w:szCs w:val="24"/>
        </w:rPr>
        <w:t>监理人：</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(北京市旅游运行监测中心)</w:t>
      </w:r>
    </w:p>
    <w:p>
      <w:pPr>
        <w:spacing w:line="360" w:lineRule="auto"/>
        <w:rPr>
          <w:rFonts w:ascii="宋体" w:hAnsi="宋体" w:cs="宋体"/>
          <w:sz w:val="24"/>
          <w:szCs w:val="24"/>
          <w:u w:val="single"/>
        </w:rPr>
      </w:pPr>
      <w:r>
        <w:rPr>
          <w:rFonts w:hint="eastAsia" w:ascii="宋体" w:hAnsi="宋体" w:cs="宋体"/>
          <w:sz w:val="24"/>
          <w:szCs w:val="24"/>
        </w:rPr>
        <w:t>法定代表人：                           法定代表人：</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或授权代表人：                         或授权代表人：</w:t>
      </w:r>
    </w:p>
    <w:p>
      <w:pPr>
        <w:spacing w:line="360" w:lineRule="auto"/>
        <w:ind w:left="1250" w:hanging="1250" w:hangingChars="521"/>
        <w:rPr>
          <w:rFonts w:ascii="宋体" w:hAnsi="宋体" w:cs="宋体"/>
          <w:sz w:val="24"/>
          <w:szCs w:val="24"/>
        </w:rPr>
      </w:pPr>
      <w:r>
        <w:rPr>
          <w:rFonts w:hint="eastAsia" w:ascii="宋体" w:hAnsi="宋体" w:cs="宋体"/>
          <w:sz w:val="24"/>
          <w:szCs w:val="24"/>
        </w:rPr>
        <w:t>单位地址：</w:t>
      </w:r>
      <w:r>
        <w:rPr>
          <w:rFonts w:hint="eastAsia" w:ascii="宋体" w:hAnsi="宋体" w:cs="宋体"/>
          <w:sz w:val="24"/>
          <w:szCs w:val="24"/>
          <w:u w:val="single"/>
        </w:rPr>
        <w:t xml:space="preserve"> 北京市通州区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单位地址：</w:t>
      </w:r>
      <w:r>
        <w:rPr>
          <w:rFonts w:hint="eastAsia" w:ascii="宋体" w:hAnsi="宋体" w:cs="宋体"/>
          <w:sz w:val="24"/>
          <w:szCs w:val="24"/>
          <w:u w:val="single"/>
        </w:rPr>
        <w:t xml:space="preserve">                         </w:t>
      </w:r>
    </w:p>
    <w:p>
      <w:pPr>
        <w:spacing w:line="360" w:lineRule="auto"/>
        <w:ind w:left="1250" w:hanging="1250" w:hangingChars="521"/>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留庄路1号院1号楼 </w:t>
      </w:r>
      <w:r>
        <w:rPr>
          <w:rFonts w:hint="eastAsia" w:ascii="宋体" w:hAnsi="宋体" w:cs="宋体"/>
          <w:sz w:val="24"/>
          <w:szCs w:val="24"/>
        </w:rPr>
        <w:t xml:space="preserve">                </w:t>
      </w:r>
      <w:r>
        <w:rPr>
          <w:rFonts w:hint="eastAsia" w:ascii="宋体" w:hAnsi="宋体" w:cs="宋体"/>
          <w:sz w:val="24"/>
          <w:szCs w:val="24"/>
          <w:u w:val="single"/>
        </w:rPr>
        <w:t xml:space="preserve">                  </w:t>
      </w:r>
    </w:p>
    <w:p>
      <w:pPr>
        <w:spacing w:line="360" w:lineRule="auto"/>
        <w:ind w:left="1250" w:hanging="1250" w:hangingChars="521"/>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010-          </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360" w:lineRule="auto"/>
        <w:rPr>
          <w:rFonts w:ascii="宋体" w:hAnsi="宋体" w:cs="宋体"/>
          <w:sz w:val="24"/>
          <w:szCs w:val="24"/>
          <w:u w:val="single"/>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 xml:space="preserve">               电子信箱：</w:t>
      </w:r>
      <w:r>
        <w:fldChar w:fldCharType="begin"/>
      </w:r>
      <w:r>
        <w:instrText xml:space="preserve"> HYPERLINK "mailto:bjsjrfzcjzx@163.com" </w:instrText>
      </w:r>
      <w:r>
        <w:fldChar w:fldCharType="separate"/>
      </w:r>
      <w:r>
        <w:rPr>
          <w:rStyle w:val="55"/>
          <w:rFonts w:hint="eastAsia" w:ascii="宋体" w:hAnsi="宋体" w:cs="宋体"/>
          <w:color w:val="auto"/>
          <w:sz w:val="24"/>
          <w:szCs w:val="24"/>
        </w:rPr>
        <w:t xml:space="preserve"> </w:t>
      </w:r>
      <w:r>
        <w:rPr>
          <w:rFonts w:hint="eastAsia" w:ascii="宋体" w:hAnsi="宋体" w:cs="宋体"/>
          <w:sz w:val="24"/>
          <w:szCs w:val="24"/>
          <w:u w:val="single"/>
        </w:rPr>
        <w:t xml:space="preserve">            </w:t>
      </w:r>
      <w:r>
        <w:rPr>
          <w:rStyle w:val="55"/>
          <w:rFonts w:hint="eastAsia" w:ascii="宋体" w:hAnsi="宋体" w:cs="宋体"/>
          <w:color w:val="auto"/>
          <w:sz w:val="24"/>
          <w:szCs w:val="24"/>
        </w:rPr>
        <w:t xml:space="preserve"> </w:t>
      </w:r>
      <w:r>
        <w:rPr>
          <w:rStyle w:val="55"/>
          <w:rFonts w:hint="eastAsia" w:ascii="宋体" w:hAnsi="宋体" w:cs="宋体"/>
          <w:color w:val="auto"/>
          <w:sz w:val="24"/>
          <w:szCs w:val="24"/>
        </w:rPr>
        <w:fldChar w:fldCharType="end"/>
      </w:r>
    </w:p>
    <w:p>
      <w:pPr>
        <w:spacing w:line="360" w:lineRule="auto"/>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rPr>
        <w:t xml:space="preserve">              开户银行：</w:t>
      </w:r>
      <w:bookmarkStart w:id="380" w:name="_Toc169906061"/>
      <w:bookmarkStart w:id="381" w:name="_Toc169906205"/>
      <w:r>
        <w:rPr>
          <w:rFonts w:hint="eastAsia" w:ascii="宋体" w:hAnsi="宋体" w:cs="宋体"/>
          <w:sz w:val="24"/>
          <w:szCs w:val="24"/>
          <w:u w:val="single"/>
        </w:rPr>
        <w:t xml:space="preserve">                           </w:t>
      </w:r>
    </w:p>
    <w:p>
      <w:pPr>
        <w:spacing w:line="360" w:lineRule="auto"/>
        <w:rPr>
          <w:rFonts w:ascii="宋体" w:hAnsi="宋体" w:cs="宋体"/>
          <w:sz w:val="24"/>
          <w:szCs w:val="24"/>
          <w:u w:val="single"/>
        </w:rPr>
      </w:pPr>
      <w:r>
        <w:rPr>
          <w:rFonts w:hint="eastAsia" w:ascii="宋体" w:hAnsi="宋体" w:cs="宋体"/>
          <w:sz w:val="24"/>
          <w:szCs w:val="24"/>
        </w:rPr>
        <w:t>帐号：</w:t>
      </w:r>
      <w:r>
        <w:rPr>
          <w:rFonts w:hint="eastAsia" w:ascii="宋体" w:hAnsi="宋体" w:cs="宋体"/>
          <w:sz w:val="24"/>
          <w:szCs w:val="24"/>
          <w:u w:val="single"/>
        </w:rPr>
        <w:t xml:space="preserve">                       </w:t>
      </w:r>
      <w:r>
        <w:rPr>
          <w:rFonts w:hint="eastAsia" w:ascii="宋体" w:hAnsi="宋体" w:cs="宋体"/>
          <w:sz w:val="24"/>
          <w:szCs w:val="24"/>
        </w:rPr>
        <w:t xml:space="preserve">           帐号：</w:t>
      </w:r>
      <w:bookmarkEnd w:id="380"/>
      <w:bookmarkEnd w:id="381"/>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签订地点：</w:t>
      </w:r>
      <w:r>
        <w:rPr>
          <w:rFonts w:hint="eastAsia" w:ascii="宋体" w:hAnsi="宋体" w:cs="宋体"/>
          <w:sz w:val="24"/>
          <w:szCs w:val="24"/>
          <w:u w:val="single"/>
        </w:rPr>
        <w:t>北京</w:t>
      </w:r>
    </w:p>
    <w:p>
      <w:pPr>
        <w:spacing w:line="360" w:lineRule="auto"/>
        <w:rPr>
          <w:rFonts w:ascii="宋体" w:hAnsi="宋体" w:cs="宋体"/>
          <w:sz w:val="24"/>
          <w:szCs w:val="24"/>
        </w:rPr>
      </w:pPr>
      <w:r>
        <w:rPr>
          <w:rFonts w:hint="eastAsia" w:ascii="宋体" w:hAnsi="宋体" w:cs="宋体"/>
          <w:sz w:val="24"/>
          <w:szCs w:val="24"/>
        </w:rPr>
        <w:t>签订时间：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jc w:val="center"/>
        <w:rPr>
          <w:rFonts w:ascii="宋体" w:hAnsi="宋体" w:cs="宋体"/>
          <w:bCs/>
          <w:sz w:val="36"/>
        </w:rPr>
      </w:pPr>
    </w:p>
    <w:p>
      <w:pPr>
        <w:spacing w:line="360" w:lineRule="auto"/>
        <w:jc w:val="center"/>
        <w:rPr>
          <w:rFonts w:ascii="宋体" w:hAnsi="宋体" w:cs="宋体"/>
          <w:bCs/>
          <w:sz w:val="36"/>
        </w:rPr>
      </w:pPr>
    </w:p>
    <w:p>
      <w:pPr>
        <w:jc w:val="center"/>
        <w:rPr>
          <w:rFonts w:ascii="宋体" w:hAnsi="宋体" w:cs="宋体"/>
          <w:bCs/>
          <w:sz w:val="36"/>
        </w:rPr>
      </w:pPr>
    </w:p>
    <w:p>
      <w:pPr>
        <w:widowControl/>
        <w:jc w:val="left"/>
        <w:rPr>
          <w:rFonts w:ascii="宋体" w:hAnsi="宋体" w:cs="宋体"/>
          <w:b/>
          <w:sz w:val="36"/>
          <w:szCs w:val="36"/>
        </w:rPr>
      </w:pPr>
      <w:r>
        <w:rPr>
          <w:rFonts w:hint="eastAsia" w:ascii="宋体" w:hAnsi="宋体" w:cs="宋体"/>
          <w:b/>
          <w:sz w:val="36"/>
          <w:szCs w:val="36"/>
        </w:rPr>
        <w:br w:type="page"/>
      </w:r>
    </w:p>
    <w:p>
      <w:pPr>
        <w:jc w:val="center"/>
        <w:rPr>
          <w:rFonts w:ascii="宋体" w:hAnsi="宋体" w:cs="宋体"/>
          <w:bCs/>
          <w:sz w:val="36"/>
        </w:rPr>
      </w:pPr>
      <w:r>
        <w:rPr>
          <w:rFonts w:hint="eastAsia" w:ascii="宋体" w:hAnsi="宋体" w:cs="宋体"/>
          <w:b/>
          <w:sz w:val="36"/>
          <w:szCs w:val="36"/>
        </w:rPr>
        <w:t>第一部分通用合同条款</w:t>
      </w:r>
    </w:p>
    <w:p>
      <w:pPr>
        <w:spacing w:line="360" w:lineRule="auto"/>
        <w:ind w:firstLine="435"/>
        <w:rPr>
          <w:rFonts w:ascii="宋体" w:hAnsi="宋体" w:cs="宋体"/>
          <w:b/>
          <w:sz w:val="32"/>
        </w:rPr>
      </w:pPr>
    </w:p>
    <w:p>
      <w:pPr>
        <w:tabs>
          <w:tab w:val="left" w:pos="-180"/>
        </w:tabs>
        <w:spacing w:after="120" w:afterLines="50" w:line="360" w:lineRule="auto"/>
        <w:jc w:val="center"/>
        <w:rPr>
          <w:rFonts w:ascii="宋体" w:hAnsi="宋体" w:cs="宋体"/>
          <w:bCs/>
          <w:sz w:val="32"/>
        </w:rPr>
      </w:pPr>
      <w:bookmarkStart w:id="382" w:name="_Toc268165532"/>
      <w:bookmarkStart w:id="383" w:name="_Toc175129661"/>
      <w:bookmarkStart w:id="384" w:name="_Toc173557419"/>
      <w:bookmarkStart w:id="385" w:name="_Toc247340036"/>
      <w:bookmarkStart w:id="386" w:name="_Toc243808221"/>
      <w:r>
        <w:rPr>
          <w:rFonts w:hint="eastAsia" w:ascii="宋体" w:hAnsi="宋体" w:cs="宋体"/>
          <w:bCs/>
          <w:sz w:val="32"/>
        </w:rPr>
        <w:t>词语涵义及适用语言</w:t>
      </w:r>
      <w:bookmarkEnd w:id="382"/>
      <w:bookmarkEnd w:id="383"/>
      <w:bookmarkEnd w:id="384"/>
      <w:bookmarkEnd w:id="385"/>
      <w:bookmarkEnd w:id="386"/>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第一条 </w:t>
      </w:r>
      <w:r>
        <w:rPr>
          <w:rFonts w:hint="eastAsia" w:ascii="宋体" w:hAnsi="宋体" w:cs="宋体"/>
          <w:bCs/>
          <w:sz w:val="24"/>
          <w:szCs w:val="24"/>
        </w:rPr>
        <w:t>下列名词和用语，除上下文另有约定外，具有本条所赋予的涵义：</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一、“委托人”指承担项目直接建设管理责任，委托监理业务的法人或其合法继承人。</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二、“监理人”指受委托人委托，提供监理服务的法人或其合法继承人。</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三、“受托人”指与委托人签订了项目服务合同，承担项目服务的法人或其合法继承人。</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四、“监理机构”指监理人派驻工程现场直接开展监理业务的组织，由总监理工程师、监理工程师和监理员以及其他人员组成。</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五、“监理项目”是指委托人委托监理人实施监理的项目。</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六、“服务”是指监理人根据监理合同约定所承担的各项工作，包括正常服务和附加服务。</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七、“正常服务”指监理人按照合同约定的监理范围、内容和期限所提供的服务。</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八、“附加服务”指监理人为委托人提供正常服务以外的服务。</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九、“服务酬金”指本合同中监理人完成“正常服务”、“附加服务”应得到的正常服务酬金和附加服务酬金。</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十、“天”指日历天。</w:t>
      </w:r>
    </w:p>
    <w:p>
      <w:pPr>
        <w:tabs>
          <w:tab w:val="left" w:pos="-180"/>
        </w:tabs>
        <w:spacing w:line="360" w:lineRule="auto"/>
        <w:ind w:firstLine="480" w:firstLineChars="200"/>
        <w:rPr>
          <w:rFonts w:ascii="宋体" w:hAnsi="宋体" w:cs="宋体"/>
          <w:sz w:val="24"/>
          <w:szCs w:val="24"/>
          <w:shd w:val="pct10" w:color="auto" w:fill="FFFFFF"/>
        </w:rPr>
      </w:pPr>
      <w:r>
        <w:rPr>
          <w:rFonts w:hint="eastAsia" w:ascii="宋体" w:hAnsi="宋体" w:cs="宋体"/>
          <w:sz w:val="24"/>
          <w:szCs w:val="24"/>
        </w:rPr>
        <w:t>十一、“现场”指监理项目实施的场所。</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第二条 </w:t>
      </w:r>
      <w:r>
        <w:rPr>
          <w:rFonts w:hint="eastAsia" w:ascii="宋体" w:hAnsi="宋体" w:cs="宋体"/>
          <w:bCs/>
          <w:sz w:val="24"/>
          <w:szCs w:val="24"/>
        </w:rPr>
        <w:t>本合同适用的语言文字为汉语文字。</w:t>
      </w:r>
    </w:p>
    <w:p>
      <w:pPr>
        <w:tabs>
          <w:tab w:val="left" w:pos="-180"/>
        </w:tabs>
        <w:spacing w:line="360" w:lineRule="auto"/>
        <w:rPr>
          <w:rFonts w:ascii="宋体" w:hAnsi="宋体" w:cs="宋体"/>
        </w:rPr>
      </w:pPr>
    </w:p>
    <w:p>
      <w:pPr>
        <w:tabs>
          <w:tab w:val="left" w:pos="-180"/>
        </w:tabs>
        <w:spacing w:after="120" w:afterLines="50" w:line="360" w:lineRule="auto"/>
        <w:jc w:val="center"/>
        <w:rPr>
          <w:rFonts w:ascii="宋体" w:hAnsi="宋体" w:cs="宋体"/>
          <w:b/>
        </w:rPr>
      </w:pPr>
      <w:bookmarkStart w:id="387" w:name="_Toc175129663"/>
      <w:bookmarkStart w:id="388" w:name="_Toc173557421"/>
      <w:bookmarkStart w:id="389" w:name="_Toc243808223"/>
      <w:bookmarkStart w:id="390" w:name="_Toc268165534"/>
      <w:bookmarkStart w:id="391" w:name="_Toc247340038"/>
      <w:r>
        <w:rPr>
          <w:rFonts w:hint="eastAsia" w:ascii="宋体" w:hAnsi="宋体" w:cs="宋体"/>
          <w:bCs/>
          <w:sz w:val="32"/>
        </w:rPr>
        <w:t>监理依据</w:t>
      </w:r>
      <w:bookmarkEnd w:id="387"/>
      <w:bookmarkEnd w:id="388"/>
      <w:bookmarkEnd w:id="389"/>
      <w:bookmarkEnd w:id="390"/>
      <w:bookmarkEnd w:id="391"/>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第三条 </w:t>
      </w:r>
      <w:r>
        <w:rPr>
          <w:rFonts w:hint="eastAsia" w:ascii="宋体" w:hAnsi="宋体" w:cs="宋体"/>
          <w:sz w:val="24"/>
          <w:szCs w:val="24"/>
        </w:rPr>
        <w:t>监理的依据是有关项目运维的法律、法规、规章和规范性文件；系统运维强制性条文、有关技术标准；经批准的该项目设计文件及其相关文件；监理合同、项目服务合同等合同文件。具体内容在专用合同条款中约定。</w:t>
      </w:r>
    </w:p>
    <w:p>
      <w:pPr>
        <w:tabs>
          <w:tab w:val="left" w:pos="-180"/>
        </w:tabs>
        <w:spacing w:line="360" w:lineRule="auto"/>
        <w:ind w:firstLine="740" w:firstLineChars="200"/>
        <w:rPr>
          <w:rFonts w:ascii="宋体" w:hAnsi="宋体" w:cs="宋体"/>
          <w:spacing w:val="80"/>
        </w:rPr>
      </w:pPr>
    </w:p>
    <w:p>
      <w:pPr>
        <w:tabs>
          <w:tab w:val="left" w:pos="-180"/>
        </w:tabs>
        <w:spacing w:after="120" w:afterLines="50" w:line="360" w:lineRule="auto"/>
        <w:jc w:val="center"/>
        <w:rPr>
          <w:rFonts w:ascii="宋体" w:hAnsi="宋体" w:cs="宋体"/>
          <w:bCs/>
          <w:sz w:val="32"/>
        </w:rPr>
      </w:pPr>
      <w:bookmarkStart w:id="392" w:name="_Toc173557422"/>
      <w:bookmarkStart w:id="393" w:name="_Toc268165535"/>
      <w:bookmarkStart w:id="394" w:name="_Toc247340039"/>
      <w:bookmarkStart w:id="395" w:name="_Toc243808224"/>
      <w:bookmarkStart w:id="396" w:name="_Toc175129664"/>
      <w:r>
        <w:rPr>
          <w:rFonts w:hint="eastAsia" w:ascii="宋体" w:hAnsi="宋体" w:cs="宋体"/>
          <w:bCs/>
          <w:sz w:val="32"/>
        </w:rPr>
        <w:t>通知和联系</w:t>
      </w:r>
      <w:bookmarkEnd w:id="392"/>
      <w:bookmarkEnd w:id="393"/>
      <w:bookmarkEnd w:id="394"/>
      <w:bookmarkEnd w:id="395"/>
      <w:bookmarkEnd w:id="396"/>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第四条 </w:t>
      </w:r>
      <w:r>
        <w:rPr>
          <w:rFonts w:hint="eastAsia" w:ascii="宋体" w:hAnsi="宋体" w:cs="宋体"/>
          <w:sz w:val="24"/>
          <w:szCs w:val="24"/>
        </w:rPr>
        <w:t>委托人应指定一名联系人，负责与监理机构联系。更换联系人时，应提前通知监理人。</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第五条 </w:t>
      </w:r>
      <w:r>
        <w:rPr>
          <w:rFonts w:hint="eastAsia" w:ascii="宋体" w:hAnsi="宋体" w:cs="宋体"/>
          <w:sz w:val="24"/>
          <w:szCs w:val="24"/>
        </w:rPr>
        <w:t>在监理合同实施过程中，双方的联系均应以书面函件为准。在不做出紧急处理即可能导致安全、质量事故的情况下，可先以口头形式通知，并在48小时内补做书面通知。</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第六条 </w:t>
      </w:r>
      <w:r>
        <w:rPr>
          <w:rFonts w:hint="eastAsia" w:ascii="宋体" w:hAnsi="宋体" w:cs="宋体"/>
          <w:sz w:val="24"/>
          <w:szCs w:val="24"/>
        </w:rPr>
        <w:t>委托人对委托监理范围内工程项目实施的意见和决策，应通过监理机构下达，法律、法规另有规定的除外。</w:t>
      </w:r>
    </w:p>
    <w:p>
      <w:pPr>
        <w:tabs>
          <w:tab w:val="left" w:pos="-180"/>
        </w:tabs>
        <w:spacing w:line="360" w:lineRule="auto"/>
        <w:ind w:firstLine="480" w:firstLineChars="200"/>
        <w:rPr>
          <w:rFonts w:ascii="宋体" w:hAnsi="宋体" w:cs="宋体"/>
          <w:sz w:val="24"/>
        </w:rPr>
      </w:pPr>
    </w:p>
    <w:p>
      <w:pPr>
        <w:tabs>
          <w:tab w:val="left" w:pos="-180"/>
        </w:tabs>
        <w:spacing w:after="120" w:afterLines="50" w:line="360" w:lineRule="auto"/>
        <w:jc w:val="center"/>
        <w:rPr>
          <w:rFonts w:ascii="宋体" w:hAnsi="宋体" w:cs="宋体"/>
          <w:bCs/>
          <w:sz w:val="32"/>
        </w:rPr>
      </w:pPr>
      <w:bookmarkStart w:id="397" w:name="_Toc268165536"/>
      <w:bookmarkStart w:id="398" w:name="_Toc247340040"/>
      <w:bookmarkStart w:id="399" w:name="_Toc175129665"/>
      <w:bookmarkStart w:id="400" w:name="_Toc173557423"/>
      <w:bookmarkStart w:id="401" w:name="_Toc243808225"/>
      <w:r>
        <w:rPr>
          <w:rFonts w:hint="eastAsia" w:ascii="宋体" w:hAnsi="宋体" w:cs="宋体"/>
          <w:bCs/>
          <w:sz w:val="32"/>
        </w:rPr>
        <w:t>委托人的权利</w:t>
      </w:r>
      <w:bookmarkEnd w:id="397"/>
      <w:bookmarkEnd w:id="398"/>
      <w:bookmarkEnd w:id="399"/>
      <w:bookmarkEnd w:id="400"/>
      <w:bookmarkEnd w:id="401"/>
    </w:p>
    <w:p>
      <w:pPr>
        <w:tabs>
          <w:tab w:val="left" w:pos="-180"/>
        </w:tabs>
        <w:spacing w:line="360" w:lineRule="auto"/>
        <w:ind w:firstLine="422" w:firstLineChars="200"/>
        <w:rPr>
          <w:rFonts w:ascii="宋体" w:hAnsi="宋体" w:cs="宋体"/>
          <w:b/>
          <w:szCs w:val="21"/>
        </w:rPr>
      </w:pPr>
      <w:r>
        <w:rPr>
          <w:rFonts w:hint="eastAsia" w:ascii="宋体" w:hAnsi="宋体" w:cs="宋体"/>
          <w:b/>
          <w:szCs w:val="21"/>
        </w:rPr>
        <w:t xml:space="preserve">第七条 </w:t>
      </w:r>
      <w:r>
        <w:rPr>
          <w:rFonts w:hint="eastAsia" w:ascii="宋体" w:hAnsi="宋体" w:cs="宋体"/>
          <w:szCs w:val="21"/>
        </w:rPr>
        <w:t>委托人享有如下权利：</w:t>
      </w:r>
    </w:p>
    <w:p>
      <w:pPr>
        <w:tabs>
          <w:tab w:val="left" w:pos="-180"/>
        </w:tabs>
        <w:spacing w:line="360" w:lineRule="auto"/>
        <w:ind w:firstLine="420" w:firstLineChars="200"/>
        <w:rPr>
          <w:rFonts w:ascii="宋体" w:hAnsi="宋体" w:cs="宋体"/>
          <w:szCs w:val="21"/>
        </w:rPr>
      </w:pPr>
      <w:r>
        <w:rPr>
          <w:rFonts w:hint="eastAsia" w:ascii="宋体" w:hAnsi="宋体" w:cs="宋体"/>
          <w:szCs w:val="21"/>
        </w:rPr>
        <w:t>1、对监理工作进行监督、检查，并提出撤换不能胜任监理工作人员的建议或要求；</w:t>
      </w:r>
    </w:p>
    <w:p>
      <w:pPr>
        <w:tabs>
          <w:tab w:val="left" w:pos="-180"/>
        </w:tabs>
        <w:spacing w:line="360" w:lineRule="auto"/>
        <w:ind w:firstLine="420" w:firstLineChars="200"/>
        <w:rPr>
          <w:rFonts w:ascii="宋体" w:hAnsi="宋体" w:cs="宋体"/>
          <w:szCs w:val="21"/>
        </w:rPr>
      </w:pPr>
      <w:r>
        <w:rPr>
          <w:rFonts w:hint="eastAsia" w:ascii="宋体" w:hAnsi="宋体" w:cs="宋体"/>
          <w:szCs w:val="21"/>
        </w:rPr>
        <w:t>2、对工程建设、运维中质量、安全、投资、进度方面的重大问题的决策权；</w:t>
      </w:r>
    </w:p>
    <w:p>
      <w:pPr>
        <w:tabs>
          <w:tab w:val="left" w:pos="-180"/>
        </w:tabs>
        <w:spacing w:line="360" w:lineRule="auto"/>
        <w:ind w:firstLine="420" w:firstLineChars="200"/>
        <w:rPr>
          <w:rFonts w:ascii="宋体" w:hAnsi="宋体" w:cs="宋体"/>
          <w:szCs w:val="21"/>
        </w:rPr>
      </w:pPr>
      <w:r>
        <w:rPr>
          <w:rFonts w:hint="eastAsia" w:ascii="宋体" w:hAnsi="宋体" w:cs="宋体"/>
          <w:szCs w:val="21"/>
        </w:rPr>
        <w:t>3、核定监理人签发的项目相关文件；</w:t>
      </w:r>
    </w:p>
    <w:p>
      <w:pPr>
        <w:tabs>
          <w:tab w:val="left" w:pos="-180"/>
        </w:tabs>
        <w:spacing w:line="360" w:lineRule="auto"/>
        <w:ind w:firstLine="420" w:firstLineChars="200"/>
        <w:rPr>
          <w:rFonts w:ascii="宋体" w:hAnsi="宋体" w:cs="宋体"/>
          <w:szCs w:val="21"/>
        </w:rPr>
      </w:pPr>
      <w:r>
        <w:rPr>
          <w:rFonts w:hint="eastAsia" w:ascii="宋体" w:hAnsi="宋体" w:cs="宋体"/>
          <w:szCs w:val="21"/>
        </w:rPr>
        <w:t>4、要求监理人提交监理月报、监理专题报告、监理工作报告和监理工作总结报告；</w:t>
      </w:r>
    </w:p>
    <w:p>
      <w:pPr>
        <w:tabs>
          <w:tab w:val="left" w:pos="-180"/>
        </w:tabs>
        <w:spacing w:line="360" w:lineRule="auto"/>
        <w:ind w:firstLine="420" w:firstLineChars="200"/>
        <w:rPr>
          <w:rFonts w:ascii="宋体" w:hAnsi="宋体" w:cs="宋体"/>
          <w:b/>
          <w:szCs w:val="21"/>
        </w:rPr>
      </w:pPr>
      <w:r>
        <w:rPr>
          <w:rFonts w:hint="eastAsia" w:ascii="宋体" w:hAnsi="宋体" w:cs="宋体"/>
          <w:szCs w:val="21"/>
        </w:rPr>
        <w:t>5、当监理人发生本合同专用条款约定的违约情形时，有权解除本合同。</w:t>
      </w:r>
    </w:p>
    <w:p>
      <w:pPr>
        <w:tabs>
          <w:tab w:val="left" w:pos="-180"/>
        </w:tabs>
        <w:spacing w:line="360" w:lineRule="auto"/>
        <w:ind w:firstLine="422" w:firstLineChars="200"/>
        <w:rPr>
          <w:rFonts w:ascii="宋体" w:hAnsi="宋体" w:cs="宋体"/>
          <w:b/>
        </w:rPr>
      </w:pPr>
    </w:p>
    <w:p>
      <w:pPr>
        <w:tabs>
          <w:tab w:val="left" w:pos="-180"/>
        </w:tabs>
        <w:spacing w:after="120" w:afterLines="50" w:line="360" w:lineRule="auto"/>
        <w:jc w:val="center"/>
        <w:rPr>
          <w:rFonts w:ascii="宋体" w:hAnsi="宋体" w:cs="宋体"/>
          <w:bCs/>
          <w:sz w:val="32"/>
        </w:rPr>
      </w:pPr>
      <w:bookmarkStart w:id="402" w:name="_Toc243808226"/>
      <w:bookmarkStart w:id="403" w:name="_Toc173557424"/>
      <w:bookmarkStart w:id="404" w:name="_Toc247340041"/>
      <w:bookmarkStart w:id="405" w:name="_Toc175129666"/>
      <w:bookmarkStart w:id="406" w:name="_Toc268165537"/>
      <w:r>
        <w:rPr>
          <w:rFonts w:hint="eastAsia" w:ascii="宋体" w:hAnsi="宋体" w:cs="宋体"/>
          <w:bCs/>
          <w:sz w:val="32"/>
        </w:rPr>
        <w:t>监理人的权利</w:t>
      </w:r>
      <w:bookmarkEnd w:id="402"/>
      <w:bookmarkEnd w:id="403"/>
      <w:bookmarkEnd w:id="404"/>
      <w:bookmarkEnd w:id="405"/>
      <w:bookmarkEnd w:id="406"/>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第八条 </w:t>
      </w:r>
      <w:r>
        <w:rPr>
          <w:rFonts w:hint="eastAsia" w:ascii="宋体" w:hAnsi="宋体" w:cs="宋体"/>
          <w:sz w:val="24"/>
          <w:szCs w:val="24"/>
        </w:rPr>
        <w:t>委托人赋予监理人如下权利：</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1、审查受托人提交的项目整体运营方案、安全技术措施及专项运营方案等各类文件；</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2、签发合同项目开工令，但应事先征得委托人同意；</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3、审核和签发付款凭证；</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4、核查受托人现场工作人员数量及相应岗位资格，有权要求受托人撤换不称职的现场工作人员；</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5、发现受托人项目质量或进度问题时，有权要求受托人纠正；</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6、不定期地对受托人项目执行状况、人员情况进行检查，并形成抽检记录；</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7、定期收集及检查受托人的项目周报、项目月报、策划活动方案、巡检报告、现场服务单等各种服务过程中的单据、文档和资料；</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8、检查受托人的工作单据，评价受托人对问题的解决情况，并进行跟踪、控制；</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9、定期对受托人履行合同情况进行评价；</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10、当委托人发生本合同专用条款约定的违约情形时，有权解除本合同；</w:t>
      </w:r>
    </w:p>
    <w:p>
      <w:pPr>
        <w:tabs>
          <w:tab w:val="left" w:pos="-180"/>
        </w:tabs>
        <w:spacing w:line="360" w:lineRule="auto"/>
        <w:ind w:firstLine="480" w:firstLineChars="200"/>
        <w:rPr>
          <w:rFonts w:ascii="宋体" w:hAnsi="宋体" w:cs="宋体"/>
          <w:sz w:val="24"/>
          <w:szCs w:val="24"/>
        </w:rPr>
      </w:pPr>
      <w:r>
        <w:rPr>
          <w:rFonts w:hint="eastAsia" w:ascii="宋体" w:hAnsi="宋体" w:cs="宋体"/>
          <w:sz w:val="24"/>
          <w:szCs w:val="24"/>
        </w:rPr>
        <w:t>11、专用合同条款约定的其他权利。</w:t>
      </w:r>
    </w:p>
    <w:p>
      <w:pPr>
        <w:tabs>
          <w:tab w:val="left" w:pos="-180"/>
        </w:tabs>
        <w:spacing w:line="360" w:lineRule="auto"/>
        <w:ind w:firstLine="420" w:firstLineChars="200"/>
        <w:rPr>
          <w:rFonts w:ascii="宋体" w:hAnsi="宋体" w:cs="宋体"/>
        </w:rPr>
      </w:pPr>
    </w:p>
    <w:p>
      <w:pPr>
        <w:tabs>
          <w:tab w:val="left" w:pos="-180"/>
        </w:tabs>
        <w:spacing w:after="120" w:afterLines="50" w:line="360" w:lineRule="auto"/>
        <w:jc w:val="center"/>
        <w:rPr>
          <w:rFonts w:ascii="宋体" w:hAnsi="宋体" w:cs="宋体"/>
          <w:bCs/>
          <w:sz w:val="32"/>
        </w:rPr>
      </w:pPr>
      <w:bookmarkStart w:id="407" w:name="_Toc173557426"/>
      <w:bookmarkStart w:id="408" w:name="_Toc268165539"/>
      <w:bookmarkStart w:id="409" w:name="_Toc175129668"/>
      <w:bookmarkStart w:id="410" w:name="_Toc243808228"/>
      <w:bookmarkStart w:id="411" w:name="_Toc247340043"/>
      <w:r>
        <w:rPr>
          <w:rFonts w:hint="eastAsia" w:ascii="宋体" w:hAnsi="宋体" w:cs="宋体"/>
          <w:bCs/>
          <w:sz w:val="32"/>
        </w:rPr>
        <w:t>委托人的义务</w:t>
      </w:r>
      <w:bookmarkEnd w:id="407"/>
      <w:bookmarkEnd w:id="408"/>
      <w:bookmarkEnd w:id="409"/>
      <w:bookmarkEnd w:id="410"/>
      <w:bookmarkEnd w:id="411"/>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第九条 </w:t>
      </w:r>
      <w:r>
        <w:rPr>
          <w:rFonts w:hint="eastAsia" w:ascii="宋体" w:hAnsi="宋体" w:cs="宋体"/>
          <w:sz w:val="24"/>
          <w:szCs w:val="24"/>
        </w:rPr>
        <w:t>工程建设外部环境的协调工作。</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第十条 </w:t>
      </w:r>
      <w:r>
        <w:rPr>
          <w:rFonts w:hint="eastAsia" w:ascii="宋体" w:hAnsi="宋体" w:cs="宋体"/>
          <w:sz w:val="24"/>
          <w:szCs w:val="24"/>
        </w:rPr>
        <w:t>按专用合同条款约定的时间、数量、方式，免费向监理机构提供开展监理服务的有关本工程建设的资料。</w:t>
      </w:r>
    </w:p>
    <w:p>
      <w:pPr>
        <w:tabs>
          <w:tab w:val="left" w:pos="-180"/>
        </w:tabs>
        <w:spacing w:line="360" w:lineRule="auto"/>
        <w:ind w:firstLine="482" w:firstLineChars="200"/>
        <w:rPr>
          <w:rFonts w:ascii="宋体" w:hAnsi="宋体" w:cs="宋体"/>
          <w:sz w:val="24"/>
          <w:szCs w:val="24"/>
          <w:shd w:val="pct10" w:color="auto" w:fill="FFFFFF"/>
        </w:rPr>
      </w:pPr>
      <w:r>
        <w:rPr>
          <w:rFonts w:hint="eastAsia" w:ascii="宋体" w:hAnsi="宋体" w:cs="宋体"/>
          <w:b/>
          <w:sz w:val="24"/>
          <w:szCs w:val="24"/>
        </w:rPr>
        <w:t xml:space="preserve">第十一条 </w:t>
      </w:r>
      <w:r>
        <w:rPr>
          <w:rFonts w:hint="eastAsia" w:ascii="宋体" w:hAnsi="宋体" w:cs="宋体"/>
          <w:sz w:val="24"/>
          <w:szCs w:val="24"/>
          <w:shd w:val="clear" w:color="auto" w:fill="FFFFFF"/>
        </w:rPr>
        <w:t>与受托人签订的项目服务合同中明确其赋予监理人的权限，并在工程开工前将监理单位、总监理工程师通知受托人。</w:t>
      </w:r>
    </w:p>
    <w:p>
      <w:pPr>
        <w:tabs>
          <w:tab w:val="left" w:pos="-180"/>
        </w:tabs>
        <w:spacing w:line="360" w:lineRule="auto"/>
        <w:ind w:firstLine="482" w:firstLineChars="200"/>
        <w:rPr>
          <w:rFonts w:ascii="宋体" w:hAnsi="宋体" w:cs="宋体"/>
          <w:sz w:val="24"/>
          <w:szCs w:val="24"/>
          <w:shd w:val="clear" w:color="auto" w:fill="FFFFFF"/>
        </w:rPr>
      </w:pPr>
      <w:r>
        <w:rPr>
          <w:rFonts w:hint="eastAsia" w:ascii="宋体" w:hAnsi="宋体" w:cs="宋体"/>
          <w:b/>
          <w:sz w:val="24"/>
          <w:szCs w:val="24"/>
        </w:rPr>
        <w:t xml:space="preserve">第十二条 </w:t>
      </w:r>
      <w:r>
        <w:rPr>
          <w:rFonts w:hint="eastAsia" w:ascii="宋体" w:hAnsi="宋体" w:cs="宋体"/>
          <w:sz w:val="24"/>
          <w:szCs w:val="24"/>
          <w:shd w:val="clear" w:color="auto" w:fill="FFFFFF"/>
        </w:rPr>
        <w:t>提供监理人员在现场的工作和生活条件，具体内容在专用合同条款中明确。如果不能提供上述条件的，应按实际发生费用给予监理人补偿。</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第十三条 </w:t>
      </w:r>
      <w:r>
        <w:rPr>
          <w:rFonts w:hint="eastAsia" w:ascii="宋体" w:hAnsi="宋体" w:cs="宋体"/>
          <w:sz w:val="24"/>
          <w:szCs w:val="24"/>
        </w:rPr>
        <w:t>按本合同约定及时、足额支付监理服务酬金。</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第十四条 </w:t>
      </w:r>
      <w:r>
        <w:rPr>
          <w:rFonts w:hint="eastAsia" w:ascii="宋体" w:hAnsi="宋体" w:cs="宋体"/>
          <w:sz w:val="24"/>
          <w:szCs w:val="24"/>
        </w:rPr>
        <w:t>为监理机构指定具有检验、试验资质的机构并承担检验、试验相关费用。</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第十五条 </w:t>
      </w:r>
      <w:r>
        <w:rPr>
          <w:rFonts w:hint="eastAsia" w:ascii="宋体" w:hAnsi="宋体" w:cs="宋体"/>
          <w:sz w:val="24"/>
          <w:szCs w:val="24"/>
        </w:rPr>
        <w:t>维护监理机构工作的独立性，不干涉监理机构正常开展监理业务，不擅自作出有悖于监理机构在合同授权范围内所作出的指示的决定；未经监理机构签字确认，不得支付合同款项。</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第十六条 </w:t>
      </w:r>
      <w:r>
        <w:rPr>
          <w:rFonts w:hint="eastAsia" w:ascii="宋体" w:hAnsi="宋体" w:cs="宋体"/>
          <w:sz w:val="24"/>
          <w:szCs w:val="24"/>
        </w:rPr>
        <w:t>为监理人员投保人身意外伤害险和第三者责任险。如要求监理人自己投保，则应同意监理人将投保的费用计入报价中。</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第十七条 </w:t>
      </w:r>
      <w:r>
        <w:rPr>
          <w:rFonts w:hint="eastAsia" w:ascii="宋体" w:hAnsi="宋体" w:cs="宋体"/>
          <w:sz w:val="24"/>
          <w:szCs w:val="24"/>
        </w:rPr>
        <w:t>将投保工程险的保险合同提供给监理人作为工程合同管理的一部分。</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第十八条 </w:t>
      </w:r>
      <w:r>
        <w:rPr>
          <w:rFonts w:hint="eastAsia" w:ascii="宋体" w:hAnsi="宋体" w:cs="宋体"/>
          <w:sz w:val="24"/>
          <w:szCs w:val="24"/>
        </w:rPr>
        <w:t>未经监理人同意，不得将监理人用于本工程监理服务的</w:t>
      </w:r>
      <w:r>
        <w:rPr>
          <w:rFonts w:hint="eastAsia" w:ascii="宋体" w:hAnsi="宋体" w:cs="宋体"/>
          <w:sz w:val="24"/>
          <w:szCs w:val="24"/>
          <w:shd w:val="clear" w:color="auto" w:fill="FFFFFF"/>
        </w:rPr>
        <w:t>任何</w:t>
      </w:r>
      <w:r>
        <w:rPr>
          <w:rFonts w:hint="eastAsia" w:ascii="宋体" w:hAnsi="宋体" w:cs="宋体"/>
          <w:sz w:val="24"/>
          <w:szCs w:val="24"/>
        </w:rPr>
        <w:t>文件直接或间接用于其他工程建设之中。</w:t>
      </w:r>
    </w:p>
    <w:p>
      <w:pPr>
        <w:tabs>
          <w:tab w:val="left" w:pos="-180"/>
        </w:tabs>
        <w:spacing w:line="360" w:lineRule="auto"/>
        <w:ind w:firstLine="480" w:firstLineChars="200"/>
        <w:rPr>
          <w:rFonts w:ascii="宋体" w:hAnsi="宋体" w:cs="宋体"/>
          <w:sz w:val="24"/>
        </w:rPr>
      </w:pPr>
    </w:p>
    <w:p>
      <w:pPr>
        <w:tabs>
          <w:tab w:val="left" w:pos="-180"/>
        </w:tabs>
        <w:spacing w:line="360" w:lineRule="auto"/>
        <w:jc w:val="center"/>
        <w:rPr>
          <w:rFonts w:ascii="宋体" w:hAnsi="宋体" w:cs="宋体"/>
          <w:bCs/>
          <w:sz w:val="32"/>
        </w:rPr>
      </w:pPr>
      <w:bookmarkStart w:id="412" w:name="_Toc173557427"/>
      <w:bookmarkStart w:id="413" w:name="_Toc268165540"/>
      <w:bookmarkStart w:id="414" w:name="_Toc175129669"/>
      <w:bookmarkStart w:id="415" w:name="_Toc247340044"/>
      <w:bookmarkStart w:id="416" w:name="_Toc243808229"/>
      <w:r>
        <w:rPr>
          <w:rFonts w:hint="eastAsia" w:ascii="宋体" w:hAnsi="宋体" w:cs="宋体"/>
          <w:bCs/>
          <w:sz w:val="32"/>
        </w:rPr>
        <w:t>监理人的义务</w:t>
      </w:r>
      <w:bookmarkEnd w:id="412"/>
      <w:bookmarkEnd w:id="413"/>
      <w:bookmarkEnd w:id="414"/>
      <w:bookmarkEnd w:id="415"/>
      <w:bookmarkEnd w:id="416"/>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第十九条 </w:t>
      </w:r>
      <w:r>
        <w:rPr>
          <w:rFonts w:hint="eastAsia" w:ascii="宋体" w:hAnsi="宋体" w:cs="宋体"/>
          <w:sz w:val="24"/>
          <w:szCs w:val="24"/>
        </w:rPr>
        <w:t>本着“守法、诚信、公正、科学”的原则，按专用合同条款约定的监理服务内容为委托人提供优质服务。</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第二十条 </w:t>
      </w:r>
      <w:r>
        <w:rPr>
          <w:rFonts w:hint="eastAsia" w:ascii="宋体" w:hAnsi="宋体" w:cs="宋体"/>
          <w:sz w:val="24"/>
          <w:szCs w:val="24"/>
        </w:rPr>
        <w:t>在专用合同条款约定的时间内组建监理机构，并进驻现场。及时将监理方案、监理机构及其主要人员名单提交委托人，将监理机构及其人员名单、监理工程师和监理员的授权范围通知受托人；实施期间有变化的，应当及时通知受托人。更换总监理工程师和其他主要监理人员应征得委托人同意。</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第二十一条 </w:t>
      </w:r>
      <w:r>
        <w:rPr>
          <w:rFonts w:hint="eastAsia" w:ascii="宋体" w:hAnsi="宋体" w:cs="宋体"/>
          <w:sz w:val="24"/>
          <w:szCs w:val="24"/>
        </w:rPr>
        <w:t>发现设计文件不符合有关规定或合同约定时，应向委托人报告。</w:t>
      </w:r>
    </w:p>
    <w:p>
      <w:pPr>
        <w:tabs>
          <w:tab w:val="left" w:pos="-180"/>
        </w:tabs>
        <w:spacing w:line="360" w:lineRule="auto"/>
        <w:ind w:firstLine="482" w:firstLineChars="200"/>
        <w:rPr>
          <w:rFonts w:ascii="宋体" w:hAnsi="宋体" w:cs="宋体"/>
          <w:sz w:val="24"/>
          <w:szCs w:val="24"/>
        </w:rPr>
      </w:pPr>
      <w:bookmarkStart w:id="417" w:name="_Toc268165541"/>
      <w:bookmarkStart w:id="418" w:name="_Toc247340045"/>
      <w:bookmarkStart w:id="419" w:name="_Toc243808230"/>
      <w:bookmarkStart w:id="420" w:name="_Toc175129670"/>
      <w:bookmarkStart w:id="421" w:name="_Toc173557428"/>
      <w:r>
        <w:rPr>
          <w:rFonts w:hint="eastAsia" w:ascii="宋体" w:hAnsi="宋体" w:cs="宋体"/>
          <w:b/>
          <w:sz w:val="24"/>
          <w:szCs w:val="24"/>
        </w:rPr>
        <w:t xml:space="preserve">第二十二条 </w:t>
      </w:r>
      <w:r>
        <w:rPr>
          <w:rFonts w:hint="eastAsia" w:ascii="宋体" w:hAnsi="宋体" w:cs="宋体"/>
          <w:sz w:val="24"/>
          <w:szCs w:val="24"/>
        </w:rPr>
        <w:t>按照常态化工作表对受托方常态化运营工作进行抽查与进度跟踪，并作实时记录，及时向建设单位报告。发现存在质量、安全事故隐患，或发生质量、安全事故，应按有关规定及时采取相应的监理措施。</w:t>
      </w:r>
      <w:bookmarkEnd w:id="417"/>
      <w:bookmarkEnd w:id="418"/>
      <w:bookmarkEnd w:id="419"/>
      <w:bookmarkEnd w:id="420"/>
      <w:bookmarkEnd w:id="421"/>
    </w:p>
    <w:p>
      <w:pPr>
        <w:tabs>
          <w:tab w:val="left" w:pos="-180"/>
        </w:tabs>
        <w:spacing w:line="360" w:lineRule="auto"/>
        <w:ind w:firstLine="482" w:firstLineChars="200"/>
        <w:rPr>
          <w:rFonts w:ascii="宋体" w:hAnsi="宋体" w:cs="宋体"/>
          <w:sz w:val="24"/>
          <w:szCs w:val="24"/>
        </w:rPr>
      </w:pPr>
      <w:r>
        <w:rPr>
          <w:rFonts w:hint="eastAsia" w:ascii="宋体" w:hAnsi="宋体" w:cs="宋体"/>
          <w:b/>
          <w:bCs/>
          <w:sz w:val="24"/>
          <w:szCs w:val="24"/>
        </w:rPr>
        <w:t>第二十</w:t>
      </w:r>
      <w:r>
        <w:rPr>
          <w:rFonts w:hint="eastAsia" w:ascii="宋体" w:hAnsi="宋体" w:cs="宋体"/>
          <w:b/>
          <w:sz w:val="24"/>
          <w:szCs w:val="24"/>
        </w:rPr>
        <w:t>三</w:t>
      </w:r>
      <w:r>
        <w:rPr>
          <w:rFonts w:hint="eastAsia" w:ascii="宋体" w:hAnsi="宋体" w:cs="宋体"/>
          <w:b/>
          <w:bCs/>
          <w:sz w:val="24"/>
          <w:szCs w:val="24"/>
        </w:rPr>
        <w:t xml:space="preserve">条 </w:t>
      </w:r>
      <w:r>
        <w:rPr>
          <w:rFonts w:hint="eastAsia" w:ascii="宋体" w:hAnsi="宋体" w:cs="宋体"/>
          <w:sz w:val="24"/>
          <w:szCs w:val="24"/>
        </w:rPr>
        <w:t>监督、检查项目执行进度。</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第二十</w:t>
      </w:r>
      <w:r>
        <w:rPr>
          <w:rFonts w:hint="eastAsia" w:ascii="宋体" w:hAnsi="宋体" w:cs="宋体"/>
          <w:b/>
          <w:bCs/>
          <w:sz w:val="24"/>
          <w:szCs w:val="24"/>
        </w:rPr>
        <w:t>四</w:t>
      </w:r>
      <w:r>
        <w:rPr>
          <w:rFonts w:hint="eastAsia" w:ascii="宋体" w:hAnsi="宋体" w:cs="宋体"/>
          <w:b/>
          <w:sz w:val="24"/>
          <w:szCs w:val="24"/>
        </w:rPr>
        <w:t xml:space="preserve">条 </w:t>
      </w:r>
      <w:r>
        <w:rPr>
          <w:rFonts w:hint="eastAsia" w:ascii="宋体" w:hAnsi="宋体" w:cs="宋体"/>
          <w:sz w:val="24"/>
          <w:szCs w:val="24"/>
        </w:rPr>
        <w:t>按照委托人签订的工程保险合同，做好项目服务现场工程保险合同的管理。协助委托人向保险公司及时提供一切必要的材料和证据。</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第二十五条 </w:t>
      </w:r>
      <w:r>
        <w:rPr>
          <w:rFonts w:hint="eastAsia" w:ascii="宋体" w:hAnsi="宋体" w:cs="宋体"/>
          <w:sz w:val="24"/>
          <w:szCs w:val="24"/>
        </w:rPr>
        <w:t>协调项目合同各方之间的关系。</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第二十六条 </w:t>
      </w:r>
      <w:r>
        <w:rPr>
          <w:rFonts w:hint="eastAsia" w:ascii="宋体" w:hAnsi="宋体" w:cs="宋体"/>
          <w:sz w:val="24"/>
          <w:szCs w:val="24"/>
        </w:rPr>
        <w:t>按照项目服务作业程序，采取旁站、巡视、跟踪检测和平行检测等方法实施监理。需要旁站的重要部位和关键工序在专用合同条款中约定。</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第二十七条 </w:t>
      </w:r>
      <w:r>
        <w:rPr>
          <w:rFonts w:hint="eastAsia" w:ascii="宋体" w:hAnsi="宋体" w:cs="宋体"/>
          <w:sz w:val="24"/>
          <w:szCs w:val="24"/>
        </w:rPr>
        <w:t>及时做好工程系统运维</w:t>
      </w:r>
      <w:r>
        <w:rPr>
          <w:rFonts w:hint="eastAsia" w:ascii="宋体" w:hAnsi="宋体" w:cs="宋体"/>
          <w:sz w:val="24"/>
          <w:szCs w:val="24"/>
          <w:shd w:val="clear" w:color="auto" w:fill="FFFFFF"/>
        </w:rPr>
        <w:t>过程</w:t>
      </w:r>
      <w:r>
        <w:rPr>
          <w:rFonts w:hint="eastAsia" w:ascii="宋体" w:hAnsi="宋体" w:cs="宋体"/>
          <w:sz w:val="24"/>
          <w:szCs w:val="24"/>
        </w:rPr>
        <w:t>各种监理信息的收集、整理和归档，并保证现场记录、试验、检验、检查等资料的完整和真实。</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第二十八条 </w:t>
      </w:r>
      <w:r>
        <w:rPr>
          <w:rFonts w:hint="eastAsia" w:ascii="宋体" w:hAnsi="宋体" w:cs="宋体"/>
          <w:sz w:val="24"/>
          <w:szCs w:val="24"/>
        </w:rPr>
        <w:t>编制《监理月报》，并向委托人定期提交监理专题报告、监理工作报告和监理工作总结报告。</w:t>
      </w:r>
    </w:p>
    <w:p>
      <w:pPr>
        <w:tabs>
          <w:tab w:val="left" w:pos="-180"/>
        </w:tabs>
        <w:spacing w:line="360" w:lineRule="auto"/>
        <w:ind w:firstLine="482" w:firstLineChars="200"/>
        <w:rPr>
          <w:rFonts w:ascii="宋体" w:hAnsi="宋体" w:cs="宋体"/>
          <w:b/>
          <w:sz w:val="24"/>
          <w:szCs w:val="24"/>
        </w:rPr>
      </w:pPr>
      <w:r>
        <w:rPr>
          <w:rFonts w:hint="eastAsia" w:ascii="宋体" w:hAnsi="宋体" w:cs="宋体"/>
          <w:b/>
          <w:sz w:val="24"/>
          <w:szCs w:val="24"/>
        </w:rPr>
        <w:t xml:space="preserve">第二十九条 </w:t>
      </w:r>
      <w:r>
        <w:rPr>
          <w:rFonts w:hint="eastAsia" w:ascii="宋体" w:hAnsi="宋体" w:cs="宋体"/>
          <w:sz w:val="24"/>
          <w:szCs w:val="24"/>
        </w:rPr>
        <w:t>按有关规定和委托人要求参加工程验收，做好相关配合工作。</w:t>
      </w:r>
      <w:r>
        <w:rPr>
          <w:rFonts w:hint="eastAsia" w:ascii="宋体" w:hAnsi="宋体" w:cs="宋体"/>
          <w:bCs/>
          <w:sz w:val="24"/>
          <w:szCs w:val="24"/>
        </w:rPr>
        <w:t>委托人委托监理人主持的分部工程验收由专用合同条款约定。</w:t>
      </w:r>
    </w:p>
    <w:p>
      <w:pPr>
        <w:tabs>
          <w:tab w:val="left" w:pos="-180"/>
        </w:tabs>
        <w:spacing w:line="360" w:lineRule="auto"/>
        <w:ind w:firstLine="482" w:firstLineChars="200"/>
        <w:rPr>
          <w:rFonts w:ascii="宋体" w:hAnsi="宋体" w:cs="宋体"/>
          <w:color w:val="FF0000"/>
          <w:sz w:val="24"/>
          <w:szCs w:val="24"/>
        </w:rPr>
      </w:pPr>
      <w:r>
        <w:rPr>
          <w:rFonts w:hint="eastAsia" w:ascii="宋体" w:hAnsi="宋体" w:cs="宋体"/>
          <w:b/>
          <w:sz w:val="24"/>
          <w:szCs w:val="24"/>
        </w:rPr>
        <w:t xml:space="preserve">第三十条 </w:t>
      </w:r>
      <w:r>
        <w:rPr>
          <w:rFonts w:hint="eastAsia" w:ascii="宋体" w:hAnsi="宋体" w:cs="宋体"/>
          <w:sz w:val="24"/>
          <w:szCs w:val="24"/>
        </w:rPr>
        <w:t>妥善做好委托人所提供的项目文件资料的保存、回收及保密工作。在本合同期限内或</w:t>
      </w:r>
      <w:r>
        <w:rPr>
          <w:rFonts w:hint="eastAsia" w:ascii="宋体" w:hAnsi="宋体" w:cs="宋体"/>
          <w:sz w:val="24"/>
          <w:szCs w:val="24"/>
          <w:shd w:val="clear" w:color="auto" w:fill="FFFFFF"/>
        </w:rPr>
        <w:t>专用合同条款约定的合同终止后的一定期限内</w:t>
      </w:r>
      <w:r>
        <w:rPr>
          <w:rFonts w:hint="eastAsia" w:ascii="宋体" w:hAnsi="宋体" w:cs="宋体"/>
          <w:sz w:val="24"/>
          <w:szCs w:val="24"/>
        </w:rPr>
        <w:t>，未征得委托人同意，不得公开涉及委托人的专利、专有技术或其他需保密的资料，不得泄露与本合同业务有关的技术、商务等</w:t>
      </w:r>
      <w:r>
        <w:rPr>
          <w:rFonts w:hint="eastAsia" w:ascii="宋体" w:hAnsi="宋体" w:cs="宋体"/>
          <w:sz w:val="24"/>
          <w:szCs w:val="24"/>
          <w:shd w:val="clear" w:color="auto" w:fill="FFFFFF"/>
        </w:rPr>
        <w:t>秘密</w:t>
      </w:r>
      <w:r>
        <w:rPr>
          <w:rFonts w:hint="eastAsia" w:ascii="宋体" w:hAnsi="宋体" w:cs="宋体"/>
          <w:sz w:val="24"/>
          <w:szCs w:val="24"/>
        </w:rPr>
        <w:t>。</w:t>
      </w:r>
    </w:p>
    <w:p>
      <w:pPr>
        <w:tabs>
          <w:tab w:val="left" w:pos="-180"/>
        </w:tabs>
        <w:spacing w:after="120" w:afterLines="50" w:line="360" w:lineRule="auto"/>
        <w:rPr>
          <w:rFonts w:ascii="宋体" w:hAnsi="宋体" w:cs="宋体"/>
          <w:bCs/>
          <w:sz w:val="32"/>
        </w:rPr>
      </w:pPr>
    </w:p>
    <w:p>
      <w:pPr>
        <w:tabs>
          <w:tab w:val="left" w:pos="-180"/>
        </w:tabs>
        <w:spacing w:after="120" w:afterLines="50" w:line="360" w:lineRule="auto"/>
        <w:jc w:val="center"/>
        <w:rPr>
          <w:rFonts w:ascii="宋体" w:hAnsi="宋体" w:cs="宋体"/>
          <w:bCs/>
          <w:sz w:val="32"/>
        </w:rPr>
      </w:pPr>
      <w:bookmarkStart w:id="422" w:name="_Toc268165542"/>
      <w:bookmarkStart w:id="423" w:name="_Toc243808231"/>
      <w:bookmarkStart w:id="424" w:name="_Toc173557429"/>
      <w:bookmarkStart w:id="425" w:name="_Toc175129671"/>
      <w:bookmarkStart w:id="426" w:name="_Toc247340046"/>
      <w:r>
        <w:rPr>
          <w:rFonts w:hint="eastAsia" w:ascii="宋体" w:hAnsi="宋体" w:cs="宋体"/>
          <w:bCs/>
          <w:sz w:val="32"/>
        </w:rPr>
        <w:t>监理服务酬金</w:t>
      </w:r>
      <w:bookmarkEnd w:id="422"/>
      <w:bookmarkEnd w:id="423"/>
      <w:bookmarkEnd w:id="424"/>
      <w:bookmarkEnd w:id="425"/>
      <w:bookmarkEnd w:id="426"/>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第三十一条 </w:t>
      </w:r>
      <w:r>
        <w:rPr>
          <w:rFonts w:hint="eastAsia" w:ascii="宋体" w:hAnsi="宋体" w:cs="宋体"/>
          <w:sz w:val="24"/>
          <w:szCs w:val="24"/>
        </w:rPr>
        <w:t>监理正常服务酬金的支付时间和支付方式在专用合同条款中约定。</w:t>
      </w:r>
    </w:p>
    <w:p>
      <w:pPr>
        <w:tabs>
          <w:tab w:val="left" w:pos="-180"/>
        </w:tabs>
        <w:spacing w:line="360" w:lineRule="auto"/>
        <w:ind w:firstLine="482" w:firstLineChars="200"/>
        <w:rPr>
          <w:rFonts w:ascii="宋体" w:hAnsi="宋体" w:cs="宋体"/>
          <w:b/>
          <w:sz w:val="24"/>
          <w:szCs w:val="24"/>
        </w:rPr>
      </w:pPr>
      <w:r>
        <w:rPr>
          <w:rFonts w:hint="eastAsia" w:ascii="宋体" w:hAnsi="宋体" w:cs="宋体"/>
          <w:b/>
          <w:sz w:val="24"/>
          <w:szCs w:val="24"/>
        </w:rPr>
        <w:t xml:space="preserve">第三十二条 </w:t>
      </w:r>
      <w:r>
        <w:rPr>
          <w:rFonts w:hint="eastAsia" w:ascii="宋体" w:hAnsi="宋体" w:cs="宋体"/>
          <w:sz w:val="24"/>
          <w:szCs w:val="24"/>
        </w:rPr>
        <w:t>国家有关法律、法规、规章和监理酬金标准发生变化时，应按有关规定调整监理服务酬金。</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第三十三条 </w:t>
      </w:r>
      <w:r>
        <w:rPr>
          <w:rFonts w:hint="eastAsia" w:ascii="宋体" w:hAnsi="宋体" w:cs="宋体"/>
          <w:sz w:val="24"/>
          <w:szCs w:val="24"/>
        </w:rPr>
        <w:t>委托人对监理人</w:t>
      </w:r>
      <w:r>
        <w:rPr>
          <w:rFonts w:hint="eastAsia" w:ascii="宋体" w:hAnsi="宋体" w:cs="宋体"/>
          <w:sz w:val="24"/>
          <w:szCs w:val="24"/>
          <w:shd w:val="clear" w:color="auto" w:fill="FFFFFF"/>
        </w:rPr>
        <w:t>申请支付的</w:t>
      </w:r>
      <w:r>
        <w:rPr>
          <w:rFonts w:hint="eastAsia" w:ascii="宋体" w:hAnsi="宋体" w:cs="宋体"/>
          <w:sz w:val="24"/>
          <w:szCs w:val="24"/>
        </w:rPr>
        <w:t>监理酬金项目及金额有异议时，应当在收到监理人支付申请书</w:t>
      </w:r>
      <w:r>
        <w:rPr>
          <w:rFonts w:hint="eastAsia" w:ascii="宋体" w:hAnsi="宋体" w:cs="宋体"/>
          <w:sz w:val="24"/>
          <w:szCs w:val="24"/>
          <w:shd w:val="clear" w:color="auto" w:fill="FFFFFF"/>
        </w:rPr>
        <w:t>后</w:t>
      </w:r>
      <w:r>
        <w:rPr>
          <w:rFonts w:hint="eastAsia" w:ascii="宋体" w:hAnsi="宋体" w:cs="宋体"/>
          <w:sz w:val="24"/>
          <w:szCs w:val="24"/>
        </w:rPr>
        <w:t>7天内向监理人发出异议通知，由双方协商解决。7天内未发出异议通知，则按通用合同条款第三十一条、第三十二条的约定支付。</w:t>
      </w:r>
    </w:p>
    <w:p>
      <w:pPr>
        <w:tabs>
          <w:tab w:val="left" w:pos="-180"/>
        </w:tabs>
        <w:spacing w:line="360" w:lineRule="auto"/>
        <w:ind w:firstLine="420" w:firstLineChars="200"/>
        <w:rPr>
          <w:rFonts w:ascii="宋体" w:hAnsi="宋体" w:cs="宋体"/>
          <w:szCs w:val="21"/>
        </w:rPr>
      </w:pPr>
    </w:p>
    <w:p>
      <w:pPr>
        <w:tabs>
          <w:tab w:val="left" w:pos="-180"/>
        </w:tabs>
        <w:spacing w:after="120" w:afterLines="50" w:line="360" w:lineRule="auto"/>
        <w:jc w:val="center"/>
        <w:rPr>
          <w:rFonts w:ascii="宋体" w:hAnsi="宋体" w:cs="宋体"/>
          <w:bCs/>
          <w:sz w:val="32"/>
        </w:rPr>
      </w:pPr>
      <w:bookmarkStart w:id="427" w:name="_Toc243808235"/>
      <w:bookmarkStart w:id="428" w:name="_Toc173557433"/>
      <w:bookmarkStart w:id="429" w:name="_Toc247340050"/>
      <w:bookmarkStart w:id="430" w:name="_Toc175129675"/>
      <w:bookmarkStart w:id="431" w:name="_Toc268165546"/>
      <w:r>
        <w:rPr>
          <w:rFonts w:hint="eastAsia" w:ascii="宋体" w:hAnsi="宋体" w:cs="宋体"/>
          <w:bCs/>
          <w:sz w:val="32"/>
        </w:rPr>
        <w:t>合同变更与终止</w:t>
      </w:r>
      <w:bookmarkEnd w:id="427"/>
      <w:bookmarkEnd w:id="428"/>
      <w:bookmarkEnd w:id="429"/>
      <w:bookmarkEnd w:id="430"/>
      <w:bookmarkEnd w:id="431"/>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第三十四条 </w:t>
      </w:r>
      <w:r>
        <w:rPr>
          <w:rFonts w:hint="eastAsia" w:ascii="宋体" w:hAnsi="宋体" w:cs="宋体"/>
          <w:sz w:val="24"/>
          <w:szCs w:val="24"/>
        </w:rPr>
        <w:t>因工程建设计划调整、较大的工程设计变更等非监理人原因致使本合同约定的服务范围、内容和服务形式发生较大变化时，双方对监理服务酬金计取、监理服务期限等有关合同条款应当充分协商，签订监理补充协议。</w:t>
      </w:r>
    </w:p>
    <w:p>
      <w:pPr>
        <w:tabs>
          <w:tab w:val="left" w:pos="-180"/>
        </w:tabs>
        <w:spacing w:line="360" w:lineRule="auto"/>
        <w:ind w:firstLine="482" w:firstLineChars="200"/>
        <w:rPr>
          <w:rFonts w:ascii="宋体" w:hAnsi="宋体" w:cs="宋体"/>
          <w:sz w:val="24"/>
          <w:szCs w:val="24"/>
          <w:u w:val="single"/>
          <w:shd w:val="pct10" w:color="auto" w:fill="FFFFFF"/>
        </w:rPr>
      </w:pPr>
      <w:r>
        <w:rPr>
          <w:rFonts w:hint="eastAsia" w:ascii="宋体" w:hAnsi="宋体" w:cs="宋体"/>
          <w:b/>
          <w:sz w:val="24"/>
          <w:szCs w:val="24"/>
        </w:rPr>
        <w:t>第</w:t>
      </w:r>
      <w:r>
        <w:rPr>
          <w:rFonts w:hint="eastAsia" w:ascii="宋体" w:hAnsi="宋体" w:cs="宋体"/>
          <w:b/>
          <w:sz w:val="24"/>
          <w:szCs w:val="24"/>
          <w:shd w:val="clear" w:color="auto" w:fill="FFFFFF"/>
        </w:rPr>
        <w:t>三十</w:t>
      </w:r>
      <w:r>
        <w:rPr>
          <w:rFonts w:hint="eastAsia" w:ascii="宋体" w:hAnsi="宋体" w:cs="宋体"/>
          <w:b/>
          <w:sz w:val="24"/>
          <w:szCs w:val="24"/>
        </w:rPr>
        <w:t>五</w:t>
      </w:r>
      <w:r>
        <w:rPr>
          <w:rFonts w:hint="eastAsia" w:ascii="宋体" w:hAnsi="宋体" w:cs="宋体"/>
          <w:b/>
          <w:sz w:val="24"/>
          <w:szCs w:val="24"/>
          <w:shd w:val="clear" w:color="auto" w:fill="FFFFFF"/>
        </w:rPr>
        <w:t xml:space="preserve">条 </w:t>
      </w:r>
      <w:r>
        <w:rPr>
          <w:rFonts w:hint="eastAsia" w:ascii="宋体" w:hAnsi="宋体" w:cs="宋体"/>
          <w:sz w:val="24"/>
          <w:szCs w:val="24"/>
          <w:shd w:val="clear" w:color="auto" w:fill="FFFFFF"/>
        </w:rPr>
        <w:t>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第三十六条 </w:t>
      </w:r>
      <w:r>
        <w:rPr>
          <w:rFonts w:hint="eastAsia" w:ascii="宋体" w:hAnsi="宋体" w:cs="宋体"/>
          <w:sz w:val="24"/>
          <w:szCs w:val="24"/>
        </w:rPr>
        <w:t>在监理服务期内，由于国家政策致使工程建设计划重大调整，或不可抗力致使合同不能履行时，双方协商解决因合同终止所产生的遗留问题。</w:t>
      </w:r>
    </w:p>
    <w:p>
      <w:pPr>
        <w:tabs>
          <w:tab w:val="left" w:pos="-180"/>
        </w:tabs>
        <w:spacing w:line="360" w:lineRule="auto"/>
        <w:ind w:firstLine="482" w:firstLineChars="200"/>
        <w:rPr>
          <w:rFonts w:ascii="宋体" w:hAnsi="宋体" w:cs="宋体"/>
          <w:szCs w:val="21"/>
        </w:rPr>
      </w:pPr>
      <w:r>
        <w:rPr>
          <w:rFonts w:hint="eastAsia" w:ascii="宋体" w:hAnsi="宋体" w:cs="宋体"/>
          <w:b/>
          <w:sz w:val="24"/>
          <w:szCs w:val="24"/>
        </w:rPr>
        <w:t xml:space="preserve">第三十七条 </w:t>
      </w:r>
      <w:r>
        <w:rPr>
          <w:rFonts w:hint="eastAsia" w:ascii="宋体" w:hAnsi="宋体" w:cs="宋体"/>
          <w:sz w:val="24"/>
          <w:szCs w:val="24"/>
        </w:rPr>
        <w:t>本合同在监理期限届满并结清监理服务酬金后即终止。</w:t>
      </w:r>
    </w:p>
    <w:p>
      <w:pPr>
        <w:tabs>
          <w:tab w:val="left" w:pos="-180"/>
        </w:tabs>
        <w:spacing w:after="120" w:afterLines="50" w:line="360" w:lineRule="auto"/>
        <w:rPr>
          <w:rFonts w:ascii="宋体" w:hAnsi="宋体" w:cs="宋体"/>
          <w:bCs/>
          <w:szCs w:val="21"/>
        </w:rPr>
      </w:pPr>
    </w:p>
    <w:p>
      <w:pPr>
        <w:tabs>
          <w:tab w:val="left" w:pos="-180"/>
        </w:tabs>
        <w:spacing w:after="120" w:afterLines="50" w:line="360" w:lineRule="auto"/>
        <w:jc w:val="center"/>
        <w:rPr>
          <w:rFonts w:ascii="宋体" w:hAnsi="宋体" w:cs="宋体"/>
          <w:bCs/>
          <w:sz w:val="32"/>
        </w:rPr>
      </w:pPr>
      <w:bookmarkStart w:id="432" w:name="_Toc173557434"/>
      <w:bookmarkStart w:id="433" w:name="_Toc247340051"/>
      <w:bookmarkStart w:id="434" w:name="_Toc268165547"/>
      <w:bookmarkStart w:id="435" w:name="_Toc243808236"/>
      <w:bookmarkStart w:id="436" w:name="_Toc175129676"/>
      <w:r>
        <w:rPr>
          <w:rFonts w:hint="eastAsia" w:ascii="宋体" w:hAnsi="宋体" w:cs="宋体"/>
          <w:bCs/>
          <w:sz w:val="32"/>
        </w:rPr>
        <w:t>违约责任</w:t>
      </w:r>
      <w:bookmarkEnd w:id="432"/>
      <w:bookmarkEnd w:id="433"/>
      <w:bookmarkEnd w:id="434"/>
      <w:bookmarkEnd w:id="435"/>
      <w:bookmarkEnd w:id="436"/>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第三十八条 </w:t>
      </w:r>
      <w:r>
        <w:rPr>
          <w:rFonts w:hint="eastAsia" w:ascii="宋体" w:hAnsi="宋体" w:cs="宋体"/>
          <w:sz w:val="24"/>
          <w:szCs w:val="24"/>
        </w:rPr>
        <w:t>委托人未履行合同条款第十条、第十二条、第十三条、第十四条、第十五条、第十六条、第十八条约定的义务和责任，除按专用合同条款约定向监理人支付违约金外，还应继续履行合同约定的义务和责任。</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第三十九条 </w:t>
      </w:r>
      <w:r>
        <w:rPr>
          <w:rFonts w:hint="eastAsia" w:ascii="宋体" w:hAnsi="宋体" w:cs="宋体"/>
          <w:sz w:val="24"/>
          <w:szCs w:val="24"/>
        </w:rPr>
        <w:t>委托人未按合同条款第三十一条、第三十二条约定支付监理服务酬金，除按专用合同条款约定向监理人支付逾期付款违约金外，还应继续履行合同约定的支付义务。</w:t>
      </w:r>
    </w:p>
    <w:p>
      <w:pPr>
        <w:tabs>
          <w:tab w:val="left" w:pos="-180"/>
        </w:tabs>
        <w:spacing w:line="360" w:lineRule="auto"/>
        <w:ind w:firstLine="482" w:firstLineChars="200"/>
        <w:rPr>
          <w:rFonts w:ascii="宋体" w:hAnsi="宋体" w:cs="宋体"/>
          <w:sz w:val="24"/>
          <w:szCs w:val="24"/>
        </w:rPr>
      </w:pPr>
      <w:bookmarkStart w:id="437" w:name="_Toc175129677"/>
      <w:bookmarkStart w:id="438" w:name="_Toc247340052"/>
      <w:bookmarkStart w:id="439" w:name="_Toc268165548"/>
      <w:bookmarkStart w:id="440" w:name="_Toc243808237"/>
      <w:bookmarkStart w:id="441" w:name="_Toc173557435"/>
      <w:r>
        <w:rPr>
          <w:rFonts w:hint="eastAsia" w:ascii="宋体" w:hAnsi="宋体" w:cs="宋体"/>
          <w:b/>
          <w:sz w:val="24"/>
          <w:szCs w:val="24"/>
        </w:rPr>
        <w:t xml:space="preserve">第四十条 </w:t>
      </w:r>
      <w:r>
        <w:rPr>
          <w:rFonts w:hint="eastAsia" w:ascii="宋体" w:hAnsi="宋体" w:cs="宋体"/>
          <w:sz w:val="24"/>
          <w:szCs w:val="24"/>
        </w:rPr>
        <w:t>监理人未履行合同条款第二十条、第二十二条、第二十三条、第二十四条、第二十六条、第二十七条、第二十八条、第二十九条、第三十条约定的义务和责任，除按专用合同条款约定向委托人支付违约金外，还应继续履行合同约定的义务和责任。</w:t>
      </w:r>
      <w:bookmarkEnd w:id="437"/>
      <w:bookmarkEnd w:id="438"/>
      <w:bookmarkEnd w:id="439"/>
      <w:bookmarkEnd w:id="440"/>
      <w:bookmarkEnd w:id="441"/>
    </w:p>
    <w:p>
      <w:pPr>
        <w:tabs>
          <w:tab w:val="left" w:pos="-180"/>
        </w:tabs>
        <w:spacing w:line="360" w:lineRule="auto"/>
        <w:ind w:firstLine="740" w:firstLineChars="200"/>
        <w:rPr>
          <w:rFonts w:ascii="宋体" w:hAnsi="宋体" w:cs="宋体"/>
          <w:bCs/>
          <w:spacing w:val="80"/>
          <w:u w:val="single"/>
        </w:rPr>
      </w:pPr>
    </w:p>
    <w:p>
      <w:pPr>
        <w:tabs>
          <w:tab w:val="left" w:pos="-180"/>
        </w:tabs>
        <w:spacing w:after="120" w:afterLines="50" w:line="360" w:lineRule="auto"/>
        <w:jc w:val="center"/>
        <w:rPr>
          <w:rFonts w:ascii="宋体" w:hAnsi="宋体" w:cs="宋体"/>
          <w:bCs/>
          <w:sz w:val="32"/>
        </w:rPr>
      </w:pPr>
      <w:bookmarkStart w:id="442" w:name="_Toc243808238"/>
      <w:bookmarkStart w:id="443" w:name="_Toc268165549"/>
      <w:bookmarkStart w:id="444" w:name="_Toc175129678"/>
      <w:bookmarkStart w:id="445" w:name="_Toc247340053"/>
      <w:bookmarkStart w:id="446" w:name="_Toc173557436"/>
      <w:r>
        <w:rPr>
          <w:rFonts w:hint="eastAsia" w:ascii="宋体" w:hAnsi="宋体" w:cs="宋体"/>
          <w:bCs/>
          <w:sz w:val="32"/>
        </w:rPr>
        <w:t>争议的解决</w:t>
      </w:r>
      <w:bookmarkEnd w:id="442"/>
      <w:bookmarkEnd w:id="443"/>
      <w:bookmarkEnd w:id="444"/>
      <w:bookmarkEnd w:id="445"/>
      <w:bookmarkEnd w:id="446"/>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第四十一条 </w:t>
      </w:r>
      <w:r>
        <w:rPr>
          <w:rFonts w:hint="eastAsia" w:ascii="宋体" w:hAnsi="宋体" w:cs="宋体"/>
          <w:sz w:val="24"/>
          <w:szCs w:val="24"/>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pPr>
        <w:tabs>
          <w:tab w:val="left" w:pos="-180"/>
        </w:tabs>
        <w:spacing w:line="360" w:lineRule="auto"/>
        <w:ind w:firstLine="482" w:firstLineChars="200"/>
        <w:rPr>
          <w:rFonts w:ascii="宋体" w:hAnsi="宋体" w:cs="宋体"/>
          <w:sz w:val="24"/>
          <w:szCs w:val="24"/>
        </w:rPr>
      </w:pPr>
      <w:r>
        <w:rPr>
          <w:rFonts w:hint="eastAsia" w:ascii="宋体" w:hAnsi="宋体" w:cs="宋体"/>
          <w:b/>
          <w:sz w:val="24"/>
          <w:szCs w:val="24"/>
        </w:rPr>
        <w:t xml:space="preserve">第四十二条 </w:t>
      </w:r>
      <w:r>
        <w:rPr>
          <w:rFonts w:hint="eastAsia" w:ascii="宋体" w:hAnsi="宋体" w:cs="宋体"/>
          <w:sz w:val="24"/>
          <w:szCs w:val="24"/>
        </w:rPr>
        <w:t>在争议协商、调解、仲裁或起诉过程中，双方仍应继续履行本合同约定的责任和义务。</w:t>
      </w:r>
    </w:p>
    <w:p>
      <w:pPr>
        <w:tabs>
          <w:tab w:val="left" w:pos="-180"/>
        </w:tabs>
        <w:ind w:firstLine="420" w:firstLineChars="200"/>
        <w:rPr>
          <w:rFonts w:ascii="宋体" w:hAnsi="宋体" w:cs="宋体"/>
        </w:rPr>
      </w:pPr>
    </w:p>
    <w:p>
      <w:pPr>
        <w:tabs>
          <w:tab w:val="left" w:pos="-180"/>
        </w:tabs>
        <w:spacing w:after="120" w:afterLines="50" w:line="360" w:lineRule="auto"/>
        <w:jc w:val="center"/>
        <w:rPr>
          <w:rFonts w:ascii="宋体" w:hAnsi="宋体" w:cs="宋体"/>
          <w:bCs/>
          <w:sz w:val="32"/>
        </w:rPr>
      </w:pPr>
      <w:bookmarkStart w:id="447" w:name="_Toc268165550"/>
      <w:bookmarkStart w:id="448" w:name="_Toc175129679"/>
      <w:bookmarkStart w:id="449" w:name="_Toc173557437"/>
      <w:bookmarkStart w:id="450" w:name="_Toc247340054"/>
      <w:bookmarkStart w:id="451" w:name="_Toc243808239"/>
      <w:r>
        <w:rPr>
          <w:rFonts w:hint="eastAsia" w:ascii="宋体" w:hAnsi="宋体" w:cs="宋体"/>
          <w:bCs/>
          <w:sz w:val="32"/>
        </w:rPr>
        <w:t>其他</w:t>
      </w:r>
      <w:bookmarkEnd w:id="447"/>
      <w:bookmarkEnd w:id="448"/>
      <w:bookmarkEnd w:id="449"/>
      <w:bookmarkEnd w:id="450"/>
      <w:bookmarkEnd w:id="451"/>
    </w:p>
    <w:p>
      <w:pPr>
        <w:tabs>
          <w:tab w:val="left" w:pos="-180"/>
        </w:tabs>
        <w:spacing w:line="360" w:lineRule="auto"/>
        <w:ind w:firstLine="482" w:firstLineChars="200"/>
        <w:rPr>
          <w:rFonts w:ascii="宋体" w:hAnsi="宋体" w:cs="宋体"/>
          <w:sz w:val="24"/>
          <w:szCs w:val="24"/>
        </w:rPr>
      </w:pPr>
      <w:r>
        <w:rPr>
          <w:rFonts w:hint="eastAsia" w:ascii="宋体" w:hAnsi="宋体" w:cs="宋体"/>
          <w:b/>
          <w:bCs/>
          <w:sz w:val="24"/>
          <w:szCs w:val="24"/>
        </w:rPr>
        <w:t xml:space="preserve">第四十三条 </w:t>
      </w:r>
      <w:r>
        <w:rPr>
          <w:rFonts w:hint="eastAsia" w:ascii="宋体" w:hAnsi="宋体" w:cs="宋体"/>
          <w:sz w:val="24"/>
          <w:szCs w:val="24"/>
        </w:rPr>
        <w:t>委托人可以对监理人提出并落实的合理化建议给予奖励。奖励办法在专用合同条款中约定。</w:t>
      </w:r>
    </w:p>
    <w:p>
      <w:pPr>
        <w:jc w:val="center"/>
        <w:rPr>
          <w:rFonts w:ascii="宋体" w:hAnsi="宋体" w:cs="宋体"/>
          <w:bCs/>
          <w:sz w:val="36"/>
        </w:rPr>
      </w:pPr>
    </w:p>
    <w:p>
      <w:pPr>
        <w:widowControl/>
        <w:jc w:val="left"/>
        <w:rPr>
          <w:rFonts w:ascii="宋体" w:hAnsi="宋体" w:cs="宋体"/>
          <w:b/>
          <w:sz w:val="36"/>
          <w:szCs w:val="36"/>
        </w:rPr>
      </w:pPr>
      <w:r>
        <w:rPr>
          <w:rFonts w:hint="eastAsia" w:ascii="宋体" w:hAnsi="宋体" w:cs="宋体"/>
          <w:b/>
          <w:sz w:val="36"/>
          <w:szCs w:val="36"/>
        </w:rPr>
        <w:br w:type="page"/>
      </w:r>
    </w:p>
    <w:p>
      <w:pPr>
        <w:jc w:val="center"/>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第二部分专用合同条款</w:t>
      </w:r>
    </w:p>
    <w:p>
      <w:pPr>
        <w:tabs>
          <w:tab w:val="left" w:pos="-180"/>
        </w:tabs>
        <w:spacing w:after="120" w:afterLines="50" w:line="360" w:lineRule="auto"/>
        <w:rPr>
          <w:rFonts w:ascii="宋体" w:hAnsi="宋体" w:cs="宋体"/>
          <w:bCs/>
          <w:sz w:val="32"/>
        </w:rPr>
      </w:pPr>
    </w:p>
    <w:p>
      <w:pPr>
        <w:tabs>
          <w:tab w:val="left" w:pos="-180"/>
        </w:tabs>
        <w:spacing w:after="120" w:afterLines="50" w:line="360" w:lineRule="auto"/>
        <w:jc w:val="center"/>
        <w:rPr>
          <w:rFonts w:ascii="宋体" w:hAnsi="宋体" w:cs="宋体"/>
          <w:bCs/>
          <w:sz w:val="32"/>
        </w:rPr>
      </w:pPr>
      <w:bookmarkStart w:id="452" w:name="_Toc175129680"/>
      <w:bookmarkStart w:id="453" w:name="_Toc268165551"/>
      <w:bookmarkStart w:id="454" w:name="_Toc243808240"/>
      <w:bookmarkStart w:id="455" w:name="_Toc247340055"/>
      <w:bookmarkStart w:id="456" w:name="_Toc173557438"/>
      <w:r>
        <w:rPr>
          <w:rFonts w:hint="eastAsia" w:ascii="宋体" w:hAnsi="宋体" w:cs="宋体"/>
          <w:bCs/>
          <w:sz w:val="32"/>
        </w:rPr>
        <w:t>监理依据</w:t>
      </w:r>
      <w:bookmarkEnd w:id="452"/>
      <w:bookmarkEnd w:id="453"/>
      <w:bookmarkEnd w:id="454"/>
      <w:bookmarkEnd w:id="455"/>
      <w:bookmarkEnd w:id="456"/>
    </w:p>
    <w:p>
      <w:pPr>
        <w:spacing w:line="360" w:lineRule="auto"/>
        <w:ind w:firstLine="270" w:firstLineChars="112"/>
        <w:rPr>
          <w:rFonts w:ascii="宋体" w:hAnsi="宋体" w:cs="宋体"/>
          <w:b/>
          <w:sz w:val="24"/>
          <w:szCs w:val="24"/>
        </w:rPr>
      </w:pPr>
      <w:r>
        <w:rPr>
          <w:rFonts w:hint="eastAsia" w:ascii="宋体" w:hAnsi="宋体" w:cs="宋体"/>
          <w:b/>
          <w:sz w:val="24"/>
          <w:szCs w:val="24"/>
        </w:rPr>
        <w:t xml:space="preserve">第一条 </w:t>
      </w:r>
      <w:r>
        <w:rPr>
          <w:rFonts w:hint="eastAsia" w:ascii="宋体" w:hAnsi="宋体" w:cs="宋体"/>
          <w:sz w:val="24"/>
          <w:szCs w:val="24"/>
        </w:rPr>
        <w:t>本合同的监理标准和依据为：</w:t>
      </w:r>
    </w:p>
    <w:p>
      <w:pPr>
        <w:spacing w:line="360" w:lineRule="auto"/>
        <w:ind w:firstLine="420"/>
        <w:rPr>
          <w:rFonts w:ascii="宋体" w:hAnsi="宋体" w:cs="宋体"/>
          <w:sz w:val="24"/>
          <w:szCs w:val="24"/>
        </w:rPr>
      </w:pPr>
      <w:r>
        <w:rPr>
          <w:rFonts w:hint="eastAsia" w:ascii="宋体" w:hAnsi="宋体" w:cs="宋体"/>
          <w:sz w:val="24"/>
          <w:szCs w:val="24"/>
        </w:rPr>
        <w:t>（1）政府关于本项目的批复</w:t>
      </w:r>
    </w:p>
    <w:p>
      <w:pPr>
        <w:spacing w:line="360" w:lineRule="auto"/>
        <w:ind w:firstLine="420"/>
        <w:rPr>
          <w:rFonts w:ascii="宋体" w:hAnsi="宋体" w:cs="宋体"/>
          <w:sz w:val="24"/>
          <w:szCs w:val="24"/>
        </w:rPr>
      </w:pPr>
      <w:r>
        <w:rPr>
          <w:rFonts w:hint="eastAsia" w:ascii="宋体" w:hAnsi="宋体" w:cs="宋体"/>
          <w:sz w:val="24"/>
          <w:szCs w:val="24"/>
        </w:rPr>
        <w:t>（2）《信息化工程监理规范》GB/T 19668</w:t>
      </w:r>
    </w:p>
    <w:p>
      <w:pPr>
        <w:spacing w:line="360" w:lineRule="auto"/>
        <w:ind w:left="426"/>
        <w:rPr>
          <w:rFonts w:ascii="宋体" w:hAnsi="宋体" w:cs="宋体"/>
          <w:sz w:val="24"/>
          <w:szCs w:val="24"/>
        </w:rPr>
      </w:pPr>
      <w:r>
        <w:rPr>
          <w:rFonts w:hint="eastAsia" w:ascii="宋体" w:hAnsi="宋体" w:cs="宋体"/>
          <w:sz w:val="24"/>
          <w:szCs w:val="24"/>
        </w:rPr>
        <w:t>（3）委托人与监理人签订的监理合同书</w:t>
      </w:r>
    </w:p>
    <w:p>
      <w:pPr>
        <w:spacing w:line="360" w:lineRule="auto"/>
        <w:ind w:left="426"/>
        <w:rPr>
          <w:rFonts w:ascii="宋体" w:hAnsi="宋体" w:cs="宋体"/>
          <w:sz w:val="24"/>
          <w:szCs w:val="24"/>
        </w:rPr>
      </w:pPr>
      <w:r>
        <w:rPr>
          <w:rFonts w:hint="eastAsia" w:ascii="宋体" w:hAnsi="宋体" w:cs="宋体"/>
          <w:bCs/>
          <w:sz w:val="24"/>
          <w:szCs w:val="24"/>
        </w:rPr>
        <w:t>（4）项目</w:t>
      </w:r>
      <w:r>
        <w:rPr>
          <w:rFonts w:hint="eastAsia" w:ascii="宋体" w:hAnsi="宋体" w:cs="宋体"/>
          <w:sz w:val="24"/>
          <w:szCs w:val="24"/>
        </w:rPr>
        <w:t>运营服务方案</w:t>
      </w:r>
    </w:p>
    <w:p>
      <w:pPr>
        <w:spacing w:line="360" w:lineRule="auto"/>
        <w:ind w:left="426"/>
        <w:rPr>
          <w:rFonts w:hint="eastAsia" w:ascii="宋体" w:hAnsi="宋体" w:cs="宋体"/>
          <w:sz w:val="24"/>
          <w:szCs w:val="24"/>
        </w:rPr>
      </w:pPr>
      <w:r>
        <w:rPr>
          <w:rFonts w:hint="eastAsia" w:ascii="宋体" w:hAnsi="宋体" w:cs="宋体"/>
          <w:sz w:val="24"/>
          <w:szCs w:val="24"/>
        </w:rPr>
        <w:t>（5）委托人与受托人签订的项目服务合同</w:t>
      </w:r>
    </w:p>
    <w:p>
      <w:pPr>
        <w:spacing w:line="360" w:lineRule="auto"/>
        <w:ind w:left="426"/>
        <w:rPr>
          <w:rFonts w:ascii="宋体" w:hAnsi="宋体" w:cs="宋体"/>
          <w:sz w:val="24"/>
          <w:szCs w:val="24"/>
        </w:rPr>
      </w:pPr>
      <w:r>
        <w:rPr>
          <w:rFonts w:hint="eastAsia" w:ascii="宋体" w:hAnsi="宋体" w:cs="宋体"/>
          <w:sz w:val="24"/>
          <w:szCs w:val="24"/>
        </w:rPr>
        <w:t>（6）《信息技术服务 运行维护 第6 部分：应用系统服务规范》</w:t>
      </w:r>
    </w:p>
    <w:p>
      <w:pPr>
        <w:spacing w:line="360" w:lineRule="auto"/>
        <w:ind w:left="426"/>
        <w:rPr>
          <w:rFonts w:ascii="宋体" w:hAnsi="宋体" w:cs="宋体"/>
          <w:sz w:val="24"/>
          <w:szCs w:val="24"/>
        </w:rPr>
      </w:pPr>
      <w:r>
        <w:rPr>
          <w:rFonts w:hint="eastAsia" w:ascii="宋体" w:hAnsi="宋体" w:cs="宋体"/>
          <w:sz w:val="24"/>
          <w:szCs w:val="24"/>
        </w:rPr>
        <w:t>（7）《信息技术服务 运行维护 第1 部分：通用要求》GB/T 28827.1</w:t>
      </w:r>
    </w:p>
    <w:p>
      <w:pPr>
        <w:spacing w:line="360" w:lineRule="auto"/>
        <w:ind w:left="426"/>
        <w:rPr>
          <w:rFonts w:ascii="宋体" w:hAnsi="宋体" w:cs="宋体"/>
          <w:sz w:val="24"/>
          <w:szCs w:val="24"/>
        </w:rPr>
      </w:pPr>
      <w:r>
        <w:rPr>
          <w:rFonts w:hint="eastAsia" w:ascii="宋体" w:hAnsi="宋体" w:cs="宋体"/>
          <w:sz w:val="24"/>
          <w:szCs w:val="24"/>
        </w:rPr>
        <w:t>（8）《信息技术服务 运行维护 第2 部分：交付规范》GB/T 28827.2</w:t>
      </w:r>
    </w:p>
    <w:p>
      <w:pPr>
        <w:spacing w:line="360" w:lineRule="auto"/>
        <w:ind w:left="426"/>
        <w:rPr>
          <w:rFonts w:ascii="宋体" w:hAnsi="宋体" w:cs="宋体"/>
          <w:sz w:val="24"/>
          <w:szCs w:val="24"/>
        </w:rPr>
      </w:pPr>
      <w:r>
        <w:rPr>
          <w:rFonts w:hint="eastAsia" w:ascii="宋体" w:hAnsi="宋体" w:cs="宋体"/>
          <w:sz w:val="24"/>
          <w:szCs w:val="24"/>
        </w:rPr>
        <w:t>（9）《信息技术服务 运行维护 第3 部分：应急响应规范》GB/T 28827.3</w:t>
      </w:r>
    </w:p>
    <w:p>
      <w:pPr>
        <w:spacing w:line="360" w:lineRule="auto"/>
        <w:ind w:left="426"/>
        <w:rPr>
          <w:rFonts w:ascii="宋体" w:hAnsi="宋体" w:cs="宋体"/>
          <w:sz w:val="24"/>
          <w:szCs w:val="24"/>
        </w:rPr>
      </w:pPr>
      <w:r>
        <w:rPr>
          <w:rFonts w:hint="eastAsia" w:ascii="宋体" w:hAnsi="宋体" w:cs="宋体"/>
          <w:sz w:val="24"/>
          <w:szCs w:val="24"/>
        </w:rPr>
        <w:t>（10）《信息技术服务 运行维护 第4 部分：数据中心服务规范》</w:t>
      </w:r>
    </w:p>
    <w:p>
      <w:pPr>
        <w:spacing w:line="360" w:lineRule="auto"/>
        <w:ind w:left="426"/>
        <w:rPr>
          <w:rFonts w:ascii="宋体" w:hAnsi="宋体" w:cs="宋体"/>
          <w:sz w:val="24"/>
          <w:szCs w:val="24"/>
        </w:rPr>
      </w:pPr>
      <w:r>
        <w:rPr>
          <w:rFonts w:hint="eastAsia" w:ascii="宋体" w:hAnsi="宋体" w:cs="宋体"/>
          <w:sz w:val="24"/>
          <w:szCs w:val="24"/>
        </w:rPr>
        <w:t>（11）《信息技术服务 运行维护 第5 部分：桌面及外围设备服务规范》</w:t>
      </w:r>
    </w:p>
    <w:p>
      <w:pPr>
        <w:spacing w:line="360" w:lineRule="auto"/>
        <w:ind w:left="426"/>
        <w:rPr>
          <w:rFonts w:ascii="宋体" w:hAnsi="宋体" w:cs="宋体"/>
          <w:sz w:val="24"/>
          <w:szCs w:val="24"/>
        </w:rPr>
      </w:pPr>
      <w:r>
        <w:rPr>
          <w:rFonts w:hint="eastAsia" w:ascii="宋体" w:hAnsi="宋体" w:cs="宋体"/>
          <w:sz w:val="24"/>
          <w:szCs w:val="24"/>
        </w:rPr>
        <w:t>（12）监理合同有效期内，政府主管部门颁布的涉及本工程的其它政策法规</w:t>
      </w:r>
    </w:p>
    <w:p>
      <w:pPr>
        <w:spacing w:line="360" w:lineRule="auto"/>
        <w:rPr>
          <w:rFonts w:ascii="宋体" w:hAnsi="宋体" w:cs="宋体"/>
          <w:bCs/>
          <w:sz w:val="32"/>
        </w:rPr>
      </w:pPr>
    </w:p>
    <w:p>
      <w:pPr>
        <w:spacing w:line="360" w:lineRule="auto"/>
        <w:jc w:val="center"/>
        <w:rPr>
          <w:rFonts w:ascii="宋体" w:hAnsi="宋体" w:cs="宋体"/>
          <w:bCs/>
          <w:sz w:val="32"/>
        </w:rPr>
      </w:pPr>
      <w:bookmarkStart w:id="457" w:name="_Toc243808241"/>
      <w:bookmarkStart w:id="458" w:name="_Toc247340056"/>
      <w:bookmarkStart w:id="459" w:name="_Toc268165552"/>
      <w:bookmarkStart w:id="460" w:name="_Toc173557439"/>
      <w:bookmarkStart w:id="461" w:name="_Toc175129681"/>
      <w:r>
        <w:rPr>
          <w:rFonts w:hint="eastAsia" w:ascii="宋体" w:hAnsi="宋体" w:cs="宋体"/>
          <w:bCs/>
          <w:sz w:val="32"/>
        </w:rPr>
        <w:t>委托人的权利</w:t>
      </w:r>
      <w:bookmarkEnd w:id="457"/>
      <w:bookmarkEnd w:id="458"/>
      <w:bookmarkEnd w:id="459"/>
      <w:bookmarkEnd w:id="460"/>
      <w:bookmarkEnd w:id="461"/>
    </w:p>
    <w:p>
      <w:pPr>
        <w:spacing w:line="360" w:lineRule="auto"/>
        <w:ind w:firstLine="270" w:firstLineChars="112"/>
        <w:rPr>
          <w:rFonts w:ascii="宋体" w:hAnsi="宋体" w:cs="宋体"/>
          <w:bCs/>
          <w:sz w:val="24"/>
          <w:szCs w:val="24"/>
        </w:rPr>
      </w:pPr>
      <w:bookmarkStart w:id="462" w:name="_Toc175129682"/>
      <w:bookmarkStart w:id="463" w:name="_Toc173557440"/>
      <w:bookmarkStart w:id="464" w:name="_Toc247340057"/>
      <w:bookmarkStart w:id="465" w:name="_Toc268165553"/>
      <w:bookmarkStart w:id="466" w:name="_Toc243808242"/>
      <w:r>
        <w:rPr>
          <w:rFonts w:hint="eastAsia" w:ascii="宋体" w:hAnsi="宋体" w:cs="宋体"/>
          <w:b/>
          <w:sz w:val="24"/>
          <w:szCs w:val="24"/>
        </w:rPr>
        <w:t>第二条</w:t>
      </w:r>
      <w:bookmarkEnd w:id="462"/>
      <w:bookmarkEnd w:id="463"/>
      <w:bookmarkEnd w:id="464"/>
      <w:bookmarkEnd w:id="465"/>
      <w:bookmarkEnd w:id="466"/>
      <w:bookmarkStart w:id="467" w:name="_Toc268165554"/>
      <w:bookmarkStart w:id="468" w:name="_Toc243808243"/>
      <w:bookmarkStart w:id="469" w:name="_Toc173557441"/>
      <w:bookmarkStart w:id="470" w:name="_Toc247340058"/>
      <w:bookmarkStart w:id="471" w:name="_Toc175129683"/>
      <w:r>
        <w:rPr>
          <w:rFonts w:hint="eastAsia" w:ascii="宋体" w:hAnsi="宋体" w:cs="宋体"/>
          <w:b/>
          <w:sz w:val="24"/>
          <w:szCs w:val="24"/>
        </w:rPr>
        <w:t xml:space="preserve"> </w:t>
      </w:r>
      <w:r>
        <w:rPr>
          <w:rFonts w:hint="eastAsia" w:ascii="宋体" w:hAnsi="宋体" w:cs="宋体"/>
          <w:bCs/>
          <w:sz w:val="24"/>
          <w:szCs w:val="24"/>
        </w:rPr>
        <w:t>当监理人发生下列违约情形时，委托人有权解除合同：</w:t>
      </w:r>
      <w:bookmarkEnd w:id="467"/>
      <w:bookmarkEnd w:id="468"/>
      <w:bookmarkEnd w:id="469"/>
      <w:bookmarkEnd w:id="470"/>
      <w:bookmarkEnd w:id="471"/>
    </w:p>
    <w:p>
      <w:pPr>
        <w:spacing w:line="360" w:lineRule="auto"/>
        <w:ind w:firstLine="960" w:firstLineChars="400"/>
        <w:rPr>
          <w:rFonts w:ascii="宋体" w:hAnsi="宋体" w:cs="宋体"/>
          <w:sz w:val="24"/>
          <w:szCs w:val="24"/>
        </w:rPr>
      </w:pPr>
      <w:r>
        <w:rPr>
          <w:rFonts w:hint="eastAsia" w:ascii="宋体" w:hAnsi="宋体" w:cs="宋体"/>
          <w:sz w:val="24"/>
          <w:szCs w:val="24"/>
        </w:rPr>
        <w:t>1、未经委托人同意，更换总监理工程师；</w:t>
      </w:r>
    </w:p>
    <w:p>
      <w:pPr>
        <w:spacing w:line="360" w:lineRule="auto"/>
        <w:ind w:firstLine="960" w:firstLineChars="400"/>
        <w:rPr>
          <w:rFonts w:ascii="宋体" w:hAnsi="宋体" w:cs="宋体"/>
          <w:sz w:val="24"/>
          <w:szCs w:val="24"/>
        </w:rPr>
      </w:pPr>
      <w:r>
        <w:rPr>
          <w:rFonts w:hint="eastAsia" w:ascii="宋体" w:hAnsi="宋体" w:cs="宋体"/>
          <w:sz w:val="24"/>
          <w:szCs w:val="24"/>
        </w:rPr>
        <w:t>2、未按本合同约定或相关规程规范履行监理义务，致使不能实现合同目的；</w:t>
      </w:r>
    </w:p>
    <w:p>
      <w:pPr>
        <w:spacing w:line="360" w:lineRule="auto"/>
        <w:ind w:firstLine="960" w:firstLineChars="400"/>
        <w:rPr>
          <w:rFonts w:ascii="宋体" w:hAnsi="宋体" w:cs="宋体"/>
          <w:sz w:val="24"/>
          <w:szCs w:val="24"/>
        </w:rPr>
      </w:pPr>
      <w:r>
        <w:rPr>
          <w:rFonts w:hint="eastAsia" w:ascii="宋体" w:hAnsi="宋体" w:cs="宋体"/>
          <w:sz w:val="24"/>
          <w:szCs w:val="24"/>
        </w:rPr>
        <w:t>3、以下无内容。</w:t>
      </w:r>
    </w:p>
    <w:p>
      <w:pPr>
        <w:tabs>
          <w:tab w:val="left" w:pos="-180"/>
        </w:tabs>
        <w:spacing w:after="120" w:afterLines="50" w:line="360" w:lineRule="auto"/>
        <w:jc w:val="center"/>
        <w:rPr>
          <w:rFonts w:ascii="宋体" w:hAnsi="宋体" w:cs="宋体"/>
          <w:bCs/>
          <w:sz w:val="32"/>
        </w:rPr>
      </w:pPr>
      <w:bookmarkStart w:id="472" w:name="_Toc243808244"/>
      <w:bookmarkStart w:id="473" w:name="_Toc175129684"/>
      <w:bookmarkStart w:id="474" w:name="_Toc173557442"/>
      <w:bookmarkStart w:id="475" w:name="_Toc247340059"/>
    </w:p>
    <w:p>
      <w:pPr>
        <w:tabs>
          <w:tab w:val="left" w:pos="-180"/>
        </w:tabs>
        <w:spacing w:after="120" w:afterLines="50" w:line="360" w:lineRule="auto"/>
        <w:jc w:val="center"/>
        <w:rPr>
          <w:rFonts w:ascii="宋体" w:hAnsi="宋体" w:cs="宋体"/>
          <w:bCs/>
          <w:sz w:val="32"/>
        </w:rPr>
      </w:pPr>
      <w:bookmarkStart w:id="476" w:name="_Toc268165555"/>
      <w:r>
        <w:rPr>
          <w:rFonts w:hint="eastAsia" w:ascii="宋体" w:hAnsi="宋体" w:cs="宋体"/>
          <w:bCs/>
          <w:sz w:val="32"/>
        </w:rPr>
        <w:t>监理人的权利</w:t>
      </w:r>
      <w:bookmarkEnd w:id="472"/>
      <w:bookmarkEnd w:id="473"/>
      <w:bookmarkEnd w:id="474"/>
      <w:bookmarkEnd w:id="475"/>
      <w:bookmarkEnd w:id="476"/>
    </w:p>
    <w:p>
      <w:pPr>
        <w:spacing w:line="360" w:lineRule="auto"/>
        <w:ind w:firstLine="236" w:firstLineChars="98"/>
        <w:rPr>
          <w:rFonts w:ascii="宋体" w:hAnsi="宋体" w:cs="宋体"/>
          <w:bCs/>
          <w:sz w:val="24"/>
          <w:szCs w:val="24"/>
        </w:rPr>
      </w:pPr>
      <w:bookmarkStart w:id="477" w:name="_Toc175129685"/>
      <w:bookmarkStart w:id="478" w:name="_Toc268165556"/>
      <w:bookmarkStart w:id="479" w:name="_Toc173557443"/>
      <w:bookmarkStart w:id="480" w:name="_Toc243808245"/>
      <w:bookmarkStart w:id="481" w:name="_Toc247340060"/>
      <w:r>
        <w:rPr>
          <w:rFonts w:hint="eastAsia" w:ascii="宋体" w:hAnsi="宋体" w:cs="宋体"/>
          <w:b/>
          <w:sz w:val="24"/>
          <w:szCs w:val="24"/>
        </w:rPr>
        <w:t>第三条</w:t>
      </w:r>
      <w:bookmarkEnd w:id="477"/>
      <w:bookmarkEnd w:id="478"/>
      <w:bookmarkEnd w:id="479"/>
      <w:bookmarkEnd w:id="480"/>
      <w:bookmarkEnd w:id="481"/>
      <w:r>
        <w:rPr>
          <w:rFonts w:hint="eastAsia" w:ascii="宋体" w:hAnsi="宋体" w:cs="宋体"/>
          <w:b/>
          <w:sz w:val="24"/>
          <w:szCs w:val="24"/>
        </w:rPr>
        <w:t xml:space="preserve"> </w:t>
      </w:r>
      <w:bookmarkStart w:id="482" w:name="_Toc175129686"/>
      <w:bookmarkStart w:id="483" w:name="_Toc243808246"/>
      <w:bookmarkStart w:id="484" w:name="_Toc268165557"/>
      <w:bookmarkStart w:id="485" w:name="_Toc173557444"/>
      <w:bookmarkStart w:id="486" w:name="_Toc247340061"/>
      <w:r>
        <w:rPr>
          <w:rFonts w:hint="eastAsia" w:ascii="宋体" w:hAnsi="宋体" w:cs="宋体"/>
          <w:bCs/>
          <w:sz w:val="24"/>
          <w:szCs w:val="24"/>
        </w:rPr>
        <w:t>当委托人发生下列违约情形时，监理人有权解除合同：</w:t>
      </w:r>
      <w:bookmarkEnd w:id="482"/>
      <w:bookmarkEnd w:id="483"/>
      <w:bookmarkEnd w:id="484"/>
      <w:bookmarkEnd w:id="485"/>
      <w:bookmarkEnd w:id="486"/>
    </w:p>
    <w:p>
      <w:pPr>
        <w:spacing w:line="360" w:lineRule="auto"/>
        <w:ind w:firstLine="960" w:firstLineChars="400"/>
        <w:rPr>
          <w:rFonts w:ascii="宋体" w:hAnsi="宋体" w:cs="宋体"/>
          <w:sz w:val="24"/>
          <w:szCs w:val="24"/>
        </w:rPr>
      </w:pPr>
      <w:r>
        <w:rPr>
          <w:rFonts w:hint="eastAsia" w:ascii="宋体" w:hAnsi="宋体" w:cs="宋体"/>
          <w:sz w:val="24"/>
          <w:szCs w:val="24"/>
        </w:rPr>
        <w:t>1、不能及时（政府财政资金到位进度因素除外）按合同约定支付监理酬金；</w:t>
      </w:r>
    </w:p>
    <w:p>
      <w:pPr>
        <w:spacing w:line="360" w:lineRule="auto"/>
        <w:ind w:firstLine="960" w:firstLineChars="400"/>
        <w:rPr>
          <w:rFonts w:ascii="宋体" w:hAnsi="宋体" w:cs="宋体"/>
          <w:sz w:val="24"/>
          <w:szCs w:val="24"/>
        </w:rPr>
      </w:pPr>
      <w:r>
        <w:rPr>
          <w:rFonts w:hint="eastAsia" w:ascii="宋体" w:hAnsi="宋体" w:cs="宋体"/>
          <w:sz w:val="24"/>
          <w:szCs w:val="24"/>
        </w:rPr>
        <w:t>2、以下无内容。</w:t>
      </w:r>
    </w:p>
    <w:p>
      <w:pPr>
        <w:tabs>
          <w:tab w:val="left" w:pos="-180"/>
        </w:tabs>
        <w:spacing w:after="120" w:afterLines="50" w:line="360" w:lineRule="auto"/>
        <w:jc w:val="center"/>
        <w:rPr>
          <w:rFonts w:ascii="宋体" w:hAnsi="宋体" w:cs="宋体"/>
          <w:bCs/>
          <w:sz w:val="32"/>
        </w:rPr>
      </w:pPr>
      <w:bookmarkStart w:id="487" w:name="_Toc247340064"/>
      <w:bookmarkStart w:id="488" w:name="_Toc243808249"/>
      <w:bookmarkStart w:id="489" w:name="_Toc175129689"/>
      <w:bookmarkStart w:id="490" w:name="_Toc173557448"/>
    </w:p>
    <w:p>
      <w:pPr>
        <w:tabs>
          <w:tab w:val="left" w:pos="-180"/>
        </w:tabs>
        <w:spacing w:after="120" w:afterLines="50" w:line="360" w:lineRule="auto"/>
        <w:jc w:val="center"/>
        <w:rPr>
          <w:rFonts w:ascii="宋体" w:hAnsi="宋体" w:cs="宋体"/>
          <w:bCs/>
          <w:sz w:val="32"/>
        </w:rPr>
      </w:pPr>
      <w:bookmarkStart w:id="491" w:name="_Toc268165560"/>
      <w:r>
        <w:rPr>
          <w:rFonts w:hint="eastAsia" w:ascii="宋体" w:hAnsi="宋体" w:cs="宋体"/>
          <w:bCs/>
          <w:sz w:val="32"/>
        </w:rPr>
        <w:t>委托人的义务</w:t>
      </w:r>
      <w:bookmarkEnd w:id="487"/>
      <w:bookmarkEnd w:id="488"/>
      <w:bookmarkEnd w:id="489"/>
      <w:bookmarkEnd w:id="490"/>
      <w:bookmarkEnd w:id="491"/>
    </w:p>
    <w:p>
      <w:pPr>
        <w:spacing w:line="360" w:lineRule="auto"/>
        <w:ind w:firstLine="435"/>
        <w:rPr>
          <w:rFonts w:ascii="宋体" w:hAnsi="宋体" w:cs="宋体"/>
          <w:szCs w:val="21"/>
        </w:rPr>
      </w:pPr>
      <w:bookmarkStart w:id="492" w:name="_Toc175129690"/>
      <w:bookmarkStart w:id="493" w:name="_Toc173557449"/>
      <w:bookmarkStart w:id="494" w:name="_Toc247340065"/>
      <w:bookmarkStart w:id="495" w:name="_Toc268165561"/>
      <w:bookmarkStart w:id="496" w:name="_Toc243808250"/>
      <w:r>
        <w:rPr>
          <w:rFonts w:hint="eastAsia" w:ascii="宋体" w:hAnsi="宋体" w:cs="宋体"/>
          <w:b/>
          <w:szCs w:val="21"/>
        </w:rPr>
        <w:t xml:space="preserve">第四条 </w:t>
      </w:r>
      <w:r>
        <w:rPr>
          <w:rFonts w:hint="eastAsia" w:ascii="宋体" w:hAnsi="宋体" w:cs="宋体"/>
          <w:szCs w:val="21"/>
        </w:rPr>
        <w:t>委托人向监理机构免费提供的资料为：</w:t>
      </w:r>
      <w:bookmarkEnd w:id="492"/>
      <w:bookmarkEnd w:id="493"/>
      <w:bookmarkEnd w:id="494"/>
      <w:bookmarkEnd w:id="495"/>
      <w:bookmarkEnd w:id="496"/>
    </w:p>
    <w:tbl>
      <w:tblPr>
        <w:tblStyle w:val="48"/>
        <w:tblW w:w="836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567"/>
        <w:gridCol w:w="2673"/>
        <w:gridCol w:w="720"/>
        <w:gridCol w:w="1285"/>
        <w:gridCol w:w="1276"/>
        <w:gridCol w:w="18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20" w:lineRule="exact"/>
              <w:ind w:left="-91"/>
              <w:jc w:val="center"/>
              <w:rPr>
                <w:rFonts w:ascii="宋体" w:hAnsi="宋体" w:cs="宋体"/>
                <w:szCs w:val="21"/>
              </w:rPr>
            </w:pPr>
            <w:r>
              <w:rPr>
                <w:rFonts w:hint="eastAsia" w:ascii="宋体" w:hAnsi="宋体" w:cs="宋体"/>
                <w:szCs w:val="21"/>
              </w:rPr>
              <w:t>序号</w:t>
            </w:r>
          </w:p>
        </w:tc>
        <w:tc>
          <w:tcPr>
            <w:tcW w:w="2673" w:type="dxa"/>
            <w:vAlign w:val="center"/>
          </w:tcPr>
          <w:p>
            <w:pPr>
              <w:spacing w:line="320" w:lineRule="exact"/>
              <w:ind w:left="-91"/>
              <w:jc w:val="center"/>
              <w:rPr>
                <w:rFonts w:ascii="宋体" w:hAnsi="宋体" w:cs="宋体"/>
                <w:szCs w:val="21"/>
              </w:rPr>
            </w:pPr>
            <w:r>
              <w:rPr>
                <w:rFonts w:hint="eastAsia" w:ascii="宋体" w:hAnsi="宋体" w:cs="宋体"/>
                <w:szCs w:val="21"/>
              </w:rPr>
              <w:t>资料名称</w:t>
            </w:r>
          </w:p>
        </w:tc>
        <w:tc>
          <w:tcPr>
            <w:tcW w:w="720" w:type="dxa"/>
            <w:vAlign w:val="center"/>
          </w:tcPr>
          <w:p>
            <w:pPr>
              <w:spacing w:line="320" w:lineRule="exact"/>
              <w:ind w:left="-91"/>
              <w:jc w:val="center"/>
              <w:rPr>
                <w:rFonts w:ascii="宋体" w:hAnsi="宋体" w:cs="宋体"/>
                <w:szCs w:val="21"/>
              </w:rPr>
            </w:pPr>
            <w:r>
              <w:rPr>
                <w:rFonts w:hint="eastAsia" w:ascii="宋体" w:hAnsi="宋体" w:cs="宋体"/>
                <w:szCs w:val="21"/>
              </w:rPr>
              <w:t>份数</w:t>
            </w:r>
          </w:p>
        </w:tc>
        <w:tc>
          <w:tcPr>
            <w:tcW w:w="1285" w:type="dxa"/>
            <w:vAlign w:val="center"/>
          </w:tcPr>
          <w:p>
            <w:pPr>
              <w:spacing w:line="320" w:lineRule="exact"/>
              <w:ind w:left="-91"/>
              <w:jc w:val="center"/>
              <w:rPr>
                <w:rFonts w:ascii="宋体" w:hAnsi="宋体" w:cs="宋体"/>
                <w:szCs w:val="21"/>
              </w:rPr>
            </w:pPr>
            <w:r>
              <w:rPr>
                <w:rFonts w:hint="eastAsia" w:ascii="宋体" w:hAnsi="宋体" w:cs="宋体"/>
                <w:szCs w:val="21"/>
              </w:rPr>
              <w:t>提供时间</w:t>
            </w:r>
          </w:p>
        </w:tc>
        <w:tc>
          <w:tcPr>
            <w:tcW w:w="1276" w:type="dxa"/>
            <w:vAlign w:val="center"/>
          </w:tcPr>
          <w:p>
            <w:pPr>
              <w:spacing w:line="320" w:lineRule="exact"/>
              <w:ind w:left="-91"/>
              <w:jc w:val="center"/>
              <w:rPr>
                <w:rFonts w:ascii="宋体" w:hAnsi="宋体" w:cs="宋体"/>
                <w:szCs w:val="21"/>
              </w:rPr>
            </w:pPr>
            <w:r>
              <w:rPr>
                <w:rFonts w:hint="eastAsia" w:ascii="宋体" w:hAnsi="宋体" w:cs="宋体"/>
                <w:szCs w:val="21"/>
              </w:rPr>
              <w:t>收回时间</w:t>
            </w:r>
          </w:p>
        </w:tc>
        <w:tc>
          <w:tcPr>
            <w:tcW w:w="1843" w:type="dxa"/>
            <w:vAlign w:val="center"/>
          </w:tcPr>
          <w:p>
            <w:pPr>
              <w:spacing w:line="320" w:lineRule="exact"/>
              <w:ind w:left="-91" w:right="-107"/>
              <w:jc w:val="center"/>
              <w:rPr>
                <w:rFonts w:ascii="宋体" w:hAnsi="宋体" w:cs="宋体"/>
                <w:szCs w:val="21"/>
              </w:rPr>
            </w:pPr>
            <w:r>
              <w:rPr>
                <w:rFonts w:hint="eastAsia" w:ascii="宋体" w:hAnsi="宋体" w:cs="宋体"/>
                <w:szCs w:val="21"/>
              </w:rPr>
              <w:t>保存和保密要求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20" w:lineRule="exact"/>
              <w:ind w:left="-91"/>
              <w:jc w:val="center"/>
              <w:rPr>
                <w:rFonts w:ascii="宋体" w:hAnsi="宋体" w:cs="宋体"/>
                <w:szCs w:val="21"/>
              </w:rPr>
            </w:pPr>
            <w:r>
              <w:rPr>
                <w:rFonts w:hint="eastAsia" w:ascii="宋体" w:hAnsi="宋体" w:cs="宋体"/>
                <w:szCs w:val="21"/>
              </w:rPr>
              <w:t>1</w:t>
            </w:r>
          </w:p>
        </w:tc>
        <w:tc>
          <w:tcPr>
            <w:tcW w:w="2673" w:type="dxa"/>
            <w:vAlign w:val="center"/>
          </w:tcPr>
          <w:p>
            <w:pPr>
              <w:spacing w:line="320" w:lineRule="exact"/>
              <w:ind w:left="-91"/>
              <w:rPr>
                <w:rFonts w:ascii="宋体" w:hAnsi="宋体" w:cs="宋体"/>
                <w:szCs w:val="21"/>
              </w:rPr>
            </w:pPr>
            <w:r>
              <w:rPr>
                <w:rFonts w:hint="eastAsia" w:ascii="宋体" w:hAnsi="宋体" w:cs="宋体"/>
                <w:szCs w:val="21"/>
              </w:rPr>
              <w:t>主管部门批准的项目建设文件及附件</w:t>
            </w:r>
          </w:p>
        </w:tc>
        <w:tc>
          <w:tcPr>
            <w:tcW w:w="720" w:type="dxa"/>
            <w:vAlign w:val="center"/>
          </w:tcPr>
          <w:p>
            <w:pPr>
              <w:spacing w:line="320" w:lineRule="exact"/>
              <w:ind w:left="-91"/>
              <w:jc w:val="center"/>
              <w:rPr>
                <w:rFonts w:ascii="宋体" w:hAnsi="宋体" w:cs="宋体"/>
                <w:szCs w:val="21"/>
              </w:rPr>
            </w:pPr>
          </w:p>
        </w:tc>
        <w:tc>
          <w:tcPr>
            <w:tcW w:w="1285" w:type="dxa"/>
            <w:vAlign w:val="center"/>
          </w:tcPr>
          <w:p>
            <w:pPr>
              <w:spacing w:line="320" w:lineRule="exact"/>
              <w:ind w:left="-91"/>
              <w:jc w:val="center"/>
              <w:rPr>
                <w:rFonts w:ascii="宋体" w:hAnsi="宋体" w:cs="宋体"/>
                <w:szCs w:val="21"/>
              </w:rPr>
            </w:pPr>
            <w:r>
              <w:rPr>
                <w:rFonts w:hint="eastAsia" w:ascii="宋体" w:hAnsi="宋体" w:cs="宋体"/>
                <w:szCs w:val="21"/>
              </w:rPr>
              <w:t>合同生效后</w:t>
            </w:r>
          </w:p>
        </w:tc>
        <w:tc>
          <w:tcPr>
            <w:tcW w:w="1276" w:type="dxa"/>
            <w:vAlign w:val="center"/>
          </w:tcPr>
          <w:p>
            <w:pPr>
              <w:spacing w:line="320" w:lineRule="exact"/>
              <w:ind w:left="-91"/>
              <w:jc w:val="center"/>
              <w:rPr>
                <w:rFonts w:ascii="宋体" w:hAnsi="宋体" w:cs="宋体"/>
                <w:szCs w:val="21"/>
              </w:rPr>
            </w:pPr>
            <w:r>
              <w:rPr>
                <w:rFonts w:hint="eastAsia" w:ascii="宋体" w:hAnsi="宋体" w:cs="宋体"/>
                <w:szCs w:val="21"/>
              </w:rPr>
              <w:t>合同终止时</w:t>
            </w:r>
          </w:p>
        </w:tc>
        <w:tc>
          <w:tcPr>
            <w:tcW w:w="1843" w:type="dxa"/>
            <w:vAlign w:val="center"/>
          </w:tcPr>
          <w:p>
            <w:pPr>
              <w:spacing w:line="320" w:lineRule="exact"/>
              <w:ind w:left="-91"/>
              <w:rPr>
                <w:rFonts w:ascii="宋体" w:hAnsi="宋体" w:cs="宋体"/>
                <w:szCs w:val="21"/>
              </w:rPr>
            </w:pPr>
            <w:r>
              <w:rPr>
                <w:rFonts w:hint="eastAsia" w:ascii="宋体" w:hAnsi="宋体" w:cs="宋体"/>
                <w:szCs w:val="21"/>
              </w:rPr>
              <w:t>保密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20" w:lineRule="exact"/>
              <w:ind w:left="-91"/>
              <w:jc w:val="center"/>
              <w:rPr>
                <w:rFonts w:ascii="宋体" w:hAnsi="宋体" w:cs="宋体"/>
                <w:szCs w:val="21"/>
              </w:rPr>
            </w:pPr>
            <w:r>
              <w:rPr>
                <w:rFonts w:hint="eastAsia" w:ascii="宋体" w:hAnsi="宋体" w:cs="宋体"/>
                <w:szCs w:val="21"/>
              </w:rPr>
              <w:t>2</w:t>
            </w:r>
          </w:p>
        </w:tc>
        <w:tc>
          <w:tcPr>
            <w:tcW w:w="2673" w:type="dxa"/>
            <w:vAlign w:val="center"/>
          </w:tcPr>
          <w:p>
            <w:pPr>
              <w:spacing w:line="320" w:lineRule="exact"/>
              <w:ind w:left="-91"/>
              <w:rPr>
                <w:rFonts w:ascii="宋体" w:hAnsi="宋体" w:cs="宋体"/>
                <w:szCs w:val="21"/>
              </w:rPr>
            </w:pPr>
            <w:r>
              <w:rPr>
                <w:rFonts w:hint="eastAsia" w:ascii="宋体" w:hAnsi="宋体" w:cs="宋体"/>
                <w:szCs w:val="21"/>
              </w:rPr>
              <w:t>双方确认的项目服务方案</w:t>
            </w:r>
          </w:p>
        </w:tc>
        <w:tc>
          <w:tcPr>
            <w:tcW w:w="720" w:type="dxa"/>
            <w:vAlign w:val="center"/>
          </w:tcPr>
          <w:p>
            <w:pPr>
              <w:spacing w:line="320" w:lineRule="exact"/>
              <w:ind w:left="-91"/>
              <w:jc w:val="center"/>
              <w:rPr>
                <w:rFonts w:ascii="宋体" w:hAnsi="宋体" w:cs="宋体"/>
                <w:szCs w:val="21"/>
              </w:rPr>
            </w:pPr>
          </w:p>
        </w:tc>
        <w:tc>
          <w:tcPr>
            <w:tcW w:w="1285" w:type="dxa"/>
            <w:vAlign w:val="center"/>
          </w:tcPr>
          <w:p>
            <w:pPr>
              <w:spacing w:line="320" w:lineRule="exact"/>
              <w:ind w:left="-91"/>
              <w:jc w:val="center"/>
              <w:rPr>
                <w:rFonts w:ascii="宋体" w:hAnsi="宋体" w:cs="宋体"/>
                <w:szCs w:val="21"/>
              </w:rPr>
            </w:pPr>
            <w:r>
              <w:rPr>
                <w:rFonts w:hint="eastAsia" w:ascii="宋体" w:hAnsi="宋体" w:cs="宋体"/>
                <w:szCs w:val="21"/>
              </w:rPr>
              <w:t>合同生效后</w:t>
            </w:r>
          </w:p>
        </w:tc>
        <w:tc>
          <w:tcPr>
            <w:tcW w:w="1276" w:type="dxa"/>
            <w:vAlign w:val="center"/>
          </w:tcPr>
          <w:p>
            <w:pPr>
              <w:spacing w:line="320" w:lineRule="exact"/>
              <w:ind w:left="-91"/>
              <w:jc w:val="center"/>
              <w:rPr>
                <w:rFonts w:ascii="宋体" w:hAnsi="宋体" w:cs="宋体"/>
                <w:szCs w:val="21"/>
              </w:rPr>
            </w:pPr>
            <w:r>
              <w:rPr>
                <w:rFonts w:hint="eastAsia" w:ascii="宋体" w:hAnsi="宋体" w:cs="宋体"/>
                <w:szCs w:val="21"/>
              </w:rPr>
              <w:t>合同终止时</w:t>
            </w:r>
          </w:p>
        </w:tc>
        <w:tc>
          <w:tcPr>
            <w:tcW w:w="1843" w:type="dxa"/>
            <w:vAlign w:val="center"/>
          </w:tcPr>
          <w:p>
            <w:pPr>
              <w:spacing w:line="320" w:lineRule="exact"/>
              <w:ind w:left="-91" w:right="-107"/>
              <w:rPr>
                <w:rFonts w:ascii="宋体" w:hAnsi="宋体" w:cs="宋体"/>
                <w:szCs w:val="21"/>
              </w:rPr>
            </w:pPr>
            <w:r>
              <w:rPr>
                <w:rFonts w:hint="eastAsia" w:ascii="宋体" w:hAnsi="宋体" w:cs="宋体"/>
                <w:szCs w:val="21"/>
              </w:rPr>
              <w:t>不得流入非相关单位及个人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20" w:lineRule="exact"/>
              <w:ind w:left="-91"/>
              <w:jc w:val="center"/>
              <w:rPr>
                <w:rFonts w:ascii="宋体" w:hAnsi="宋体" w:cs="宋体"/>
                <w:szCs w:val="21"/>
              </w:rPr>
            </w:pPr>
            <w:r>
              <w:rPr>
                <w:rFonts w:hint="eastAsia" w:ascii="宋体" w:hAnsi="宋体" w:cs="宋体"/>
                <w:szCs w:val="21"/>
              </w:rPr>
              <w:t>3</w:t>
            </w:r>
          </w:p>
        </w:tc>
        <w:tc>
          <w:tcPr>
            <w:tcW w:w="2673" w:type="dxa"/>
            <w:vAlign w:val="center"/>
          </w:tcPr>
          <w:p>
            <w:pPr>
              <w:spacing w:line="320" w:lineRule="exact"/>
              <w:ind w:left="-91"/>
              <w:rPr>
                <w:rFonts w:ascii="宋体" w:hAnsi="宋体" w:cs="宋体"/>
                <w:szCs w:val="21"/>
              </w:rPr>
            </w:pPr>
            <w:r>
              <w:rPr>
                <w:rFonts w:hint="eastAsia" w:ascii="宋体" w:hAnsi="宋体" w:cs="宋体"/>
                <w:szCs w:val="21"/>
              </w:rPr>
              <w:t>有关技术资料</w:t>
            </w:r>
          </w:p>
        </w:tc>
        <w:tc>
          <w:tcPr>
            <w:tcW w:w="720" w:type="dxa"/>
            <w:vAlign w:val="center"/>
          </w:tcPr>
          <w:p>
            <w:pPr>
              <w:spacing w:line="320" w:lineRule="exact"/>
              <w:ind w:left="-91"/>
              <w:jc w:val="center"/>
              <w:rPr>
                <w:rFonts w:ascii="宋体" w:hAnsi="宋体" w:cs="宋体"/>
                <w:szCs w:val="21"/>
              </w:rPr>
            </w:pPr>
          </w:p>
        </w:tc>
        <w:tc>
          <w:tcPr>
            <w:tcW w:w="1285" w:type="dxa"/>
            <w:vAlign w:val="center"/>
          </w:tcPr>
          <w:p>
            <w:pPr>
              <w:spacing w:line="320" w:lineRule="exact"/>
              <w:ind w:left="-91"/>
              <w:jc w:val="center"/>
              <w:rPr>
                <w:rFonts w:ascii="宋体" w:hAnsi="宋体" w:cs="宋体"/>
                <w:szCs w:val="21"/>
              </w:rPr>
            </w:pPr>
            <w:r>
              <w:rPr>
                <w:rFonts w:hint="eastAsia" w:ascii="宋体" w:hAnsi="宋体" w:cs="宋体"/>
                <w:szCs w:val="21"/>
              </w:rPr>
              <w:t>合同生效后</w:t>
            </w:r>
          </w:p>
        </w:tc>
        <w:tc>
          <w:tcPr>
            <w:tcW w:w="1276" w:type="dxa"/>
            <w:vAlign w:val="center"/>
          </w:tcPr>
          <w:p>
            <w:pPr>
              <w:spacing w:line="320" w:lineRule="exact"/>
              <w:ind w:left="-91"/>
              <w:jc w:val="center"/>
              <w:rPr>
                <w:rFonts w:ascii="宋体" w:hAnsi="宋体" w:cs="宋体"/>
                <w:szCs w:val="21"/>
              </w:rPr>
            </w:pPr>
            <w:r>
              <w:rPr>
                <w:rFonts w:hint="eastAsia" w:ascii="宋体" w:hAnsi="宋体" w:cs="宋体"/>
                <w:szCs w:val="21"/>
              </w:rPr>
              <w:t>合同终止时</w:t>
            </w:r>
          </w:p>
        </w:tc>
        <w:tc>
          <w:tcPr>
            <w:tcW w:w="1843" w:type="dxa"/>
            <w:vAlign w:val="center"/>
          </w:tcPr>
          <w:p>
            <w:pPr>
              <w:spacing w:line="320" w:lineRule="exact"/>
              <w:ind w:left="-91" w:right="-107"/>
              <w:rPr>
                <w:rFonts w:ascii="宋体" w:hAnsi="宋体" w:cs="宋体"/>
                <w:szCs w:val="21"/>
              </w:rPr>
            </w:pPr>
            <w:r>
              <w:rPr>
                <w:rFonts w:hint="eastAsia" w:ascii="宋体" w:hAnsi="宋体" w:cs="宋体"/>
                <w:szCs w:val="21"/>
              </w:rPr>
              <w:t>不得流入非相关单位及个人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20" w:lineRule="exact"/>
              <w:ind w:left="-91"/>
              <w:jc w:val="center"/>
              <w:rPr>
                <w:rFonts w:ascii="宋体" w:hAnsi="宋体" w:cs="宋体"/>
                <w:szCs w:val="21"/>
              </w:rPr>
            </w:pPr>
            <w:r>
              <w:rPr>
                <w:rFonts w:hint="eastAsia" w:ascii="宋体" w:hAnsi="宋体" w:cs="宋体"/>
                <w:szCs w:val="21"/>
              </w:rPr>
              <w:t>4</w:t>
            </w:r>
          </w:p>
        </w:tc>
        <w:tc>
          <w:tcPr>
            <w:tcW w:w="2673" w:type="dxa"/>
            <w:vAlign w:val="center"/>
          </w:tcPr>
          <w:p>
            <w:pPr>
              <w:spacing w:line="320" w:lineRule="exact"/>
              <w:ind w:left="-91"/>
              <w:rPr>
                <w:rFonts w:ascii="宋体" w:hAnsi="宋体" w:cs="宋体"/>
                <w:szCs w:val="21"/>
              </w:rPr>
            </w:pPr>
            <w:r>
              <w:rPr>
                <w:rFonts w:hint="eastAsia" w:ascii="宋体" w:hAnsi="宋体" w:cs="宋体"/>
                <w:szCs w:val="21"/>
              </w:rPr>
              <w:t>与有关受托人签订的合同</w:t>
            </w:r>
          </w:p>
        </w:tc>
        <w:tc>
          <w:tcPr>
            <w:tcW w:w="720" w:type="dxa"/>
            <w:vAlign w:val="center"/>
          </w:tcPr>
          <w:p>
            <w:pPr>
              <w:spacing w:line="320" w:lineRule="exact"/>
              <w:ind w:left="-91"/>
              <w:jc w:val="center"/>
              <w:rPr>
                <w:rFonts w:ascii="宋体" w:hAnsi="宋体" w:cs="宋体"/>
                <w:szCs w:val="21"/>
              </w:rPr>
            </w:pPr>
          </w:p>
        </w:tc>
        <w:tc>
          <w:tcPr>
            <w:tcW w:w="1285" w:type="dxa"/>
            <w:vAlign w:val="center"/>
          </w:tcPr>
          <w:p>
            <w:pPr>
              <w:spacing w:line="320" w:lineRule="exact"/>
              <w:ind w:left="-91"/>
              <w:jc w:val="center"/>
              <w:rPr>
                <w:rFonts w:ascii="宋体" w:hAnsi="宋体" w:cs="宋体"/>
                <w:szCs w:val="21"/>
              </w:rPr>
            </w:pPr>
            <w:r>
              <w:rPr>
                <w:rFonts w:hint="eastAsia" w:ascii="宋体" w:hAnsi="宋体" w:cs="宋体"/>
                <w:szCs w:val="21"/>
              </w:rPr>
              <w:t>合同生效后</w:t>
            </w:r>
          </w:p>
        </w:tc>
        <w:tc>
          <w:tcPr>
            <w:tcW w:w="1276" w:type="dxa"/>
            <w:vAlign w:val="center"/>
          </w:tcPr>
          <w:p>
            <w:pPr>
              <w:spacing w:line="320" w:lineRule="exact"/>
              <w:ind w:left="-91"/>
              <w:jc w:val="center"/>
              <w:rPr>
                <w:rFonts w:ascii="宋体" w:hAnsi="宋体" w:cs="宋体"/>
                <w:szCs w:val="21"/>
              </w:rPr>
            </w:pPr>
            <w:r>
              <w:rPr>
                <w:rFonts w:hint="eastAsia" w:ascii="宋体" w:hAnsi="宋体" w:cs="宋体"/>
                <w:szCs w:val="21"/>
              </w:rPr>
              <w:t>合同终止时</w:t>
            </w:r>
          </w:p>
        </w:tc>
        <w:tc>
          <w:tcPr>
            <w:tcW w:w="1843" w:type="dxa"/>
            <w:vAlign w:val="center"/>
          </w:tcPr>
          <w:p>
            <w:pPr>
              <w:spacing w:line="320" w:lineRule="exact"/>
              <w:ind w:left="-91"/>
              <w:rPr>
                <w:rFonts w:ascii="宋体" w:hAnsi="宋体" w:cs="宋体"/>
                <w:szCs w:val="21"/>
              </w:rPr>
            </w:pPr>
            <w:r>
              <w:rPr>
                <w:rFonts w:hint="eastAsia" w:ascii="宋体" w:hAnsi="宋体" w:cs="宋体"/>
                <w:szCs w:val="21"/>
              </w:rPr>
              <w:t>保密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57" w:type="dxa"/>
            <w:left w:w="108" w:type="dxa"/>
            <w:bottom w:w="57" w:type="dxa"/>
            <w:right w:w="108" w:type="dxa"/>
          </w:tblCellMar>
        </w:tblPrEx>
        <w:trPr>
          <w:trHeight w:val="340" w:hRule="atLeast"/>
        </w:trPr>
        <w:tc>
          <w:tcPr>
            <w:tcW w:w="567" w:type="dxa"/>
            <w:vAlign w:val="center"/>
          </w:tcPr>
          <w:p>
            <w:pPr>
              <w:spacing w:line="320" w:lineRule="exact"/>
              <w:ind w:left="-91"/>
              <w:jc w:val="center"/>
              <w:rPr>
                <w:rFonts w:ascii="宋体" w:hAnsi="宋体" w:cs="宋体"/>
                <w:szCs w:val="21"/>
              </w:rPr>
            </w:pPr>
            <w:r>
              <w:rPr>
                <w:rFonts w:hint="eastAsia" w:ascii="宋体" w:hAnsi="宋体" w:cs="宋体"/>
                <w:szCs w:val="21"/>
              </w:rPr>
              <w:t>5</w:t>
            </w:r>
          </w:p>
        </w:tc>
        <w:tc>
          <w:tcPr>
            <w:tcW w:w="2673" w:type="dxa"/>
            <w:vAlign w:val="center"/>
          </w:tcPr>
          <w:p>
            <w:pPr>
              <w:spacing w:line="320" w:lineRule="exact"/>
              <w:ind w:left="-91"/>
              <w:rPr>
                <w:rFonts w:ascii="宋体" w:hAnsi="宋体" w:cs="宋体"/>
                <w:szCs w:val="21"/>
              </w:rPr>
            </w:pPr>
            <w:r>
              <w:rPr>
                <w:rFonts w:hint="eastAsia" w:ascii="宋体" w:hAnsi="宋体" w:cs="宋体"/>
                <w:szCs w:val="21"/>
              </w:rPr>
              <w:t>监理方要求的其他有关资料</w:t>
            </w:r>
          </w:p>
        </w:tc>
        <w:tc>
          <w:tcPr>
            <w:tcW w:w="720" w:type="dxa"/>
            <w:vAlign w:val="center"/>
          </w:tcPr>
          <w:p>
            <w:pPr>
              <w:spacing w:line="320" w:lineRule="exact"/>
              <w:ind w:left="-91"/>
              <w:jc w:val="center"/>
              <w:rPr>
                <w:rFonts w:ascii="宋体" w:hAnsi="宋体" w:cs="宋体"/>
                <w:szCs w:val="21"/>
              </w:rPr>
            </w:pPr>
          </w:p>
        </w:tc>
        <w:tc>
          <w:tcPr>
            <w:tcW w:w="1285" w:type="dxa"/>
            <w:vAlign w:val="center"/>
          </w:tcPr>
          <w:p>
            <w:pPr>
              <w:spacing w:line="320" w:lineRule="exact"/>
              <w:ind w:left="-91"/>
              <w:jc w:val="center"/>
              <w:rPr>
                <w:rFonts w:ascii="宋体" w:hAnsi="宋体" w:cs="宋体"/>
                <w:szCs w:val="21"/>
              </w:rPr>
            </w:pPr>
            <w:r>
              <w:rPr>
                <w:rFonts w:hint="eastAsia" w:ascii="宋体" w:hAnsi="宋体" w:cs="宋体"/>
                <w:szCs w:val="21"/>
              </w:rPr>
              <w:t>合同生效后</w:t>
            </w:r>
          </w:p>
        </w:tc>
        <w:tc>
          <w:tcPr>
            <w:tcW w:w="1276" w:type="dxa"/>
            <w:vAlign w:val="center"/>
          </w:tcPr>
          <w:p>
            <w:pPr>
              <w:spacing w:line="320" w:lineRule="exact"/>
              <w:ind w:left="-91"/>
              <w:jc w:val="center"/>
              <w:rPr>
                <w:rFonts w:ascii="宋体" w:hAnsi="宋体" w:cs="宋体"/>
                <w:szCs w:val="21"/>
              </w:rPr>
            </w:pPr>
            <w:r>
              <w:rPr>
                <w:rFonts w:hint="eastAsia" w:ascii="宋体" w:hAnsi="宋体" w:cs="宋体"/>
                <w:szCs w:val="21"/>
              </w:rPr>
              <w:t>合同终止时</w:t>
            </w:r>
          </w:p>
        </w:tc>
        <w:tc>
          <w:tcPr>
            <w:tcW w:w="1843" w:type="dxa"/>
            <w:vAlign w:val="center"/>
          </w:tcPr>
          <w:p>
            <w:pPr>
              <w:spacing w:line="320" w:lineRule="exact"/>
              <w:ind w:left="-91"/>
              <w:rPr>
                <w:rFonts w:ascii="宋体" w:hAnsi="宋体" w:cs="宋体"/>
                <w:szCs w:val="21"/>
              </w:rPr>
            </w:pPr>
            <w:r>
              <w:rPr>
                <w:rFonts w:hint="eastAsia" w:ascii="宋体" w:hAnsi="宋体" w:cs="宋体"/>
                <w:szCs w:val="21"/>
              </w:rPr>
              <w:t>不得流入非相关单位及个人</w:t>
            </w:r>
          </w:p>
        </w:tc>
      </w:tr>
    </w:tbl>
    <w:p>
      <w:pPr>
        <w:spacing w:line="360" w:lineRule="auto"/>
        <w:ind w:firstLine="435"/>
        <w:rPr>
          <w:rFonts w:ascii="宋体" w:hAnsi="宋体" w:cs="宋体"/>
          <w:sz w:val="24"/>
        </w:rPr>
      </w:pPr>
    </w:p>
    <w:p>
      <w:pPr>
        <w:spacing w:line="360" w:lineRule="auto"/>
        <w:ind w:firstLine="482"/>
        <w:rPr>
          <w:rFonts w:ascii="宋体" w:hAnsi="宋体" w:cs="宋体"/>
          <w:sz w:val="24"/>
          <w:szCs w:val="24"/>
        </w:rPr>
      </w:pPr>
      <w:r>
        <w:rPr>
          <w:rFonts w:hint="eastAsia" w:ascii="宋体" w:hAnsi="宋体" w:cs="宋体"/>
          <w:b/>
          <w:sz w:val="24"/>
          <w:szCs w:val="24"/>
        </w:rPr>
        <w:t xml:space="preserve">第五条 </w:t>
      </w:r>
      <w:r>
        <w:rPr>
          <w:rFonts w:hint="eastAsia" w:ascii="宋体" w:hAnsi="宋体" w:cs="宋体"/>
          <w:sz w:val="24"/>
          <w:szCs w:val="24"/>
        </w:rPr>
        <w:t>委托人对监理机构书面提交并要求作出决定的事宜，作出书面决定并送达的时限：</w:t>
      </w:r>
    </w:p>
    <w:p>
      <w:pPr>
        <w:spacing w:line="360" w:lineRule="auto"/>
        <w:ind w:firstLine="435"/>
        <w:rPr>
          <w:rFonts w:ascii="宋体" w:hAnsi="宋体" w:cs="宋体"/>
          <w:sz w:val="24"/>
          <w:szCs w:val="24"/>
        </w:rPr>
      </w:pPr>
      <w:r>
        <w:rPr>
          <w:rFonts w:hint="eastAsia" w:ascii="宋体" w:hAnsi="宋体" w:cs="宋体"/>
          <w:sz w:val="24"/>
          <w:szCs w:val="24"/>
        </w:rPr>
        <w:t>一般文件</w:t>
      </w:r>
      <w:r>
        <w:rPr>
          <w:rFonts w:hint="eastAsia" w:ascii="宋体" w:hAnsi="宋体" w:cs="宋体"/>
          <w:sz w:val="24"/>
          <w:szCs w:val="24"/>
          <w:u w:val="single"/>
        </w:rPr>
        <w:t xml:space="preserve"> 7 </w:t>
      </w:r>
      <w:r>
        <w:rPr>
          <w:rFonts w:hint="eastAsia" w:ascii="宋体" w:hAnsi="宋体" w:cs="宋体"/>
          <w:sz w:val="24"/>
          <w:szCs w:val="24"/>
        </w:rPr>
        <w:t>天；紧急事项、变更文件</w:t>
      </w:r>
      <w:r>
        <w:rPr>
          <w:rFonts w:hint="eastAsia" w:ascii="宋体" w:hAnsi="宋体" w:cs="宋体"/>
          <w:sz w:val="24"/>
          <w:szCs w:val="24"/>
          <w:u w:val="single"/>
        </w:rPr>
        <w:t xml:space="preserve"> 2 </w:t>
      </w:r>
      <w:r>
        <w:rPr>
          <w:rFonts w:hint="eastAsia" w:ascii="宋体" w:hAnsi="宋体" w:cs="宋体"/>
          <w:sz w:val="24"/>
          <w:szCs w:val="24"/>
        </w:rPr>
        <w:t>天。</w:t>
      </w:r>
    </w:p>
    <w:p>
      <w:pPr>
        <w:spacing w:line="360" w:lineRule="auto"/>
        <w:ind w:firstLine="435"/>
        <w:rPr>
          <w:rFonts w:ascii="宋体" w:hAnsi="宋体" w:cs="宋体"/>
          <w:b/>
          <w:sz w:val="24"/>
          <w:szCs w:val="24"/>
        </w:rPr>
      </w:pPr>
      <w:r>
        <w:rPr>
          <w:rFonts w:hint="eastAsia" w:ascii="宋体" w:hAnsi="宋体" w:cs="宋体"/>
          <w:b/>
          <w:sz w:val="24"/>
          <w:szCs w:val="24"/>
        </w:rPr>
        <w:t xml:space="preserve">第六条 </w:t>
      </w:r>
      <w:r>
        <w:rPr>
          <w:rFonts w:hint="eastAsia" w:ascii="宋体" w:hAnsi="宋体" w:cs="宋体"/>
          <w:sz w:val="24"/>
          <w:szCs w:val="24"/>
        </w:rPr>
        <w:t>委托人无偿向监理机构提供的工作、生活条件为：</w:t>
      </w:r>
    </w:p>
    <w:p>
      <w:pPr>
        <w:spacing w:line="360" w:lineRule="auto"/>
        <w:ind w:firstLine="437"/>
        <w:rPr>
          <w:rFonts w:ascii="宋体" w:hAnsi="宋体" w:cs="宋体"/>
          <w:sz w:val="24"/>
          <w:szCs w:val="24"/>
          <w:u w:val="single"/>
        </w:rPr>
      </w:pPr>
      <w:r>
        <w:rPr>
          <w:rFonts w:hint="eastAsia" w:ascii="宋体" w:hAnsi="宋体" w:cs="宋体"/>
          <w:sz w:val="24"/>
          <w:szCs w:val="24"/>
          <w:u w:val="single"/>
        </w:rPr>
        <w:t>必要的办公设施。</w:t>
      </w:r>
    </w:p>
    <w:p>
      <w:pPr>
        <w:spacing w:line="360" w:lineRule="auto"/>
        <w:ind w:firstLine="435"/>
        <w:rPr>
          <w:rFonts w:ascii="宋体" w:hAnsi="宋体" w:cs="宋体"/>
          <w:sz w:val="24"/>
          <w:szCs w:val="24"/>
        </w:rPr>
      </w:pPr>
      <w:r>
        <w:rPr>
          <w:rFonts w:hint="eastAsia" w:ascii="宋体" w:hAnsi="宋体" w:cs="宋体"/>
          <w:b/>
          <w:sz w:val="24"/>
          <w:szCs w:val="24"/>
        </w:rPr>
        <w:t xml:space="preserve">第七条 </w:t>
      </w:r>
      <w:r>
        <w:rPr>
          <w:rFonts w:hint="eastAsia" w:ascii="宋体" w:hAnsi="宋体" w:cs="宋体"/>
          <w:sz w:val="24"/>
          <w:szCs w:val="24"/>
        </w:rPr>
        <w:t>监理人自己投保人身意外伤害险和第三者责任险，费用已含投标报价中。</w:t>
      </w:r>
    </w:p>
    <w:p>
      <w:pPr>
        <w:spacing w:line="360" w:lineRule="auto"/>
        <w:ind w:firstLine="435"/>
        <w:rPr>
          <w:rFonts w:ascii="宋体" w:hAnsi="宋体" w:cs="宋体"/>
          <w:b/>
          <w:szCs w:val="21"/>
        </w:rPr>
      </w:pPr>
    </w:p>
    <w:p>
      <w:pPr>
        <w:tabs>
          <w:tab w:val="left" w:pos="-180"/>
        </w:tabs>
        <w:spacing w:after="120" w:afterLines="50" w:line="360" w:lineRule="auto"/>
        <w:jc w:val="center"/>
        <w:rPr>
          <w:rFonts w:ascii="宋体" w:hAnsi="宋体" w:cs="宋体"/>
          <w:bCs/>
          <w:sz w:val="32"/>
        </w:rPr>
      </w:pPr>
      <w:bookmarkStart w:id="497" w:name="_Toc247340066"/>
      <w:bookmarkStart w:id="498" w:name="_Toc243808251"/>
      <w:bookmarkStart w:id="499" w:name="_Toc173557450"/>
      <w:bookmarkStart w:id="500" w:name="_Toc175129691"/>
      <w:bookmarkStart w:id="501" w:name="_Toc268165562"/>
      <w:r>
        <w:rPr>
          <w:rFonts w:hint="eastAsia" w:ascii="宋体" w:hAnsi="宋体" w:cs="宋体"/>
          <w:bCs/>
          <w:sz w:val="32"/>
        </w:rPr>
        <w:t>监理人的义务</w:t>
      </w:r>
      <w:bookmarkEnd w:id="497"/>
      <w:bookmarkEnd w:id="498"/>
      <w:bookmarkEnd w:id="499"/>
      <w:bookmarkEnd w:id="500"/>
      <w:bookmarkEnd w:id="501"/>
    </w:p>
    <w:p>
      <w:pPr>
        <w:spacing w:line="360" w:lineRule="auto"/>
        <w:ind w:firstLine="482" w:firstLineChars="200"/>
        <w:rPr>
          <w:rFonts w:ascii="宋体" w:hAnsi="宋体" w:cs="宋体"/>
          <w:b/>
          <w:sz w:val="24"/>
          <w:szCs w:val="24"/>
        </w:rPr>
      </w:pPr>
      <w:r>
        <w:rPr>
          <w:rFonts w:hint="eastAsia" w:ascii="宋体" w:hAnsi="宋体" w:cs="宋体"/>
          <w:b/>
          <w:sz w:val="24"/>
          <w:szCs w:val="24"/>
        </w:rPr>
        <w:t xml:space="preserve">第八条 </w:t>
      </w:r>
      <w:r>
        <w:rPr>
          <w:rFonts w:hint="eastAsia" w:ascii="宋体" w:hAnsi="宋体" w:cs="宋体"/>
          <w:bCs/>
          <w:sz w:val="24"/>
          <w:szCs w:val="24"/>
        </w:rPr>
        <w:t xml:space="preserve">监理服务内容：提供与项目服务相关的咨询和监理服务，实现对项目质量、进度和合同金额等的管理和控制；协助委托人聚焦核心业务，降低项目风险。 </w:t>
      </w:r>
    </w:p>
    <w:p>
      <w:pPr>
        <w:spacing w:line="360" w:lineRule="auto"/>
        <w:ind w:firstLine="482" w:firstLineChars="200"/>
        <w:rPr>
          <w:rFonts w:ascii="宋体" w:hAnsi="宋体" w:cs="宋体"/>
          <w:sz w:val="24"/>
          <w:szCs w:val="24"/>
        </w:rPr>
      </w:pPr>
      <w:r>
        <w:rPr>
          <w:rFonts w:hint="eastAsia" w:ascii="宋体" w:hAnsi="宋体" w:cs="宋体"/>
          <w:b/>
          <w:sz w:val="24"/>
          <w:szCs w:val="24"/>
        </w:rPr>
        <w:t xml:space="preserve">第九条 </w:t>
      </w:r>
      <w:r>
        <w:rPr>
          <w:rFonts w:hint="eastAsia" w:ascii="宋体" w:hAnsi="宋体" w:cs="宋体"/>
          <w:sz w:val="24"/>
          <w:szCs w:val="24"/>
        </w:rPr>
        <w:t>监理人应当在本合同生效后</w:t>
      </w:r>
      <w:r>
        <w:rPr>
          <w:rFonts w:hint="eastAsia" w:ascii="宋体" w:hAnsi="宋体" w:cs="宋体"/>
          <w:sz w:val="24"/>
          <w:szCs w:val="24"/>
          <w:u w:val="single"/>
        </w:rPr>
        <w:t xml:space="preserve"> 7 </w:t>
      </w:r>
      <w:r>
        <w:rPr>
          <w:rFonts w:hint="eastAsia" w:ascii="宋体" w:hAnsi="宋体" w:cs="宋体"/>
          <w:sz w:val="24"/>
          <w:szCs w:val="24"/>
        </w:rPr>
        <w:t>天内组建监理机构。</w:t>
      </w:r>
    </w:p>
    <w:p>
      <w:pPr>
        <w:spacing w:line="360" w:lineRule="auto"/>
        <w:ind w:firstLine="472" w:firstLineChars="196"/>
        <w:rPr>
          <w:rFonts w:ascii="宋体" w:hAnsi="宋体" w:cs="宋体"/>
          <w:sz w:val="24"/>
          <w:szCs w:val="24"/>
        </w:rPr>
      </w:pPr>
      <w:r>
        <w:rPr>
          <w:rFonts w:hint="eastAsia" w:ascii="宋体" w:hAnsi="宋体" w:cs="宋体"/>
          <w:b/>
          <w:sz w:val="24"/>
          <w:szCs w:val="24"/>
        </w:rPr>
        <w:t xml:space="preserve">第十条 </w:t>
      </w:r>
      <w:r>
        <w:rPr>
          <w:rFonts w:hint="eastAsia" w:ascii="宋体" w:hAnsi="宋体" w:cs="宋体"/>
          <w:sz w:val="24"/>
          <w:szCs w:val="24"/>
        </w:rPr>
        <w:t>需旁站监理的工程重要部位是：无</w:t>
      </w:r>
    </w:p>
    <w:p>
      <w:pPr>
        <w:spacing w:line="360" w:lineRule="auto"/>
        <w:ind w:firstLine="1320" w:firstLineChars="550"/>
        <w:rPr>
          <w:rFonts w:ascii="宋体" w:hAnsi="宋体" w:cs="宋体"/>
          <w:sz w:val="24"/>
          <w:szCs w:val="24"/>
        </w:rPr>
      </w:pPr>
      <w:r>
        <w:rPr>
          <w:rFonts w:hint="eastAsia" w:ascii="宋体" w:hAnsi="宋体" w:cs="宋体"/>
          <w:sz w:val="24"/>
          <w:szCs w:val="24"/>
        </w:rPr>
        <w:t>需旁站监理的关键工序是：无</w:t>
      </w:r>
    </w:p>
    <w:p>
      <w:pPr>
        <w:tabs>
          <w:tab w:val="left" w:pos="-180"/>
        </w:tabs>
        <w:spacing w:line="360" w:lineRule="auto"/>
        <w:ind w:firstLine="463" w:firstLineChars="192"/>
        <w:rPr>
          <w:rFonts w:ascii="宋体" w:hAnsi="宋体" w:cs="宋体"/>
          <w:sz w:val="24"/>
          <w:szCs w:val="24"/>
        </w:rPr>
      </w:pPr>
      <w:r>
        <w:rPr>
          <w:rFonts w:hint="eastAsia" w:ascii="宋体" w:hAnsi="宋体" w:cs="宋体"/>
          <w:b/>
          <w:sz w:val="24"/>
          <w:szCs w:val="24"/>
        </w:rPr>
        <w:t xml:space="preserve">第十一条 </w:t>
      </w:r>
      <w:r>
        <w:rPr>
          <w:rFonts w:hint="eastAsia" w:ascii="宋体" w:hAnsi="宋体" w:cs="宋体"/>
          <w:bCs/>
          <w:sz w:val="24"/>
          <w:szCs w:val="24"/>
        </w:rPr>
        <w:t>委托人委托监理人主持的部分工程验收：</w:t>
      </w:r>
      <w:r>
        <w:rPr>
          <w:rFonts w:hint="eastAsia" w:ascii="宋体" w:hAnsi="宋体" w:cs="宋体"/>
          <w:sz w:val="24"/>
          <w:szCs w:val="24"/>
          <w:u w:val="single"/>
        </w:rPr>
        <w:t>双方另行约定</w:t>
      </w:r>
      <w:r>
        <w:rPr>
          <w:rFonts w:hint="eastAsia" w:ascii="宋体" w:hAnsi="宋体" w:cs="宋体"/>
          <w:sz w:val="24"/>
          <w:szCs w:val="24"/>
        </w:rPr>
        <w:t>。</w:t>
      </w:r>
    </w:p>
    <w:p>
      <w:pPr>
        <w:spacing w:line="360" w:lineRule="auto"/>
        <w:ind w:firstLine="463" w:firstLineChars="192"/>
        <w:rPr>
          <w:rFonts w:ascii="宋体" w:hAnsi="宋体" w:cs="宋体"/>
          <w:sz w:val="24"/>
          <w:szCs w:val="24"/>
        </w:rPr>
      </w:pPr>
      <w:r>
        <w:rPr>
          <w:rFonts w:hint="eastAsia" w:ascii="宋体" w:hAnsi="宋体" w:cs="宋体"/>
          <w:b/>
          <w:sz w:val="24"/>
          <w:szCs w:val="24"/>
        </w:rPr>
        <w:t xml:space="preserve">第十二条 </w:t>
      </w:r>
      <w:r>
        <w:rPr>
          <w:rFonts w:hint="eastAsia" w:ascii="宋体" w:hAnsi="宋体" w:cs="宋体"/>
          <w:sz w:val="24"/>
          <w:szCs w:val="24"/>
        </w:rPr>
        <w:t>在本合同终止后，未征得委托人同意，不得泄露与本合同业务有关的技术、商务等</w:t>
      </w:r>
      <w:r>
        <w:rPr>
          <w:rFonts w:hint="eastAsia" w:ascii="宋体" w:hAnsi="宋体" w:cs="宋体"/>
          <w:sz w:val="24"/>
          <w:szCs w:val="24"/>
          <w:shd w:val="clear" w:color="auto" w:fill="FFFFFF"/>
        </w:rPr>
        <w:t>秘密</w:t>
      </w:r>
      <w:r>
        <w:rPr>
          <w:rFonts w:hint="eastAsia" w:ascii="宋体" w:hAnsi="宋体" w:cs="宋体"/>
          <w:sz w:val="24"/>
          <w:szCs w:val="24"/>
        </w:rPr>
        <w:t>。</w:t>
      </w:r>
    </w:p>
    <w:p>
      <w:pPr>
        <w:pStyle w:val="31"/>
        <w:pBdr>
          <w:bottom w:val="none" w:color="auto" w:sz="0" w:space="0"/>
        </w:pBdr>
        <w:tabs>
          <w:tab w:val="left" w:pos="-180"/>
          <w:tab w:val="clear" w:pos="4153"/>
          <w:tab w:val="clear" w:pos="8306"/>
        </w:tabs>
        <w:snapToGrid/>
        <w:spacing w:after="120" w:afterLines="50" w:line="360" w:lineRule="auto"/>
        <w:ind w:firstLine="482" w:firstLineChars="200"/>
        <w:jc w:val="both"/>
        <w:rPr>
          <w:rFonts w:ascii="宋体" w:hAnsi="宋体" w:eastAsia="宋体" w:cs="宋体"/>
          <w:bCs/>
          <w:sz w:val="24"/>
          <w:szCs w:val="24"/>
        </w:rPr>
      </w:pPr>
      <w:r>
        <w:rPr>
          <w:rFonts w:hint="eastAsia" w:ascii="宋体" w:hAnsi="宋体" w:eastAsia="宋体" w:cs="宋体"/>
          <w:b/>
          <w:sz w:val="24"/>
          <w:szCs w:val="24"/>
        </w:rPr>
        <w:t xml:space="preserve">第十三条 </w:t>
      </w:r>
      <w:r>
        <w:rPr>
          <w:rFonts w:hint="eastAsia" w:ascii="宋体" w:hAnsi="宋体" w:eastAsia="宋体" w:cs="宋体"/>
          <w:sz w:val="24"/>
          <w:szCs w:val="24"/>
        </w:rPr>
        <w:t>监理人应遵守监理人职责，以维护委托人利益为准，就本合同监理责任仅向委托人负责。</w:t>
      </w:r>
    </w:p>
    <w:p>
      <w:pPr>
        <w:tabs>
          <w:tab w:val="left" w:pos="-180"/>
        </w:tabs>
        <w:spacing w:after="120" w:afterLines="50" w:line="360" w:lineRule="auto"/>
        <w:jc w:val="center"/>
        <w:rPr>
          <w:rFonts w:ascii="宋体" w:hAnsi="宋体" w:cs="宋体"/>
          <w:bCs/>
          <w:sz w:val="32"/>
        </w:rPr>
      </w:pPr>
      <w:bookmarkStart w:id="502" w:name="_Toc173557451"/>
      <w:bookmarkStart w:id="503" w:name="_Toc268165563"/>
      <w:bookmarkStart w:id="504" w:name="_Toc175129692"/>
      <w:bookmarkStart w:id="505" w:name="_Toc243808252"/>
      <w:bookmarkStart w:id="506" w:name="_Toc247340067"/>
      <w:r>
        <w:rPr>
          <w:rFonts w:hint="eastAsia" w:ascii="宋体" w:hAnsi="宋体" w:cs="宋体"/>
          <w:bCs/>
          <w:sz w:val="32"/>
        </w:rPr>
        <w:t>监理服务酬金</w:t>
      </w:r>
      <w:bookmarkEnd w:id="502"/>
      <w:bookmarkEnd w:id="503"/>
      <w:bookmarkEnd w:id="504"/>
      <w:bookmarkEnd w:id="505"/>
      <w:bookmarkEnd w:id="506"/>
    </w:p>
    <w:p>
      <w:pPr>
        <w:spacing w:line="360" w:lineRule="auto"/>
        <w:ind w:firstLine="482" w:firstLineChars="200"/>
        <w:rPr>
          <w:rFonts w:ascii="宋体" w:hAnsi="宋体" w:cs="宋体"/>
          <w:sz w:val="24"/>
          <w:szCs w:val="24"/>
        </w:rPr>
      </w:pPr>
      <w:r>
        <w:rPr>
          <w:rFonts w:hint="eastAsia" w:ascii="宋体" w:hAnsi="宋体" w:cs="宋体"/>
          <w:b/>
          <w:sz w:val="24"/>
          <w:szCs w:val="24"/>
        </w:rPr>
        <w:t xml:space="preserve">第十四条 </w:t>
      </w:r>
      <w:r>
        <w:rPr>
          <w:rFonts w:hint="eastAsia" w:ascii="宋体" w:hAnsi="宋体" w:cs="宋体"/>
          <w:sz w:val="24"/>
          <w:szCs w:val="24"/>
        </w:rPr>
        <w:t>监理正常服务酬金支付方法：</w:t>
      </w:r>
    </w:p>
    <w:p>
      <w:pPr>
        <w:spacing w:line="360" w:lineRule="auto"/>
        <w:ind w:firstLine="480" w:firstLineChars="200"/>
        <w:rPr>
          <w:rFonts w:ascii="宋体" w:hAnsi="宋体" w:cs="宋体"/>
          <w:sz w:val="24"/>
          <w:szCs w:val="24"/>
        </w:rPr>
      </w:pPr>
      <w:bookmarkStart w:id="507" w:name="_Toc247340068"/>
      <w:bookmarkStart w:id="508" w:name="_Toc243808253"/>
      <w:bookmarkStart w:id="509" w:name="_Toc173557452"/>
      <w:bookmarkStart w:id="510" w:name="_Toc268165564"/>
      <w:bookmarkStart w:id="511" w:name="_Toc175129693"/>
      <w:r>
        <w:rPr>
          <w:rFonts w:hint="eastAsia" w:ascii="宋体" w:hAnsi="宋体" w:cs="宋体"/>
          <w:sz w:val="24"/>
          <w:szCs w:val="24"/>
        </w:rPr>
        <w:t>1、本项目监理服务酬金共计</w:t>
      </w:r>
      <w:r>
        <w:rPr>
          <w:rFonts w:hint="eastAsia" w:ascii="宋体" w:hAnsi="宋体" w:cs="宋体"/>
          <w:sz w:val="24"/>
          <w:szCs w:val="24"/>
          <w:u w:val="single"/>
        </w:rPr>
        <w:t xml:space="preserve">          元（大写：人民币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支付时间为：</w:t>
      </w:r>
      <w:r>
        <w:rPr>
          <w:rFonts w:hint="eastAsia" w:ascii="宋体" w:hAnsi="宋体" w:cs="宋体"/>
          <w:sz w:val="24"/>
          <w:szCs w:val="24"/>
          <w:u w:val="single"/>
        </w:rPr>
        <w:t>分期支付。</w:t>
      </w:r>
    </w:p>
    <w:p>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首付款：</w:t>
      </w:r>
      <w:bookmarkEnd w:id="507"/>
      <w:bookmarkEnd w:id="508"/>
      <w:bookmarkEnd w:id="509"/>
      <w:bookmarkEnd w:id="510"/>
      <w:bookmarkEnd w:id="511"/>
      <w:r>
        <w:rPr>
          <w:rFonts w:hint="eastAsia" w:ascii="宋体" w:hAnsi="宋体" w:cs="宋体"/>
          <w:sz w:val="24"/>
          <w:szCs w:val="24"/>
          <w:u w:val="single"/>
        </w:rPr>
        <w:t xml:space="preserve">合同金额的60% </w:t>
      </w:r>
    </w:p>
    <w:p>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进度款：合同金额的20%</w:t>
      </w:r>
    </w:p>
    <w:p>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 xml:space="preserve">最终验收：合同余款  </w:t>
      </w:r>
    </w:p>
    <w:p>
      <w:pPr>
        <w:pStyle w:val="2"/>
      </w:pPr>
      <w:r>
        <w:rPr>
          <w:rFonts w:hint="eastAsia"/>
        </w:rPr>
        <w:t>1项目完成签约和通过财政拨款账户缴纳资费的周期为15个月，因此甲方承诺在2025年12月31日前交纳已出账的当年全部费用,2026年费用将根据当年财政实际批复金额为准。甲方承诺分三次支付：合同签订</w:t>
      </w:r>
      <w:r>
        <w:t>后</w:t>
      </w:r>
      <w:r>
        <w:rPr>
          <w:rFonts w:hint="eastAsia"/>
        </w:rPr>
        <w:t>30个</w:t>
      </w:r>
      <w:r>
        <w:t>工作日</w:t>
      </w:r>
      <w:r>
        <w:rPr>
          <w:rFonts w:hint="eastAsia"/>
          <w:bCs w:val="0"/>
        </w:rPr>
        <w:t>，支付合同总价的</w:t>
      </w:r>
      <w:r>
        <w:rPr>
          <w:bCs w:val="0"/>
        </w:rPr>
        <w:t>60%，计￥</w:t>
      </w:r>
      <w:r>
        <w:rPr>
          <w:bCs w:val="0"/>
          <w:u w:val="single"/>
        </w:rPr>
        <w:t xml:space="preserve">    </w:t>
      </w:r>
      <w:r>
        <w:rPr>
          <w:rFonts w:hint="eastAsia"/>
          <w:bCs w:val="0"/>
        </w:rPr>
        <w:t>元（大写：</w:t>
      </w:r>
      <w:r>
        <w:rPr>
          <w:bCs w:val="0"/>
          <w:u w:val="single"/>
        </w:rPr>
        <w:t xml:space="preserve">    </w:t>
      </w:r>
      <w:r>
        <w:rPr>
          <w:rFonts w:hint="eastAsia"/>
          <w:bCs w:val="0"/>
        </w:rPr>
        <w:t>）；</w:t>
      </w:r>
      <w:r>
        <w:rPr>
          <w:rFonts w:hint="eastAsia"/>
        </w:rPr>
        <w:t>项目</w:t>
      </w:r>
      <w:r>
        <w:t>中期检查后</w:t>
      </w:r>
      <w:r>
        <w:rPr>
          <w:rFonts w:hint="eastAsia"/>
        </w:rPr>
        <w:t>30个</w:t>
      </w:r>
      <w:r>
        <w:t>工作日</w:t>
      </w:r>
      <w:r>
        <w:rPr>
          <w:rFonts w:hint="eastAsia"/>
          <w:bCs w:val="0"/>
        </w:rPr>
        <w:t>，支付合同总价的</w:t>
      </w:r>
      <w:r>
        <w:rPr>
          <w:bCs w:val="0"/>
        </w:rPr>
        <w:t>20%，计￥</w:t>
      </w:r>
      <w:r>
        <w:rPr>
          <w:bCs w:val="0"/>
          <w:u w:val="single"/>
        </w:rPr>
        <w:t xml:space="preserve">    </w:t>
      </w:r>
      <w:r>
        <w:rPr>
          <w:rFonts w:hint="eastAsia"/>
          <w:bCs w:val="0"/>
        </w:rPr>
        <w:t>元（大写：</w:t>
      </w:r>
      <w:r>
        <w:rPr>
          <w:bCs w:val="0"/>
          <w:u w:val="single"/>
        </w:rPr>
        <w:t xml:space="preserve">    </w:t>
      </w:r>
      <w:r>
        <w:rPr>
          <w:rFonts w:hint="eastAsia"/>
          <w:bCs w:val="0"/>
        </w:rPr>
        <w:t>）；</w:t>
      </w:r>
      <w:r>
        <w:rPr>
          <w:rFonts w:hint="eastAsia"/>
        </w:rPr>
        <w:t>项目</w:t>
      </w:r>
      <w:r>
        <w:t>竣工验收后</w:t>
      </w:r>
      <w:r>
        <w:rPr>
          <w:rFonts w:hint="eastAsia"/>
        </w:rPr>
        <w:t>30个</w:t>
      </w:r>
      <w:r>
        <w:t>工作日</w:t>
      </w:r>
      <w:r>
        <w:rPr>
          <w:rFonts w:hint="eastAsia"/>
        </w:rPr>
        <w:t>，根据财政实际批复支付合同尾款，为合同总价的20%计￥</w:t>
      </w:r>
      <w:r>
        <w:rPr>
          <w:rFonts w:hint="eastAsia"/>
          <w:u w:val="single"/>
        </w:rPr>
        <w:t xml:space="preserve">    </w:t>
      </w:r>
      <w:r>
        <w:rPr>
          <w:rFonts w:hint="eastAsia"/>
        </w:rPr>
        <w:t>元（大写：</w:t>
      </w:r>
      <w:r>
        <w:rPr>
          <w:rFonts w:hint="eastAsia"/>
          <w:u w:val="single"/>
        </w:rPr>
        <w:t xml:space="preserve">    </w:t>
      </w:r>
      <w:r>
        <w:rPr>
          <w:rFonts w:hint="eastAsia"/>
        </w:rPr>
        <w:t>）。</w:t>
      </w:r>
    </w:p>
    <w:p>
      <w:pPr>
        <w:pStyle w:val="2"/>
      </w:pPr>
      <w:r>
        <w:rPr>
          <w:rFonts w:hint="eastAsia"/>
        </w:rPr>
        <w:t>监理人承诺在政府投资资金未及时到位情况下保证不影响工程进度，并不追究由此造成的任何委托人责任。</w:t>
      </w:r>
    </w:p>
    <w:p>
      <w:pPr>
        <w:pStyle w:val="2"/>
      </w:pPr>
      <w:r>
        <w:rPr>
          <w:rFonts w:hint="eastAsia"/>
        </w:rPr>
        <w:t>2、支付方式为：银行支票。</w:t>
      </w:r>
    </w:p>
    <w:p>
      <w:pPr>
        <w:pStyle w:val="2"/>
        <w:rPr>
          <w:color w:val="FF0000"/>
          <w:u w:val="single"/>
        </w:rPr>
      </w:pPr>
      <w:r>
        <w:rPr>
          <w:rFonts w:hint="eastAsia"/>
        </w:rPr>
        <w:t>监理人承诺在政府投资资金未及时到位情况下保证不影响工程进度，并不追究由此造成的任何委托人责任。</w:t>
      </w:r>
    </w:p>
    <w:p>
      <w:pPr>
        <w:tabs>
          <w:tab w:val="left" w:pos="-180"/>
        </w:tabs>
        <w:spacing w:after="120" w:afterLines="50" w:line="360" w:lineRule="auto"/>
        <w:jc w:val="center"/>
        <w:rPr>
          <w:rFonts w:ascii="宋体" w:hAnsi="宋体" w:cs="宋体"/>
          <w:bCs/>
          <w:sz w:val="32"/>
        </w:rPr>
      </w:pPr>
      <w:bookmarkStart w:id="512" w:name="_Toc175129694"/>
      <w:bookmarkStart w:id="513" w:name="_Toc243808257"/>
      <w:bookmarkStart w:id="514" w:name="_Toc268165568"/>
      <w:bookmarkStart w:id="515" w:name="_Toc247340072"/>
      <w:bookmarkStart w:id="516" w:name="_Toc173557456"/>
      <w:r>
        <w:rPr>
          <w:rFonts w:hint="eastAsia" w:ascii="宋体" w:hAnsi="宋体" w:cs="宋体"/>
          <w:bCs/>
          <w:sz w:val="32"/>
        </w:rPr>
        <w:t>违约责任</w:t>
      </w:r>
      <w:bookmarkEnd w:id="512"/>
      <w:bookmarkEnd w:id="513"/>
      <w:bookmarkEnd w:id="514"/>
      <w:bookmarkEnd w:id="515"/>
      <w:bookmarkEnd w:id="516"/>
    </w:p>
    <w:p>
      <w:pPr>
        <w:spacing w:line="360" w:lineRule="auto"/>
        <w:ind w:firstLine="540"/>
        <w:rPr>
          <w:rFonts w:ascii="宋体" w:hAnsi="宋体" w:cs="宋体"/>
          <w:sz w:val="24"/>
          <w:szCs w:val="24"/>
        </w:rPr>
      </w:pPr>
      <w:r>
        <w:rPr>
          <w:rFonts w:hint="eastAsia" w:ascii="宋体" w:hAnsi="宋体" w:cs="宋体"/>
          <w:b/>
          <w:sz w:val="24"/>
          <w:szCs w:val="24"/>
        </w:rPr>
        <w:t xml:space="preserve">第十五条 </w:t>
      </w:r>
      <w:r>
        <w:rPr>
          <w:rFonts w:hint="eastAsia" w:ascii="宋体" w:hAnsi="宋体" w:cs="宋体"/>
          <w:sz w:val="24"/>
          <w:szCs w:val="24"/>
        </w:rPr>
        <w:t>委托人违约，应支付给监理人违约金。</w:t>
      </w:r>
    </w:p>
    <w:p>
      <w:pPr>
        <w:spacing w:line="360" w:lineRule="auto"/>
        <w:ind w:firstLine="600" w:firstLineChars="250"/>
        <w:rPr>
          <w:rFonts w:ascii="宋体" w:hAnsi="宋体" w:cs="宋体"/>
          <w:sz w:val="24"/>
          <w:szCs w:val="24"/>
        </w:rPr>
      </w:pPr>
      <w:r>
        <w:rPr>
          <w:rFonts w:hint="eastAsia" w:ascii="宋体" w:hAnsi="宋体" w:cs="宋体"/>
          <w:sz w:val="24"/>
          <w:szCs w:val="24"/>
        </w:rPr>
        <w:t>违约金：</w:t>
      </w:r>
      <w:r>
        <w:rPr>
          <w:rFonts w:hint="eastAsia" w:ascii="宋体" w:hAnsi="宋体" w:cs="宋体"/>
          <w:sz w:val="24"/>
          <w:szCs w:val="24"/>
          <w:u w:val="single"/>
        </w:rPr>
        <w:t>不超过监理合同价的20% 。</w:t>
      </w:r>
    </w:p>
    <w:p>
      <w:pPr>
        <w:spacing w:line="360" w:lineRule="auto"/>
        <w:ind w:firstLine="540"/>
        <w:rPr>
          <w:rFonts w:ascii="宋体" w:hAnsi="宋体" w:cs="宋体"/>
          <w:sz w:val="24"/>
          <w:szCs w:val="24"/>
        </w:rPr>
      </w:pPr>
      <w:r>
        <w:rPr>
          <w:rFonts w:hint="eastAsia" w:ascii="宋体" w:hAnsi="宋体" w:cs="宋体"/>
          <w:b/>
          <w:sz w:val="24"/>
          <w:szCs w:val="24"/>
        </w:rPr>
        <w:t xml:space="preserve">第十六条 </w:t>
      </w:r>
      <w:r>
        <w:rPr>
          <w:rFonts w:hint="eastAsia" w:ascii="宋体" w:hAnsi="宋体" w:cs="宋体"/>
          <w:sz w:val="24"/>
          <w:szCs w:val="24"/>
        </w:rPr>
        <w:t>因委托人延期支付监理服务酬金而向监理人支付逾期付款违约金的计算办法：</w:t>
      </w:r>
      <w:r>
        <w:rPr>
          <w:rFonts w:hint="eastAsia" w:ascii="宋体" w:hAnsi="宋体" w:cs="宋体"/>
          <w:sz w:val="24"/>
          <w:szCs w:val="24"/>
          <w:u w:val="single"/>
        </w:rPr>
        <w:t>在原合同额基础上，按同期银行间拆借利率支付利息</w:t>
      </w:r>
      <w:r>
        <w:rPr>
          <w:rFonts w:hint="eastAsia" w:ascii="宋体" w:hAnsi="宋体" w:cs="宋体"/>
          <w:sz w:val="24"/>
          <w:szCs w:val="24"/>
        </w:rPr>
        <w:t>。</w:t>
      </w:r>
    </w:p>
    <w:p>
      <w:pPr>
        <w:spacing w:line="360" w:lineRule="auto"/>
        <w:ind w:firstLine="540"/>
        <w:rPr>
          <w:rFonts w:ascii="宋体" w:hAnsi="宋体" w:cs="宋体"/>
          <w:sz w:val="24"/>
          <w:szCs w:val="24"/>
        </w:rPr>
      </w:pPr>
      <w:r>
        <w:rPr>
          <w:rFonts w:hint="eastAsia" w:ascii="宋体" w:hAnsi="宋体" w:cs="宋体"/>
          <w:b/>
          <w:sz w:val="24"/>
          <w:szCs w:val="24"/>
        </w:rPr>
        <w:t xml:space="preserve">第十七条 </w:t>
      </w:r>
      <w:r>
        <w:rPr>
          <w:rFonts w:hint="eastAsia" w:ascii="宋体" w:hAnsi="宋体" w:cs="宋体"/>
          <w:sz w:val="24"/>
          <w:szCs w:val="24"/>
        </w:rPr>
        <w:t>监理人违约，应支付给委托人违约金。</w:t>
      </w:r>
    </w:p>
    <w:p>
      <w:pPr>
        <w:spacing w:line="360" w:lineRule="auto"/>
        <w:ind w:firstLine="600" w:firstLineChars="250"/>
        <w:rPr>
          <w:rFonts w:ascii="宋体" w:hAnsi="宋体" w:cs="宋体"/>
          <w:sz w:val="24"/>
          <w:szCs w:val="24"/>
        </w:rPr>
      </w:pPr>
      <w:r>
        <w:rPr>
          <w:rFonts w:hint="eastAsia" w:ascii="宋体" w:hAnsi="宋体" w:cs="宋体"/>
          <w:sz w:val="24"/>
          <w:szCs w:val="24"/>
        </w:rPr>
        <w:t>违约金：违约金一般为监理合同总价的20%，如监理人违约（如因监理方未严格履行合同约定的相关服务内容而使甲方没有通过项目验收等）给委托人造成的损失超过违约金的，委托人有权向监理人继续追偿，追偿金额最多至监理合同总价的20%，并退还已收款项。</w:t>
      </w:r>
    </w:p>
    <w:p>
      <w:pPr>
        <w:tabs>
          <w:tab w:val="left" w:pos="-180"/>
        </w:tabs>
        <w:spacing w:after="120" w:afterLines="50" w:line="360" w:lineRule="auto"/>
        <w:rPr>
          <w:rFonts w:ascii="宋体" w:hAnsi="宋体" w:cs="宋体"/>
          <w:bCs/>
          <w:sz w:val="32"/>
        </w:rPr>
      </w:pPr>
    </w:p>
    <w:p>
      <w:pPr>
        <w:tabs>
          <w:tab w:val="left" w:pos="-180"/>
        </w:tabs>
        <w:spacing w:after="120" w:afterLines="50" w:line="360" w:lineRule="auto"/>
        <w:jc w:val="center"/>
        <w:rPr>
          <w:rFonts w:ascii="宋体" w:hAnsi="宋体" w:cs="宋体"/>
          <w:bCs/>
          <w:sz w:val="32"/>
        </w:rPr>
      </w:pPr>
      <w:bookmarkStart w:id="517" w:name="_Toc268165569"/>
      <w:bookmarkStart w:id="518" w:name="_Toc243808258"/>
      <w:bookmarkStart w:id="519" w:name="_Toc247340073"/>
      <w:bookmarkStart w:id="520" w:name="_Toc175129695"/>
      <w:bookmarkStart w:id="521" w:name="_Toc173557457"/>
      <w:r>
        <w:rPr>
          <w:rFonts w:hint="eastAsia" w:ascii="宋体" w:hAnsi="宋体" w:cs="宋体"/>
          <w:bCs/>
          <w:sz w:val="32"/>
        </w:rPr>
        <w:t>争议的解决</w:t>
      </w:r>
      <w:bookmarkEnd w:id="517"/>
      <w:bookmarkEnd w:id="518"/>
      <w:bookmarkEnd w:id="519"/>
      <w:bookmarkEnd w:id="520"/>
      <w:bookmarkEnd w:id="521"/>
    </w:p>
    <w:p>
      <w:pPr>
        <w:spacing w:line="360" w:lineRule="auto"/>
        <w:ind w:left="435" w:firstLine="89" w:firstLineChars="37"/>
        <w:rPr>
          <w:rFonts w:ascii="宋体" w:hAnsi="宋体" w:cs="宋体"/>
          <w:sz w:val="24"/>
          <w:szCs w:val="24"/>
        </w:rPr>
      </w:pPr>
      <w:r>
        <w:rPr>
          <w:rFonts w:hint="eastAsia" w:ascii="宋体" w:hAnsi="宋体" w:cs="宋体"/>
          <w:b/>
          <w:sz w:val="24"/>
          <w:szCs w:val="24"/>
        </w:rPr>
        <w:t xml:space="preserve">第十八条 </w:t>
      </w:r>
      <w:r>
        <w:rPr>
          <w:rFonts w:hint="eastAsia" w:ascii="宋体" w:hAnsi="宋体" w:cs="宋体"/>
          <w:sz w:val="24"/>
          <w:szCs w:val="24"/>
        </w:rPr>
        <w:t>争议仲裁机构：</w:t>
      </w:r>
    </w:p>
    <w:p>
      <w:pPr>
        <w:pStyle w:val="2"/>
      </w:pPr>
      <w:r>
        <w:rPr>
          <w:rFonts w:hint="eastAsia"/>
        </w:rPr>
        <w:t>仲裁机构为：</w:t>
      </w:r>
      <w:r>
        <w:rPr>
          <w:rFonts w:hint="eastAsia"/>
          <w:u w:val="single"/>
        </w:rPr>
        <w:t>北京仲裁委员会</w:t>
      </w:r>
      <w:r>
        <w:rPr>
          <w:rFonts w:hint="eastAsia"/>
        </w:rPr>
        <w:t>。</w:t>
      </w:r>
    </w:p>
    <w:p>
      <w:pPr>
        <w:ind w:firstLine="420"/>
        <w:rPr>
          <w:rFonts w:ascii="宋体" w:hAnsi="宋体" w:cs="宋体"/>
        </w:rPr>
      </w:pPr>
    </w:p>
    <w:p>
      <w:pPr>
        <w:ind w:firstLine="420"/>
        <w:rPr>
          <w:rFonts w:ascii="宋体" w:hAnsi="宋体" w:cs="宋体"/>
        </w:rPr>
      </w:pPr>
    </w:p>
    <w:p>
      <w:pPr>
        <w:ind w:firstLine="560"/>
        <w:rPr>
          <w:rFonts w:ascii="宋体" w:hAnsi="宋体" w:cs="宋体"/>
          <w:sz w:val="28"/>
          <w:szCs w:val="28"/>
        </w:rPr>
      </w:pPr>
    </w:p>
    <w:p>
      <w:pPr>
        <w:ind w:firstLine="482"/>
        <w:rPr>
          <w:rFonts w:ascii="宋体" w:hAnsi="宋体" w:cs="宋体"/>
          <w:b/>
          <w:bCs/>
          <w:sz w:val="24"/>
          <w:szCs w:val="24"/>
        </w:rPr>
      </w:pPr>
      <w:r>
        <w:rPr>
          <w:rFonts w:hint="eastAsia" w:ascii="宋体" w:hAnsi="宋体" w:cs="宋体"/>
          <w:b/>
          <w:bCs/>
          <w:sz w:val="24"/>
          <w:szCs w:val="24"/>
        </w:rPr>
        <w:br w:type="page"/>
      </w:r>
    </w:p>
    <w:p>
      <w:pPr>
        <w:ind w:firstLine="883"/>
        <w:jc w:val="center"/>
        <w:rPr>
          <w:rFonts w:ascii="宋体" w:hAnsi="宋体" w:cs="宋体"/>
          <w:b/>
          <w:sz w:val="44"/>
          <w:szCs w:val="24"/>
        </w:rPr>
      </w:pPr>
      <w:r>
        <w:rPr>
          <w:rFonts w:hint="eastAsia" w:ascii="宋体" w:hAnsi="宋体" w:cs="宋体"/>
          <w:b/>
          <w:bCs/>
          <w:sz w:val="44"/>
          <w:szCs w:val="24"/>
        </w:rPr>
        <w:t>廉 洁 合 同</w:t>
      </w:r>
    </w:p>
    <w:p>
      <w:pPr>
        <w:spacing w:line="360" w:lineRule="auto"/>
        <w:rPr>
          <w:rFonts w:ascii="宋体" w:hAnsi="宋体" w:cs="宋体"/>
          <w:sz w:val="24"/>
          <w:szCs w:val="24"/>
        </w:rPr>
      </w:pPr>
      <w:r>
        <w:rPr>
          <w:rFonts w:hint="eastAsia" w:ascii="宋体" w:hAnsi="宋体" w:cs="宋体"/>
          <w:b/>
          <w:sz w:val="24"/>
          <w:szCs w:val="24"/>
        </w:rPr>
        <w:t>（注：本廉洁合同须投标人加盖好本单位公章并由授权代表签字后于开标当日随投标文件一并提交，无需密封，一式三份）</w:t>
      </w:r>
    </w:p>
    <w:p>
      <w:pPr>
        <w:spacing w:line="360" w:lineRule="auto"/>
        <w:rPr>
          <w:rFonts w:ascii="宋体" w:hAnsi="宋体" w:cs="宋体"/>
          <w:sz w:val="24"/>
          <w:szCs w:val="24"/>
        </w:rPr>
      </w:pPr>
      <w:r>
        <w:rPr>
          <w:rFonts w:hint="eastAsia" w:ascii="宋体" w:hAnsi="宋体" w:cs="宋体"/>
          <w:sz w:val="24"/>
          <w:szCs w:val="24"/>
        </w:rPr>
        <w:t>项目名称：多语言网站内容建设与运营推广项目</w:t>
      </w:r>
    </w:p>
    <w:p>
      <w:pPr>
        <w:spacing w:line="360" w:lineRule="auto"/>
        <w:rPr>
          <w:rFonts w:ascii="宋体" w:hAnsi="宋体" w:cs="宋体"/>
          <w:sz w:val="24"/>
          <w:szCs w:val="24"/>
        </w:rPr>
      </w:pPr>
      <w:r>
        <w:rPr>
          <w:rFonts w:hint="eastAsia" w:ascii="宋体" w:hAnsi="宋体" w:cs="宋体"/>
          <w:sz w:val="24"/>
          <w:szCs w:val="24"/>
        </w:rPr>
        <w:t>招标（合同）编号：</w:t>
      </w:r>
    </w:p>
    <w:p>
      <w:pPr>
        <w:spacing w:line="360" w:lineRule="auto"/>
        <w:rPr>
          <w:rFonts w:ascii="宋体" w:hAnsi="宋体" w:cs="宋体"/>
          <w:sz w:val="24"/>
          <w:szCs w:val="24"/>
        </w:rPr>
      </w:pPr>
      <w:r>
        <w:rPr>
          <w:rFonts w:hint="eastAsia" w:ascii="宋体" w:hAnsi="宋体" w:cs="宋体"/>
          <w:sz w:val="24"/>
          <w:szCs w:val="24"/>
        </w:rPr>
        <w:t>甲方（项目采购方）：北京市文化和旅游局宣传中心（北京市旅游运行监测中心）</w:t>
      </w:r>
    </w:p>
    <w:p>
      <w:pPr>
        <w:spacing w:line="360" w:lineRule="auto"/>
        <w:rPr>
          <w:rFonts w:ascii="宋体" w:hAnsi="宋体" w:cs="宋体"/>
          <w:sz w:val="24"/>
          <w:szCs w:val="24"/>
        </w:rPr>
      </w:pPr>
      <w:r>
        <w:rPr>
          <w:rFonts w:hint="eastAsia" w:ascii="宋体" w:hAnsi="宋体" w:cs="宋体"/>
          <w:sz w:val="24"/>
          <w:szCs w:val="24"/>
        </w:rPr>
        <w:t xml:space="preserve">乙方（投标方）： </w:t>
      </w:r>
    </w:p>
    <w:p>
      <w:pPr>
        <w:spacing w:line="360" w:lineRule="auto"/>
        <w:rPr>
          <w:rFonts w:ascii="宋体" w:hAnsi="宋体" w:cs="宋体"/>
          <w:sz w:val="24"/>
          <w:szCs w:val="24"/>
        </w:rPr>
      </w:pPr>
      <w:r>
        <w:rPr>
          <w:rFonts w:hint="eastAsia" w:ascii="宋体" w:hAnsi="宋体" w:cs="宋体"/>
          <w:sz w:val="24"/>
          <w:szCs w:val="24"/>
        </w:rPr>
        <w:t>丙方（招标代理机构）：北京市京发招标有限公司</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为了规范北京市文化和旅游局宣传中心（北京市旅游运行监测中心）的招、投标工作，防止违法违纪行为的发生，经甲方、乙方和丙方协商同意，三方将严格执行以下条件：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一、甲方的权利和义务</w:t>
      </w:r>
    </w:p>
    <w:p>
      <w:pPr>
        <w:spacing w:line="360" w:lineRule="auto"/>
        <w:rPr>
          <w:rFonts w:ascii="宋体" w:hAnsi="宋体" w:cs="宋体"/>
          <w:sz w:val="24"/>
          <w:szCs w:val="24"/>
        </w:rPr>
      </w:pPr>
      <w:r>
        <w:rPr>
          <w:rFonts w:hint="eastAsia" w:ascii="宋体" w:hAnsi="宋体" w:cs="宋体"/>
          <w:sz w:val="24"/>
          <w:szCs w:val="24"/>
        </w:rPr>
        <w:t xml:space="preserve">   （一）甲方工作人员有责任向乙方和丙方介绍本单位有关廉洁从业的制度、规定。甲方的纪检监督人员有权对三方在招、投标及合同执行过程中的廉洁情况进行监督。</w:t>
      </w:r>
    </w:p>
    <w:p>
      <w:pPr>
        <w:spacing w:line="360" w:lineRule="auto"/>
        <w:rPr>
          <w:rFonts w:ascii="宋体" w:hAnsi="宋体" w:cs="宋体"/>
          <w:sz w:val="24"/>
          <w:szCs w:val="24"/>
        </w:rPr>
      </w:pPr>
      <w:r>
        <w:rPr>
          <w:rFonts w:hint="eastAsia" w:ascii="宋体" w:hAnsi="宋体" w:cs="宋体"/>
          <w:sz w:val="24"/>
          <w:szCs w:val="24"/>
        </w:rPr>
        <w:t xml:space="preserve">   （二）甲方工作人员不得向乙方泄露招、投标中的商业秘密。</w:t>
      </w:r>
    </w:p>
    <w:p>
      <w:pPr>
        <w:spacing w:line="360" w:lineRule="auto"/>
        <w:rPr>
          <w:rFonts w:ascii="宋体" w:hAnsi="宋体" w:cs="宋体"/>
          <w:sz w:val="24"/>
          <w:szCs w:val="24"/>
        </w:rPr>
      </w:pPr>
      <w:r>
        <w:rPr>
          <w:rFonts w:hint="eastAsia" w:ascii="宋体" w:hAnsi="宋体" w:cs="宋体"/>
          <w:sz w:val="24"/>
          <w:szCs w:val="24"/>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pPr>
        <w:spacing w:line="360" w:lineRule="auto"/>
        <w:rPr>
          <w:rFonts w:ascii="宋体" w:hAnsi="宋体" w:cs="宋体"/>
          <w:sz w:val="24"/>
          <w:szCs w:val="24"/>
        </w:rPr>
      </w:pPr>
      <w:r>
        <w:rPr>
          <w:rFonts w:hint="eastAsia" w:ascii="宋体" w:hAnsi="宋体" w:cs="宋体"/>
          <w:sz w:val="24"/>
          <w:szCs w:val="24"/>
        </w:rPr>
        <w:t xml:space="preserve">   （四）对乙方主动给予的钱（含有价证券）、物，甲方的工作人员要坚决谢绝，无法拒绝的要在两周内上交甲方的纪检组监察处或上级纪检监察部门。</w:t>
      </w:r>
    </w:p>
    <w:p>
      <w:pPr>
        <w:spacing w:line="360" w:lineRule="auto"/>
        <w:rPr>
          <w:rFonts w:ascii="宋体" w:hAnsi="宋体" w:cs="宋体"/>
          <w:sz w:val="24"/>
          <w:szCs w:val="24"/>
        </w:rPr>
      </w:pPr>
      <w:r>
        <w:rPr>
          <w:rFonts w:hint="eastAsia" w:ascii="宋体" w:hAnsi="宋体" w:cs="宋体"/>
          <w:sz w:val="24"/>
          <w:szCs w:val="24"/>
        </w:rPr>
        <w:t xml:space="preserve">   （五）甲方工作人员在招标及执行合同过程中，必须遵守廉洁自律的其他有关规定。</w:t>
      </w:r>
    </w:p>
    <w:p>
      <w:pPr>
        <w:spacing w:line="360" w:lineRule="auto"/>
        <w:ind w:firstLine="482"/>
        <w:rPr>
          <w:rFonts w:ascii="宋体" w:hAnsi="宋体" w:cs="宋体"/>
          <w:b/>
          <w:bCs/>
          <w:sz w:val="24"/>
          <w:szCs w:val="24"/>
        </w:rPr>
      </w:pPr>
      <w:r>
        <w:rPr>
          <w:rFonts w:hint="eastAsia" w:ascii="宋体" w:hAnsi="宋体" w:cs="宋体"/>
          <w:b/>
          <w:bCs/>
          <w:sz w:val="24"/>
          <w:szCs w:val="24"/>
        </w:rPr>
        <w:t xml:space="preserve">    二、乙方的权利和义务</w:t>
      </w:r>
    </w:p>
    <w:p>
      <w:pPr>
        <w:spacing w:line="360" w:lineRule="auto"/>
        <w:rPr>
          <w:rFonts w:ascii="宋体" w:hAnsi="宋体" w:cs="宋体"/>
          <w:sz w:val="24"/>
          <w:szCs w:val="24"/>
        </w:rPr>
      </w:pPr>
      <w:r>
        <w:rPr>
          <w:rFonts w:hint="eastAsia" w:ascii="宋体" w:hAnsi="宋体" w:cs="宋体"/>
          <w:sz w:val="24"/>
          <w:szCs w:val="24"/>
        </w:rPr>
        <w:t xml:space="preserve">   （一）乙方的纪检监督人员有权对三方在招、投标及合同执行过程中廉洁从业情况进行监督，并积极配合甲方纪检监察工作人员就有关违纪问题进行调查取证。</w:t>
      </w:r>
    </w:p>
    <w:p>
      <w:pPr>
        <w:spacing w:line="360" w:lineRule="auto"/>
        <w:rPr>
          <w:rFonts w:ascii="宋体" w:hAnsi="宋体" w:cs="宋体"/>
          <w:sz w:val="24"/>
          <w:szCs w:val="24"/>
        </w:rPr>
      </w:pPr>
      <w:r>
        <w:rPr>
          <w:rFonts w:hint="eastAsia" w:ascii="宋体" w:hAnsi="宋体" w:cs="宋体"/>
          <w:sz w:val="24"/>
          <w:szCs w:val="24"/>
        </w:rPr>
        <w:t xml:space="preserve">   （二）乙方有权了解甲方、丙方在廉洁从业方面的各项制度和规定，并主动配合甲方、丙方遵守执行。</w:t>
      </w:r>
    </w:p>
    <w:p>
      <w:pPr>
        <w:spacing w:line="360" w:lineRule="auto"/>
        <w:rPr>
          <w:rFonts w:ascii="宋体" w:hAnsi="宋体" w:cs="宋体"/>
          <w:sz w:val="24"/>
          <w:szCs w:val="24"/>
        </w:rPr>
      </w:pPr>
      <w:r>
        <w:rPr>
          <w:rFonts w:hint="eastAsia" w:ascii="宋体" w:hAnsi="宋体" w:cs="宋体"/>
          <w:sz w:val="24"/>
          <w:szCs w:val="24"/>
        </w:rPr>
        <w:t xml:space="preserve">   （三）乙方的工作人员不得以任何方式向甲方、丙方的工作人员了解招投标中的商业秘密。</w:t>
      </w:r>
    </w:p>
    <w:p>
      <w:pPr>
        <w:spacing w:line="360" w:lineRule="auto"/>
        <w:rPr>
          <w:rFonts w:ascii="宋体" w:hAnsi="宋体" w:cs="宋体"/>
          <w:sz w:val="24"/>
          <w:szCs w:val="24"/>
        </w:rPr>
      </w:pPr>
      <w:r>
        <w:rPr>
          <w:rFonts w:hint="eastAsia" w:ascii="宋体" w:hAnsi="宋体" w:cs="宋体"/>
          <w:sz w:val="24"/>
          <w:szCs w:val="24"/>
        </w:rPr>
        <w:t xml:space="preserve">   （四）乙方的工作人员在投标及中标后的合同执行过程中，不得向甲方、丙方工作人员行贿、提供回扣或其他好处费等；不得向甲方、丙方的工作人员馈赠有价证券和贵重物品；不得给甲方、丙方的工作人员报销任何费用；不得为甲方、丙方的工作人员购置交通工具、通讯工具、家电、办公用品等；不得邀请甲方、丙方的工作人员参加对执行公务有影响的娱乐活动和宴请；不得接受甲方、丙方的工作人员介绍的亲属或亲友从事与该项目有关的材料、设备供应或该项目分包等经济活动；不得为甲方、丙方工作人员的亲属安排出境或国内旅游等；不得借婚丧嫁娶之机向甲方、丙方工作人员赠送钱（含有价证券）、物。</w:t>
      </w:r>
    </w:p>
    <w:p>
      <w:pPr>
        <w:spacing w:line="360" w:lineRule="auto"/>
        <w:rPr>
          <w:rFonts w:ascii="宋体" w:hAnsi="宋体" w:cs="宋体"/>
          <w:sz w:val="24"/>
          <w:szCs w:val="24"/>
        </w:rPr>
      </w:pPr>
      <w:r>
        <w:rPr>
          <w:rFonts w:hint="eastAsia" w:ascii="宋体" w:hAnsi="宋体" w:cs="宋体"/>
          <w:sz w:val="24"/>
          <w:szCs w:val="24"/>
        </w:rPr>
        <w:t xml:space="preserve">   （五）乙方发现甲方、丙方的工作人员有不廉洁的行为，应在在48小时内署名报告甲方、丙方的纪检监督人员或有关领导。</w:t>
      </w:r>
    </w:p>
    <w:p>
      <w:pPr>
        <w:spacing w:line="360" w:lineRule="auto"/>
        <w:ind w:firstLine="482"/>
        <w:rPr>
          <w:rFonts w:ascii="宋体" w:hAnsi="宋体" w:cs="宋体"/>
          <w:b/>
          <w:bCs/>
          <w:sz w:val="24"/>
          <w:szCs w:val="24"/>
        </w:rPr>
      </w:pPr>
      <w:r>
        <w:rPr>
          <w:rFonts w:hint="eastAsia" w:ascii="宋体" w:hAnsi="宋体" w:cs="宋体"/>
          <w:b/>
          <w:bCs/>
          <w:sz w:val="24"/>
          <w:szCs w:val="24"/>
        </w:rPr>
        <w:t xml:space="preserve">    三、丙方的权利和义务</w:t>
      </w:r>
    </w:p>
    <w:p>
      <w:pPr>
        <w:spacing w:line="360" w:lineRule="auto"/>
        <w:rPr>
          <w:rFonts w:ascii="宋体" w:hAnsi="宋体" w:cs="宋体"/>
          <w:sz w:val="24"/>
          <w:szCs w:val="24"/>
        </w:rPr>
      </w:pPr>
      <w:r>
        <w:rPr>
          <w:rFonts w:hint="eastAsia" w:ascii="宋体" w:hAnsi="宋体" w:cs="宋体"/>
          <w:sz w:val="24"/>
          <w:szCs w:val="24"/>
        </w:rPr>
        <w:t xml:space="preserve">   （一）丙方的工作人员有责任向甲方、乙方介绍本单位有关廉洁从业的制度、规定。丙方的纪检监督人员有权对三方在招、投标过程中的廉洁情况进行监督。</w:t>
      </w:r>
    </w:p>
    <w:p>
      <w:pPr>
        <w:spacing w:line="360" w:lineRule="auto"/>
        <w:rPr>
          <w:rFonts w:ascii="宋体" w:hAnsi="宋体" w:cs="宋体"/>
          <w:sz w:val="24"/>
          <w:szCs w:val="24"/>
        </w:rPr>
      </w:pPr>
      <w:r>
        <w:rPr>
          <w:rFonts w:hint="eastAsia" w:ascii="宋体" w:hAnsi="宋体" w:cs="宋体"/>
          <w:sz w:val="24"/>
          <w:szCs w:val="24"/>
        </w:rPr>
        <w:t xml:space="preserve">   （二）丙方的工作人员不得向乙方泄露招、投标中的商业秘密。</w:t>
      </w:r>
    </w:p>
    <w:p>
      <w:pPr>
        <w:spacing w:line="360" w:lineRule="auto"/>
        <w:rPr>
          <w:rFonts w:ascii="宋体" w:hAnsi="宋体" w:cs="宋体"/>
          <w:sz w:val="24"/>
          <w:szCs w:val="24"/>
        </w:rPr>
      </w:pPr>
      <w:r>
        <w:rPr>
          <w:rFonts w:hint="eastAsia" w:ascii="宋体" w:hAnsi="宋体" w:cs="宋体"/>
          <w:sz w:val="24"/>
          <w:szCs w:val="24"/>
        </w:rPr>
        <w:t xml:space="preserve">   （三）丙方的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该项目分包等经济活动；不得要求乙方为亲属安排出境或国内旅游；不得借婚丧嫁娶之机收受乙方的钱（含有价证券）物。</w:t>
      </w:r>
    </w:p>
    <w:p>
      <w:pPr>
        <w:spacing w:line="360" w:lineRule="auto"/>
        <w:rPr>
          <w:rFonts w:ascii="宋体" w:hAnsi="宋体" w:cs="宋体"/>
          <w:sz w:val="24"/>
          <w:szCs w:val="24"/>
        </w:rPr>
      </w:pPr>
      <w:r>
        <w:rPr>
          <w:rFonts w:hint="eastAsia" w:ascii="宋体" w:hAnsi="宋体" w:cs="宋体"/>
          <w:sz w:val="24"/>
          <w:szCs w:val="24"/>
        </w:rPr>
        <w:t xml:space="preserve">   （四）对乙方主动给予的钱（含有价证券）、物，丙方的工作人员要坚决谢绝，无法拒绝的要在两周内上交丙方的纪检监察部门或上级纪检监察部门。</w:t>
      </w:r>
    </w:p>
    <w:p>
      <w:pPr>
        <w:spacing w:line="360" w:lineRule="auto"/>
        <w:rPr>
          <w:rFonts w:ascii="宋体" w:hAnsi="宋体" w:cs="宋体"/>
          <w:sz w:val="24"/>
          <w:szCs w:val="24"/>
        </w:rPr>
      </w:pPr>
      <w:r>
        <w:rPr>
          <w:rFonts w:hint="eastAsia" w:ascii="宋体" w:hAnsi="宋体" w:cs="宋体"/>
          <w:sz w:val="24"/>
          <w:szCs w:val="24"/>
        </w:rPr>
        <w:t xml:space="preserve">   （五）丙方的工作人员在招标及执行合同过程中，必须遵守廉洁自律的其他有关规定。</w:t>
      </w:r>
    </w:p>
    <w:p>
      <w:pPr>
        <w:spacing w:line="360" w:lineRule="auto"/>
        <w:ind w:firstLine="482"/>
        <w:rPr>
          <w:rFonts w:ascii="宋体" w:hAnsi="宋体" w:cs="宋体"/>
          <w:b/>
          <w:bCs/>
          <w:sz w:val="24"/>
          <w:szCs w:val="24"/>
        </w:rPr>
      </w:pPr>
      <w:r>
        <w:rPr>
          <w:rFonts w:hint="eastAsia" w:ascii="宋体" w:hAnsi="宋体" w:cs="宋体"/>
          <w:b/>
          <w:bCs/>
          <w:sz w:val="24"/>
          <w:szCs w:val="24"/>
        </w:rPr>
        <w:t xml:space="preserve">    四、违约责任</w:t>
      </w:r>
    </w:p>
    <w:p>
      <w:pPr>
        <w:spacing w:line="360" w:lineRule="auto"/>
        <w:rPr>
          <w:rFonts w:ascii="宋体" w:hAnsi="宋体" w:cs="宋体"/>
          <w:sz w:val="24"/>
          <w:szCs w:val="24"/>
        </w:rPr>
      </w:pPr>
      <w:r>
        <w:rPr>
          <w:rFonts w:hint="eastAsia" w:ascii="宋体" w:hAnsi="宋体" w:cs="宋体"/>
          <w:sz w:val="24"/>
          <w:szCs w:val="24"/>
        </w:rPr>
        <w:t xml:space="preserve">   （一）甲方工作人员违反廉洁责任，经调查属实的，甲方将依据党纪、政纪对当事人进行严肃处理，对涉嫌犯罪人员移送司法机关。</w:t>
      </w:r>
    </w:p>
    <w:p>
      <w:pPr>
        <w:spacing w:line="360" w:lineRule="auto"/>
        <w:rPr>
          <w:rFonts w:ascii="宋体" w:hAnsi="宋体" w:cs="宋体"/>
          <w:sz w:val="24"/>
          <w:szCs w:val="24"/>
        </w:rPr>
      </w:pPr>
      <w:r>
        <w:rPr>
          <w:rFonts w:hint="eastAsia" w:ascii="宋体" w:hAnsi="宋体" w:cs="宋体"/>
          <w:sz w:val="24"/>
          <w:szCs w:val="24"/>
        </w:rPr>
        <w:t xml:space="preserve">   （二）乙方工作人员违反廉洁责任，经调查属实的，甲方及其代理机构有权退回其投标；对中标的已方，甲方及其代理机构有权撤销中标决定，或一次性扣罚与其签订合同总价款的0.5%——10%直至终止合同执行，由此造成的经济损失由乙方承担；在今后甲方的政府采购项目中不再考虑与乙方的合作。</w:t>
      </w:r>
    </w:p>
    <w:p>
      <w:pPr>
        <w:spacing w:line="360" w:lineRule="auto"/>
        <w:rPr>
          <w:rFonts w:ascii="宋体" w:hAnsi="宋体" w:cs="宋体"/>
          <w:sz w:val="24"/>
          <w:szCs w:val="24"/>
        </w:rPr>
      </w:pPr>
      <w:r>
        <w:rPr>
          <w:rFonts w:hint="eastAsia" w:ascii="宋体" w:hAnsi="宋体" w:cs="宋体"/>
          <w:sz w:val="24"/>
          <w:szCs w:val="24"/>
        </w:rPr>
        <w:t xml:space="preserve">   （三）丙方的工作人员违反廉洁责任，经调查属实的，丙方应依据党纪、政纪对当事人进行严肃处理，对涉嫌犯罪人员应移送司法机关；对情节严重或屡次违法违规操作的，今后甲方的政府采购项目不再考虑与丙方合作，并向其上级主管部门提出监察建议。</w:t>
      </w:r>
    </w:p>
    <w:p>
      <w:pPr>
        <w:spacing w:line="360" w:lineRule="auto"/>
        <w:ind w:firstLine="482"/>
        <w:rPr>
          <w:rFonts w:ascii="宋体" w:hAnsi="宋体" w:cs="宋体"/>
          <w:b/>
          <w:bCs/>
          <w:sz w:val="24"/>
          <w:szCs w:val="24"/>
        </w:rPr>
      </w:pPr>
      <w:r>
        <w:rPr>
          <w:rFonts w:hint="eastAsia" w:ascii="宋体" w:hAnsi="宋体" w:cs="宋体"/>
          <w:b/>
          <w:bCs/>
          <w:sz w:val="24"/>
          <w:szCs w:val="24"/>
        </w:rPr>
        <w:t xml:space="preserve">    五、合同的生效</w:t>
      </w:r>
    </w:p>
    <w:p>
      <w:pPr>
        <w:spacing w:line="360" w:lineRule="auto"/>
        <w:rPr>
          <w:rFonts w:ascii="宋体" w:hAnsi="宋体" w:cs="宋体"/>
          <w:sz w:val="24"/>
          <w:szCs w:val="24"/>
        </w:rPr>
      </w:pPr>
      <w:r>
        <w:rPr>
          <w:rFonts w:hint="eastAsia" w:ascii="宋体" w:hAnsi="宋体" w:cs="宋体"/>
          <w:sz w:val="24"/>
          <w:szCs w:val="24"/>
        </w:rPr>
        <w:t xml:space="preserve">   （一）本合同在三方签字盖章后即生效。</w:t>
      </w:r>
    </w:p>
    <w:p>
      <w:pPr>
        <w:spacing w:line="360" w:lineRule="auto"/>
        <w:rPr>
          <w:rFonts w:ascii="宋体" w:hAnsi="宋体" w:cs="宋体"/>
          <w:sz w:val="24"/>
          <w:szCs w:val="24"/>
        </w:rPr>
      </w:pPr>
      <w:r>
        <w:rPr>
          <w:rFonts w:hint="eastAsia" w:ascii="宋体" w:hAnsi="宋体" w:cs="宋体"/>
          <w:sz w:val="24"/>
          <w:szCs w:val="24"/>
        </w:rPr>
        <w:t xml:space="preserve">   （二）本合同一式三份，三方各执一份。</w:t>
      </w:r>
    </w:p>
    <w:p>
      <w:pPr>
        <w:spacing w:line="360" w:lineRule="auto"/>
        <w:rPr>
          <w:rFonts w:ascii="宋体" w:hAnsi="宋体" w:cs="宋体"/>
          <w:sz w:val="24"/>
          <w:szCs w:val="24"/>
        </w:rPr>
      </w:pPr>
      <w:r>
        <w:rPr>
          <w:rFonts w:hint="eastAsia" w:ascii="宋体" w:hAnsi="宋体" w:cs="宋体"/>
          <w:sz w:val="24"/>
          <w:szCs w:val="24"/>
        </w:rPr>
        <w:t xml:space="preserve">   （三）本合同在主合同授予、履行的全过程有效，并作为主合同的附件。</w:t>
      </w:r>
    </w:p>
    <w:p>
      <w:pPr>
        <w:spacing w:line="360" w:lineRule="auto"/>
        <w:rPr>
          <w:rFonts w:ascii="宋体" w:hAnsi="宋体" w:cs="宋体"/>
          <w:sz w:val="24"/>
          <w:szCs w:val="24"/>
        </w:rPr>
      </w:pPr>
      <w:r>
        <w:rPr>
          <w:rFonts w:hint="eastAsia" w:ascii="宋体" w:hAnsi="宋体" w:cs="宋体"/>
          <w:sz w:val="24"/>
          <w:szCs w:val="24"/>
        </w:rPr>
        <w:t>甲方：北京市文化和旅游局宣传中心（北京市旅游运行监测中心）</w:t>
      </w:r>
    </w:p>
    <w:p>
      <w:pPr>
        <w:spacing w:line="360" w:lineRule="auto"/>
        <w:rPr>
          <w:rFonts w:ascii="宋体" w:hAnsi="宋体" w:cs="宋体"/>
          <w:sz w:val="24"/>
          <w:szCs w:val="24"/>
        </w:rPr>
      </w:pPr>
      <w:r>
        <w:rPr>
          <w:rFonts w:hint="eastAsia" w:ascii="宋体" w:hAnsi="宋体" w:cs="宋体"/>
          <w:sz w:val="24"/>
          <w:szCs w:val="24"/>
        </w:rPr>
        <w:t>法定代表人（或授权代表）签字：</w:t>
      </w:r>
    </w:p>
    <w:p>
      <w:pPr>
        <w:spacing w:line="360" w:lineRule="auto"/>
        <w:rPr>
          <w:rFonts w:ascii="宋体" w:hAnsi="宋体" w:cs="宋体"/>
          <w:sz w:val="24"/>
          <w:szCs w:val="24"/>
        </w:rPr>
      </w:pPr>
      <w:r>
        <w:rPr>
          <w:rFonts w:hint="eastAsia" w:ascii="宋体" w:hAnsi="宋体" w:cs="宋体"/>
          <w:sz w:val="24"/>
          <w:szCs w:val="24"/>
        </w:rPr>
        <w:t>盖章：</w:t>
      </w:r>
    </w:p>
    <w:p>
      <w:pPr>
        <w:spacing w:line="360" w:lineRule="auto"/>
        <w:rPr>
          <w:rFonts w:ascii="宋体" w:hAnsi="宋体" w:cs="宋体"/>
          <w:sz w:val="24"/>
          <w:szCs w:val="24"/>
        </w:rPr>
      </w:pPr>
      <w:r>
        <w:rPr>
          <w:rFonts w:hint="eastAsia" w:ascii="宋体" w:hAnsi="宋体" w:cs="宋体"/>
          <w:sz w:val="24"/>
          <w:szCs w:val="24"/>
        </w:rPr>
        <w:t>签字日期：</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乙方：</w:t>
      </w:r>
    </w:p>
    <w:p>
      <w:pPr>
        <w:spacing w:line="360" w:lineRule="auto"/>
        <w:rPr>
          <w:rFonts w:ascii="宋体" w:hAnsi="宋体" w:cs="宋体"/>
          <w:sz w:val="24"/>
          <w:szCs w:val="24"/>
        </w:rPr>
      </w:pPr>
      <w:r>
        <w:rPr>
          <w:rFonts w:hint="eastAsia" w:ascii="宋体" w:hAnsi="宋体" w:cs="宋体"/>
          <w:sz w:val="24"/>
          <w:szCs w:val="24"/>
        </w:rPr>
        <w:t>法定代表人（或授权代表）签字：</w:t>
      </w:r>
    </w:p>
    <w:p>
      <w:pPr>
        <w:spacing w:line="360" w:lineRule="auto"/>
        <w:rPr>
          <w:rFonts w:ascii="宋体" w:hAnsi="宋体" w:cs="宋体"/>
          <w:sz w:val="24"/>
          <w:szCs w:val="24"/>
        </w:rPr>
      </w:pPr>
      <w:r>
        <w:rPr>
          <w:rFonts w:hint="eastAsia" w:ascii="宋体" w:hAnsi="宋体" w:cs="宋体"/>
          <w:sz w:val="24"/>
          <w:szCs w:val="24"/>
        </w:rPr>
        <w:t>盖章：</w:t>
      </w:r>
    </w:p>
    <w:p>
      <w:pPr>
        <w:spacing w:line="360" w:lineRule="auto"/>
        <w:rPr>
          <w:rFonts w:ascii="宋体" w:hAnsi="宋体" w:cs="宋体"/>
          <w:sz w:val="24"/>
          <w:szCs w:val="24"/>
        </w:rPr>
      </w:pPr>
      <w:r>
        <w:rPr>
          <w:rFonts w:hint="eastAsia" w:ascii="宋体" w:hAnsi="宋体" w:cs="宋体"/>
          <w:sz w:val="24"/>
          <w:szCs w:val="24"/>
        </w:rPr>
        <w:t>签字日期：</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丙方（招标代理机构）：北京市京发招标有限公司</w:t>
      </w:r>
    </w:p>
    <w:p>
      <w:pPr>
        <w:spacing w:line="360" w:lineRule="auto"/>
        <w:rPr>
          <w:rFonts w:ascii="宋体" w:hAnsi="宋体" w:cs="宋体"/>
          <w:sz w:val="24"/>
          <w:szCs w:val="24"/>
        </w:rPr>
      </w:pPr>
      <w:r>
        <w:rPr>
          <w:rFonts w:hint="eastAsia" w:ascii="宋体" w:hAnsi="宋体" w:cs="宋体"/>
          <w:sz w:val="24"/>
          <w:szCs w:val="24"/>
        </w:rPr>
        <w:t>法定代表人（或授权代表签字）：</w:t>
      </w:r>
    </w:p>
    <w:p>
      <w:pPr>
        <w:spacing w:line="360" w:lineRule="auto"/>
        <w:rPr>
          <w:rFonts w:ascii="宋体" w:hAnsi="宋体" w:cs="宋体"/>
          <w:sz w:val="24"/>
          <w:szCs w:val="24"/>
        </w:rPr>
      </w:pPr>
      <w:r>
        <w:rPr>
          <w:rFonts w:hint="eastAsia" w:ascii="宋体" w:hAnsi="宋体" w:cs="宋体"/>
          <w:sz w:val="24"/>
          <w:szCs w:val="24"/>
        </w:rPr>
        <w:t>盖章：</w:t>
      </w:r>
    </w:p>
    <w:p>
      <w:pPr>
        <w:widowControl/>
        <w:spacing w:line="360" w:lineRule="auto"/>
        <w:jc w:val="left"/>
        <w:rPr>
          <w:rFonts w:ascii="宋体" w:hAnsi="宋体" w:cs="宋体"/>
          <w:sz w:val="30"/>
          <w:szCs w:val="30"/>
        </w:rPr>
      </w:pPr>
      <w:r>
        <w:rPr>
          <w:rFonts w:hint="eastAsia" w:ascii="宋体" w:hAnsi="宋体" w:cs="宋体"/>
          <w:sz w:val="24"/>
          <w:szCs w:val="24"/>
        </w:rPr>
        <w:t>签字日期：</w:t>
      </w:r>
      <w:bookmarkStart w:id="522" w:name="_Toc100786146"/>
      <w:r>
        <w:rPr>
          <w:rFonts w:hint="eastAsia" w:ascii="宋体" w:hAnsi="宋体" w:cs="宋体"/>
          <w:sz w:val="30"/>
          <w:szCs w:val="30"/>
        </w:rPr>
        <w:br w:type="page"/>
      </w:r>
    </w:p>
    <w:p>
      <w:pPr>
        <w:pStyle w:val="45"/>
        <w:spacing w:line="360" w:lineRule="auto"/>
        <w:ind w:firstLine="602"/>
        <w:rPr>
          <w:rFonts w:ascii="宋体" w:hAnsi="宋体" w:eastAsia="宋体" w:cs="宋体"/>
          <w:sz w:val="24"/>
          <w:szCs w:val="24"/>
        </w:rPr>
      </w:pPr>
      <w:r>
        <w:rPr>
          <w:rFonts w:hint="eastAsia" w:ascii="宋体" w:hAnsi="宋体" w:eastAsia="宋体" w:cs="宋体"/>
          <w:sz w:val="30"/>
          <w:szCs w:val="30"/>
        </w:rPr>
        <w:t>第四章  投标文件格式</w:t>
      </w:r>
      <w:bookmarkEnd w:id="378"/>
      <w:bookmarkEnd w:id="522"/>
    </w:p>
    <w:p>
      <w:pPr>
        <w:spacing w:line="360" w:lineRule="auto"/>
        <w:rPr>
          <w:rFonts w:ascii="宋体" w:hAnsi="宋体" w:cs="宋体"/>
          <w:sz w:val="24"/>
          <w:szCs w:val="24"/>
          <w:lang w:val="zh-CN"/>
        </w:rPr>
      </w:pPr>
    </w:p>
    <w:p>
      <w:pPr>
        <w:spacing w:line="360" w:lineRule="auto"/>
        <w:rPr>
          <w:rFonts w:ascii="宋体" w:hAnsi="宋体" w:cs="宋体"/>
          <w:sz w:val="24"/>
          <w:szCs w:val="24"/>
          <w:lang w:val="zh-CN"/>
        </w:rPr>
      </w:pPr>
    </w:p>
    <w:p>
      <w:pPr>
        <w:spacing w:line="360" w:lineRule="auto"/>
        <w:ind w:firstLine="482"/>
        <w:rPr>
          <w:rFonts w:ascii="宋体" w:hAnsi="宋体" w:cs="宋体"/>
          <w:b/>
          <w:sz w:val="24"/>
          <w:szCs w:val="24"/>
        </w:rPr>
      </w:pPr>
      <w:r>
        <w:rPr>
          <w:rFonts w:hint="eastAsia" w:ascii="宋体" w:hAnsi="宋体" w:cs="宋体"/>
          <w:b/>
          <w:sz w:val="24"/>
          <w:szCs w:val="24"/>
        </w:rPr>
        <w:br w:type="page"/>
      </w:r>
    </w:p>
    <w:p>
      <w:pPr>
        <w:spacing w:line="360" w:lineRule="auto"/>
        <w:ind w:firstLine="482"/>
        <w:rPr>
          <w:rFonts w:ascii="宋体" w:hAnsi="宋体" w:cs="宋体"/>
          <w:b/>
          <w:sz w:val="24"/>
          <w:szCs w:val="24"/>
        </w:rPr>
      </w:pPr>
      <w:r>
        <w:rPr>
          <w:rFonts w:hint="eastAsia" w:ascii="宋体" w:hAnsi="宋体" w:cs="宋体"/>
          <w:b/>
          <w:sz w:val="24"/>
          <w:szCs w:val="24"/>
        </w:rPr>
        <w:t>投标文件封面参考格式：</w:t>
      </w:r>
    </w:p>
    <w:p>
      <w:pPr>
        <w:spacing w:line="360" w:lineRule="auto"/>
        <w:ind w:firstLine="482"/>
        <w:rPr>
          <w:rFonts w:ascii="宋体" w:hAnsi="宋体" w:cs="宋体"/>
          <w:b/>
          <w:sz w:val="24"/>
          <w:szCs w:val="24"/>
        </w:rPr>
      </w:pPr>
    </w:p>
    <w:p>
      <w:pPr>
        <w:spacing w:line="360" w:lineRule="auto"/>
        <w:ind w:firstLine="482"/>
        <w:jc w:val="center"/>
        <w:rPr>
          <w:rFonts w:ascii="宋体" w:hAnsi="宋体" w:cs="宋体"/>
          <w:b/>
          <w:sz w:val="24"/>
          <w:szCs w:val="24"/>
        </w:rPr>
      </w:pPr>
    </w:p>
    <w:p>
      <w:pPr>
        <w:spacing w:line="360" w:lineRule="auto"/>
        <w:ind w:firstLine="1606" w:firstLineChars="500"/>
        <w:rPr>
          <w:rFonts w:ascii="宋体" w:hAnsi="宋体" w:cs="宋体"/>
          <w:b/>
          <w:sz w:val="52"/>
          <w:szCs w:val="52"/>
        </w:rPr>
      </w:pPr>
      <w:r>
        <w:rPr>
          <w:rFonts w:hint="eastAsia" w:ascii="宋体" w:hAnsi="宋体" w:cs="宋体"/>
          <w:b/>
          <w:sz w:val="32"/>
          <w:szCs w:val="32"/>
          <w:u w:val="single"/>
        </w:rPr>
        <w:t xml:space="preserve">                 </w:t>
      </w:r>
      <w:r>
        <w:rPr>
          <w:rFonts w:hint="eastAsia" w:ascii="宋体" w:hAnsi="宋体" w:cs="宋体"/>
          <w:b/>
          <w:sz w:val="52"/>
          <w:szCs w:val="52"/>
        </w:rPr>
        <w:t>项目招标</w:t>
      </w:r>
    </w:p>
    <w:p>
      <w:pPr>
        <w:spacing w:line="360" w:lineRule="auto"/>
        <w:ind w:firstLine="482"/>
        <w:jc w:val="center"/>
        <w:rPr>
          <w:rFonts w:ascii="宋体" w:hAnsi="宋体" w:cs="宋体"/>
          <w:b/>
          <w:sz w:val="24"/>
          <w:szCs w:val="24"/>
        </w:rPr>
      </w:pPr>
    </w:p>
    <w:p>
      <w:pPr>
        <w:spacing w:line="360" w:lineRule="auto"/>
        <w:ind w:firstLine="482"/>
        <w:jc w:val="center"/>
        <w:rPr>
          <w:rFonts w:ascii="宋体" w:hAnsi="宋体" w:cs="宋体"/>
          <w:b/>
          <w:sz w:val="24"/>
          <w:szCs w:val="24"/>
        </w:rPr>
      </w:pPr>
    </w:p>
    <w:p>
      <w:pPr>
        <w:spacing w:line="360" w:lineRule="auto"/>
        <w:ind w:firstLine="482"/>
        <w:jc w:val="center"/>
        <w:rPr>
          <w:rFonts w:ascii="宋体" w:hAnsi="宋体" w:cs="宋体"/>
          <w:b/>
          <w:sz w:val="24"/>
          <w:szCs w:val="24"/>
        </w:rPr>
      </w:pPr>
    </w:p>
    <w:p>
      <w:pPr>
        <w:spacing w:line="360" w:lineRule="auto"/>
        <w:ind w:firstLine="420"/>
        <w:rPr>
          <w:rFonts w:ascii="宋体" w:hAnsi="宋体" w:cs="宋体"/>
        </w:rPr>
      </w:pPr>
    </w:p>
    <w:p>
      <w:pPr>
        <w:spacing w:line="360" w:lineRule="auto"/>
        <w:ind w:firstLine="1446"/>
        <w:jc w:val="center"/>
        <w:rPr>
          <w:rFonts w:ascii="宋体" w:hAnsi="宋体" w:cs="宋体"/>
          <w:b/>
          <w:sz w:val="72"/>
          <w:szCs w:val="72"/>
        </w:rPr>
      </w:pPr>
      <w:r>
        <w:rPr>
          <w:rFonts w:hint="eastAsia" w:ascii="宋体" w:hAnsi="宋体" w:cs="宋体"/>
          <w:b/>
          <w:sz w:val="72"/>
          <w:szCs w:val="72"/>
        </w:rPr>
        <w:t>投标文件</w:t>
      </w:r>
    </w:p>
    <w:p>
      <w:pPr>
        <w:spacing w:line="360" w:lineRule="auto"/>
        <w:ind w:firstLine="643"/>
        <w:jc w:val="center"/>
        <w:rPr>
          <w:rFonts w:ascii="宋体" w:hAnsi="宋体" w:cs="宋体"/>
          <w:b/>
          <w:sz w:val="32"/>
          <w:szCs w:val="32"/>
        </w:rPr>
      </w:pPr>
    </w:p>
    <w:p>
      <w:pPr>
        <w:spacing w:line="360" w:lineRule="auto"/>
        <w:ind w:firstLine="643"/>
        <w:jc w:val="center"/>
        <w:rPr>
          <w:rFonts w:ascii="宋体" w:hAnsi="宋体" w:cs="宋体"/>
          <w:b/>
          <w:sz w:val="32"/>
          <w:szCs w:val="32"/>
          <w:u w:val="single"/>
        </w:rPr>
      </w:pPr>
      <w:r>
        <w:rPr>
          <w:rFonts w:hint="eastAsia" w:ascii="宋体" w:hAnsi="宋体" w:cs="宋体"/>
          <w:b/>
          <w:sz w:val="32"/>
          <w:szCs w:val="32"/>
        </w:rPr>
        <w:t xml:space="preserve">招标编号： </w:t>
      </w:r>
    </w:p>
    <w:p>
      <w:pPr>
        <w:snapToGrid w:val="0"/>
        <w:spacing w:line="360" w:lineRule="auto"/>
        <w:ind w:firstLine="643"/>
        <w:jc w:val="center"/>
        <w:rPr>
          <w:rFonts w:ascii="宋体" w:hAnsi="宋体" w:cs="宋体"/>
          <w:b/>
          <w:sz w:val="32"/>
          <w:szCs w:val="32"/>
          <w:u w:val="single"/>
        </w:rPr>
      </w:pPr>
      <w:r>
        <w:rPr>
          <w:rFonts w:hint="eastAsia" w:ascii="宋体" w:hAnsi="宋体" w:cs="宋体"/>
          <w:b/>
          <w:sz w:val="32"/>
          <w:szCs w:val="32"/>
          <w:u w:val="single"/>
        </w:rPr>
        <w:t>第   包</w:t>
      </w:r>
    </w:p>
    <w:p>
      <w:pPr>
        <w:snapToGrid w:val="0"/>
        <w:spacing w:line="360" w:lineRule="auto"/>
        <w:ind w:firstLine="643"/>
        <w:rPr>
          <w:rFonts w:ascii="宋体" w:hAnsi="宋体" w:cs="宋体"/>
          <w:b/>
          <w:sz w:val="32"/>
          <w:szCs w:val="32"/>
          <w:u w:val="single"/>
        </w:rPr>
      </w:pPr>
    </w:p>
    <w:p>
      <w:pPr>
        <w:snapToGrid w:val="0"/>
        <w:spacing w:line="360" w:lineRule="auto"/>
        <w:ind w:firstLine="643"/>
        <w:rPr>
          <w:rFonts w:ascii="宋体" w:hAnsi="宋体" w:cs="宋体"/>
          <w:b/>
          <w:sz w:val="32"/>
          <w:szCs w:val="32"/>
          <w:u w:val="single"/>
        </w:rPr>
      </w:pPr>
    </w:p>
    <w:p>
      <w:pPr>
        <w:snapToGrid w:val="0"/>
        <w:spacing w:line="360" w:lineRule="auto"/>
        <w:ind w:firstLine="643"/>
        <w:rPr>
          <w:rFonts w:ascii="宋体" w:hAnsi="宋体" w:cs="宋体"/>
          <w:b/>
          <w:sz w:val="32"/>
          <w:szCs w:val="32"/>
          <w:u w:val="single"/>
        </w:rPr>
      </w:pPr>
      <w:r>
        <w:rPr>
          <w:rFonts w:hint="eastAsia" w:ascii="宋体" w:hAnsi="宋体" w:cs="宋体"/>
          <w:b/>
          <w:sz w:val="32"/>
          <w:szCs w:val="32"/>
        </w:rPr>
        <w:t>投标人名称：</w:t>
      </w:r>
      <w:r>
        <w:rPr>
          <w:rFonts w:hint="eastAsia" w:ascii="宋体" w:hAnsi="宋体" w:cs="宋体"/>
          <w:b/>
          <w:sz w:val="32"/>
          <w:szCs w:val="32"/>
          <w:u w:val="single"/>
        </w:rPr>
        <w:t xml:space="preserve">                 （盖公章）</w:t>
      </w:r>
    </w:p>
    <w:p>
      <w:pPr>
        <w:snapToGrid w:val="0"/>
        <w:spacing w:line="360" w:lineRule="auto"/>
        <w:ind w:firstLine="643"/>
        <w:rPr>
          <w:rFonts w:ascii="宋体" w:hAnsi="宋体" w:cs="宋体"/>
          <w:b/>
          <w:sz w:val="32"/>
          <w:szCs w:val="32"/>
          <w:u w:val="single"/>
        </w:rPr>
      </w:pPr>
    </w:p>
    <w:p>
      <w:pPr>
        <w:snapToGrid w:val="0"/>
        <w:spacing w:line="360" w:lineRule="auto"/>
        <w:ind w:firstLine="643"/>
        <w:rPr>
          <w:rFonts w:ascii="宋体" w:hAnsi="宋体" w:cs="宋体"/>
          <w:b/>
          <w:sz w:val="32"/>
          <w:szCs w:val="32"/>
          <w:u w:val="single"/>
        </w:rPr>
      </w:pPr>
      <w:r>
        <w:rPr>
          <w:rFonts w:hint="eastAsia" w:ascii="宋体" w:hAnsi="宋体" w:cs="宋体"/>
          <w:b/>
          <w:sz w:val="32"/>
          <w:szCs w:val="32"/>
        </w:rPr>
        <w:t>投标人地址：</w:t>
      </w:r>
      <w:r>
        <w:rPr>
          <w:rFonts w:hint="eastAsia" w:ascii="宋体" w:hAnsi="宋体" w:cs="宋体"/>
          <w:b/>
          <w:sz w:val="32"/>
          <w:szCs w:val="32"/>
          <w:u w:val="single"/>
        </w:rPr>
        <w:t xml:space="preserve">                           </w:t>
      </w:r>
    </w:p>
    <w:p>
      <w:pPr>
        <w:pStyle w:val="18"/>
        <w:ind w:firstLine="528"/>
        <w:rPr>
          <w:rFonts w:hAnsi="宋体" w:eastAsia="宋体" w:cs="宋体"/>
        </w:rPr>
      </w:pPr>
    </w:p>
    <w:p>
      <w:pPr>
        <w:spacing w:line="360" w:lineRule="auto"/>
        <w:ind w:firstLine="643"/>
        <w:rPr>
          <w:rFonts w:ascii="宋体" w:hAnsi="宋体" w:cs="宋体"/>
          <w:b/>
          <w:sz w:val="32"/>
          <w:szCs w:val="32"/>
        </w:rPr>
      </w:pPr>
      <w:r>
        <w:rPr>
          <w:rFonts w:hint="eastAsia" w:ascii="宋体" w:hAnsi="宋体" w:cs="宋体"/>
          <w:b/>
          <w:sz w:val="32"/>
          <w:szCs w:val="32"/>
        </w:rPr>
        <w:t>法定代表人或其委托代理人：</w:t>
      </w:r>
      <w:r>
        <w:rPr>
          <w:rFonts w:hint="eastAsia" w:ascii="宋体" w:hAnsi="宋体" w:cs="宋体"/>
          <w:b/>
          <w:sz w:val="32"/>
          <w:szCs w:val="32"/>
          <w:u w:val="single"/>
        </w:rPr>
        <w:t>（签字或盖章）</w:t>
      </w:r>
    </w:p>
    <w:p>
      <w:pPr>
        <w:snapToGrid w:val="0"/>
        <w:spacing w:line="360" w:lineRule="auto"/>
        <w:ind w:firstLine="482"/>
        <w:rPr>
          <w:rFonts w:ascii="宋体" w:hAnsi="宋体" w:cs="宋体"/>
          <w:b/>
          <w:sz w:val="24"/>
          <w:szCs w:val="24"/>
        </w:rPr>
      </w:pPr>
    </w:p>
    <w:p>
      <w:pPr>
        <w:snapToGrid w:val="0"/>
        <w:spacing w:line="360" w:lineRule="auto"/>
        <w:ind w:firstLine="482"/>
        <w:rPr>
          <w:rFonts w:ascii="宋体" w:hAnsi="宋体" w:cs="宋体"/>
          <w:b/>
          <w:sz w:val="24"/>
          <w:szCs w:val="24"/>
        </w:rPr>
      </w:pPr>
    </w:p>
    <w:p>
      <w:pPr>
        <w:snapToGrid w:val="0"/>
        <w:spacing w:line="360" w:lineRule="auto"/>
        <w:ind w:firstLine="562"/>
        <w:jc w:val="center"/>
        <w:rPr>
          <w:rFonts w:ascii="宋体" w:hAnsi="宋体" w:cs="宋体"/>
          <w:b/>
          <w:sz w:val="28"/>
          <w:szCs w:val="28"/>
        </w:rPr>
      </w:pPr>
      <w:r>
        <w:rPr>
          <w:rFonts w:hint="eastAsia" w:ascii="宋体" w:hAnsi="宋体" w:cs="宋体"/>
          <w:b/>
          <w:sz w:val="28"/>
          <w:szCs w:val="28"/>
        </w:rPr>
        <w:t>日  期： 年  月  日</w:t>
      </w:r>
      <w:r>
        <w:rPr>
          <w:rFonts w:hint="eastAsia" w:ascii="宋体" w:hAnsi="宋体" w:cs="宋体"/>
          <w:b/>
          <w:sz w:val="24"/>
          <w:szCs w:val="24"/>
        </w:rPr>
        <w:br w:type="page"/>
      </w:r>
    </w:p>
    <w:p>
      <w:pPr>
        <w:pStyle w:val="3"/>
        <w:spacing w:line="360" w:lineRule="auto"/>
        <w:ind w:firstLine="562"/>
        <w:rPr>
          <w:rFonts w:ascii="宋体" w:hAnsi="宋体"/>
          <w:szCs w:val="28"/>
        </w:rPr>
      </w:pPr>
      <w:bookmarkStart w:id="523" w:name="_Toc100786147"/>
      <w:bookmarkStart w:id="524" w:name="_Toc13481"/>
      <w:r>
        <w:rPr>
          <w:rFonts w:hint="eastAsia" w:ascii="宋体" w:hAnsi="宋体"/>
          <w:szCs w:val="28"/>
        </w:rPr>
        <w:t>附件1  投 标 函（实质性格式）</w:t>
      </w:r>
      <w:bookmarkEnd w:id="523"/>
      <w:bookmarkEnd w:id="524"/>
    </w:p>
    <w:p>
      <w:pPr>
        <w:adjustRightInd w:val="0"/>
        <w:snapToGrid w:val="0"/>
        <w:spacing w:line="360" w:lineRule="auto"/>
        <w:rPr>
          <w:rFonts w:ascii="宋体" w:hAnsi="宋体" w:cs="宋体"/>
          <w:bCs/>
          <w:sz w:val="24"/>
          <w:szCs w:val="24"/>
          <w:u w:val="single"/>
        </w:rPr>
      </w:pPr>
      <w:r>
        <w:rPr>
          <w:rFonts w:hint="eastAsia" w:ascii="宋体" w:hAnsi="宋体" w:cs="宋体"/>
          <w:bCs/>
          <w:sz w:val="24"/>
          <w:szCs w:val="24"/>
        </w:rPr>
        <w:t>致：</w:t>
      </w:r>
      <w:r>
        <w:rPr>
          <w:rFonts w:hint="eastAsia" w:ascii="宋体" w:hAnsi="宋体" w:cs="宋体"/>
          <w:bCs/>
          <w:sz w:val="24"/>
          <w:szCs w:val="24"/>
          <w:u w:val="single"/>
        </w:rPr>
        <w:t>北京市京发招标有限公司</w:t>
      </w:r>
    </w:p>
    <w:p>
      <w:pPr>
        <w:pStyle w:val="25"/>
        <w:tabs>
          <w:tab w:val="left" w:pos="5580"/>
        </w:tabs>
        <w:spacing w:line="360" w:lineRule="auto"/>
        <w:rPr>
          <w:rFonts w:hAnsi="宋体" w:cs="宋体"/>
          <w:sz w:val="24"/>
          <w:szCs w:val="24"/>
        </w:rPr>
      </w:pPr>
      <w:r>
        <w:rPr>
          <w:rFonts w:hint="eastAsia" w:hAnsi="宋体" w:cs="宋体"/>
          <w:sz w:val="24"/>
          <w:szCs w:val="24"/>
        </w:rPr>
        <w:t xml:space="preserve">    根据贵方为</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项目名称</w:t>
      </w: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包项目招标采购的投标邀请</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招标编号</w:t>
      </w:r>
      <w:r>
        <w:rPr>
          <w:rFonts w:hint="eastAsia" w:hAnsi="宋体" w:cs="宋体"/>
          <w:sz w:val="24"/>
          <w:szCs w:val="24"/>
        </w:rPr>
        <w:t>),签字代表</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姓名、职务</w:t>
      </w:r>
      <w:r>
        <w:rPr>
          <w:rFonts w:hint="eastAsia" w:hAnsi="宋体" w:cs="宋体"/>
          <w:sz w:val="24"/>
          <w:szCs w:val="24"/>
        </w:rPr>
        <w:t>)经正式授权并代表投标人</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投标人名称、地址</w:t>
      </w:r>
      <w:r>
        <w:rPr>
          <w:rFonts w:hint="eastAsia" w:hAnsi="宋体" w:cs="宋体"/>
          <w:sz w:val="24"/>
          <w:szCs w:val="24"/>
        </w:rPr>
        <w:t>）提交投标文件正本份、副本份及电子文档份</w:t>
      </w:r>
    </w:p>
    <w:p>
      <w:pPr>
        <w:pStyle w:val="25"/>
        <w:tabs>
          <w:tab w:val="left" w:pos="420"/>
          <w:tab w:val="left" w:pos="828"/>
          <w:tab w:val="left" w:pos="5580"/>
        </w:tabs>
        <w:spacing w:line="360" w:lineRule="auto"/>
        <w:ind w:left="525"/>
        <w:rPr>
          <w:rFonts w:hAnsi="宋体" w:cs="宋体"/>
          <w:sz w:val="24"/>
          <w:szCs w:val="24"/>
        </w:rPr>
      </w:pPr>
      <w:r>
        <w:rPr>
          <w:rFonts w:hint="eastAsia" w:hAnsi="宋体" w:cs="宋体"/>
          <w:sz w:val="24"/>
          <w:szCs w:val="20"/>
        </w:rPr>
        <w:t>1.我方</w:t>
      </w:r>
      <w:r>
        <w:rPr>
          <w:rFonts w:hint="eastAsia" w:hAnsi="宋体" w:cs="宋体"/>
          <w:sz w:val="24"/>
        </w:rPr>
        <w:t>已详细审查全部招标文件</w:t>
      </w:r>
      <w:r>
        <w:rPr>
          <w:rFonts w:hint="eastAsia" w:hAnsi="宋体" w:cs="宋体"/>
          <w:sz w:val="24"/>
          <w:szCs w:val="20"/>
        </w:rPr>
        <w:t>，自愿参与投标并承诺如下：</w:t>
      </w:r>
      <w:r>
        <w:rPr>
          <w:rFonts w:hint="eastAsia" w:hAnsi="宋体" w:cs="宋体"/>
          <w:sz w:val="24"/>
          <w:szCs w:val="24"/>
        </w:rPr>
        <w:t>：</w:t>
      </w:r>
    </w:p>
    <w:p>
      <w:pPr>
        <w:pStyle w:val="25"/>
        <w:tabs>
          <w:tab w:val="left" w:pos="420"/>
          <w:tab w:val="left" w:pos="828"/>
          <w:tab w:val="left" w:pos="5580"/>
        </w:tabs>
        <w:spacing w:line="360" w:lineRule="auto"/>
        <w:ind w:left="525"/>
        <w:rPr>
          <w:rFonts w:hAnsi="宋体" w:cs="宋体"/>
          <w:sz w:val="24"/>
          <w:szCs w:val="24"/>
        </w:rPr>
      </w:pPr>
      <w:r>
        <w:rPr>
          <w:rFonts w:hint="eastAsia" w:hAnsi="宋体" w:cs="宋体"/>
          <w:sz w:val="24"/>
          <w:szCs w:val="24"/>
        </w:rPr>
        <w:t>（1）</w:t>
      </w:r>
      <w:r>
        <w:rPr>
          <w:rFonts w:hint="eastAsia" w:hAnsi="宋体" w:cs="宋体"/>
          <w:kern w:val="20"/>
          <w:sz w:val="24"/>
          <w:szCs w:val="24"/>
        </w:rPr>
        <w:t>我方提交的投标文件资料是完整的、真实的和准确的，承诺</w:t>
      </w:r>
      <w:r>
        <w:rPr>
          <w:rFonts w:hint="eastAsia" w:hAnsi="宋体" w:cs="宋体"/>
          <w:bCs/>
          <w:sz w:val="24"/>
          <w:szCs w:val="24"/>
        </w:rPr>
        <w:t>未以他人的名义投标、串通投标、以行贿手段谋取中标或者以其他弄虚作假方式投标。</w:t>
      </w:r>
      <w:r>
        <w:rPr>
          <w:rFonts w:hint="eastAsia" w:hAnsi="宋体" w:cs="宋体"/>
          <w:kern w:val="20"/>
          <w:sz w:val="24"/>
          <w:szCs w:val="24"/>
        </w:rPr>
        <w:t>我方同意按照贵方的要求，提供有关的数据和资料。</w:t>
      </w:r>
      <w:r>
        <w:rPr>
          <w:rFonts w:hint="eastAsia" w:hAnsi="宋体" w:cs="宋体"/>
          <w:sz w:val="24"/>
          <w:szCs w:val="24"/>
        </w:rPr>
        <w:t>为此，我们授权任何相关的个人和公司向贵方提供要求的和必要的真实情况和资料以证实我们所填报的各项内容。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本段承诺是我方真实意思的表示且具有相对独立性，不管是否有其他相反的说明，本段承诺均为我方投标文件的有效组成内容，对我方在与该项目有关的任何行为中始终具有优先的法律约束力。</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（2）我方已详细审查全部招标文件，包括第</w:t>
      </w:r>
      <w:r>
        <w:rPr>
          <w:rFonts w:hint="eastAsia" w:hAnsi="宋体" w:cs="宋体"/>
          <w:sz w:val="24"/>
          <w:szCs w:val="24"/>
          <w:u w:val="single"/>
        </w:rPr>
        <w:t>/</w:t>
      </w:r>
      <w:r>
        <w:rPr>
          <w:rFonts w:hint="eastAsia" w:hAnsi="宋体" w:cs="宋体"/>
          <w:sz w:val="24"/>
          <w:szCs w:val="24"/>
        </w:rPr>
        <w:t>号（招标编号、补充通知）（如果有的话），</w:t>
      </w:r>
      <w:r>
        <w:rPr>
          <w:rFonts w:hint="eastAsia" w:hAnsi="宋体" w:cs="宋体"/>
          <w:kern w:val="20"/>
          <w:sz w:val="24"/>
          <w:szCs w:val="24"/>
        </w:rPr>
        <w:t>及有关附件中所有的须知、事项、格式、条款和规范要求等，</w:t>
      </w:r>
      <w:r>
        <w:rPr>
          <w:rFonts w:hint="eastAsia" w:hAnsi="宋体" w:cs="宋体"/>
          <w:sz w:val="24"/>
          <w:szCs w:val="24"/>
        </w:rPr>
        <w:t>我们完全理解并同意放弃对这方面有不明及误解的权力。</w:t>
      </w:r>
      <w:r>
        <w:rPr>
          <w:rFonts w:hint="eastAsia" w:hAnsi="宋体" w:cs="宋体"/>
          <w:kern w:val="20"/>
          <w:sz w:val="24"/>
          <w:szCs w:val="24"/>
        </w:rPr>
        <w:t>若我方的投标文件没有按招标文件的要求提交全部资料，或投标文件没有对招标文件做出实质性响应，其风险由我方自行承担。</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3）我方具备《中华人民共和国政府采购法》第二十二条规定的所有条件。我方保证在最近三年内的经营活动中没有因违法受到刑事处罚或者责令停产停业、吊销许可证或者执照、较大数额罚款等重大违法记录。我方不是为本采购项目提供整体设计、规范编制或者项目管理、监理、检测等服务的供应商。我单位如与其他本项目投标人的单位负责人存在直接控股和管理关系，我方愿无条件自动放弃投标。</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（4）</w:t>
      </w:r>
      <w:r>
        <w:rPr>
          <w:rFonts w:hint="eastAsia" w:hAnsi="宋体" w:cs="宋体"/>
          <w:sz w:val="24"/>
          <w:szCs w:val="20"/>
        </w:rPr>
        <w:t>如我方中标，我方将在法律规定的期限内与贵方签订合同，按照招标文件要求提交履约保证金，并在合同约定的期限内完成合同规定的全部义务。</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（5）</w:t>
      </w:r>
      <w:r>
        <w:rPr>
          <w:rFonts w:hint="eastAsia" w:hAnsi="宋体" w:cs="宋体"/>
          <w:sz w:val="24"/>
          <w:szCs w:val="20"/>
        </w:rPr>
        <w:t>本投标有效期为自提交投标文件的截止之日起</w:t>
      </w:r>
      <w:r>
        <w:rPr>
          <w:rFonts w:hint="eastAsia" w:hAnsi="宋体" w:cs="宋体"/>
          <w:sz w:val="24"/>
        </w:rPr>
        <w:t>_____</w:t>
      </w:r>
      <w:r>
        <w:rPr>
          <w:rFonts w:hint="eastAsia" w:hAnsi="宋体" w:cs="宋体"/>
          <w:sz w:val="24"/>
          <w:szCs w:val="20"/>
        </w:rPr>
        <w:t>个日历日。</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（6）在规定的开标时间后，我方保证遵守招标文件中有关保证金的规定。（7）我方接受招标文件中关于招标代理服务费的约定。</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（8）我方完全理解贵方不一定接受最低价及选择性报价的投标。</w:t>
      </w:r>
    </w:p>
    <w:p>
      <w:pPr>
        <w:pStyle w:val="25"/>
        <w:tabs>
          <w:tab w:val="left" w:pos="420"/>
          <w:tab w:val="left" w:pos="5580"/>
        </w:tabs>
        <w:spacing w:line="360" w:lineRule="auto"/>
        <w:ind w:left="525"/>
        <w:rPr>
          <w:rFonts w:hAnsi="宋体" w:cs="宋体"/>
          <w:sz w:val="24"/>
        </w:rPr>
      </w:pPr>
      <w:r>
        <w:rPr>
          <w:rFonts w:hint="eastAsia" w:hAnsi="宋体" w:cs="宋体"/>
          <w:sz w:val="24"/>
          <w:szCs w:val="24"/>
        </w:rPr>
        <w:t>2.</w:t>
      </w:r>
      <w:r>
        <w:rPr>
          <w:rFonts w:hint="eastAsia" w:hAnsi="宋体" w:cs="宋体"/>
          <w:sz w:val="24"/>
        </w:rPr>
        <w:t>其他补充条款（如有）：</w:t>
      </w:r>
      <w:r>
        <w:rPr>
          <w:rFonts w:hint="eastAsia" w:hAnsi="宋体" w:cs="宋体"/>
          <w:sz w:val="24"/>
          <w:szCs w:val="20"/>
        </w:rPr>
        <w:t>___________</w:t>
      </w:r>
      <w:r>
        <w:rPr>
          <w:rFonts w:hint="eastAsia" w:hAnsi="宋体" w:cs="宋体"/>
          <w:sz w:val="24"/>
        </w:rPr>
        <w:t>。</w:t>
      </w:r>
    </w:p>
    <w:p>
      <w:pPr>
        <w:pStyle w:val="25"/>
        <w:tabs>
          <w:tab w:val="left" w:pos="420"/>
          <w:tab w:val="left" w:pos="5580"/>
        </w:tabs>
        <w:spacing w:line="360" w:lineRule="auto"/>
        <w:ind w:firstLine="480" w:firstLineChars="200"/>
        <w:rPr>
          <w:rFonts w:hAnsi="宋体" w:cs="宋体"/>
          <w:sz w:val="24"/>
          <w:szCs w:val="24"/>
        </w:rPr>
      </w:pPr>
      <w:r>
        <w:rPr>
          <w:rFonts w:hint="eastAsia" w:hAnsi="宋体" w:cs="宋体"/>
          <w:sz w:val="24"/>
          <w:szCs w:val="24"/>
        </w:rPr>
        <w:t>与本投标有关的一切正式往来信函请寄：</w:t>
      </w:r>
    </w:p>
    <w:p>
      <w:pPr>
        <w:pStyle w:val="25"/>
        <w:tabs>
          <w:tab w:val="left" w:pos="420"/>
          <w:tab w:val="left" w:pos="5580"/>
        </w:tabs>
        <w:spacing w:line="360" w:lineRule="auto"/>
        <w:ind w:firstLine="480" w:firstLineChars="200"/>
        <w:rPr>
          <w:rFonts w:hAnsi="宋体" w:cs="宋体"/>
          <w:sz w:val="24"/>
          <w:szCs w:val="24"/>
        </w:rPr>
      </w:pPr>
    </w:p>
    <w:p>
      <w:pPr>
        <w:pStyle w:val="25"/>
        <w:tabs>
          <w:tab w:val="left" w:pos="5580"/>
        </w:tabs>
        <w:spacing w:line="360" w:lineRule="auto"/>
        <w:ind w:left="420"/>
        <w:rPr>
          <w:rFonts w:hAnsi="宋体" w:cs="宋体"/>
          <w:sz w:val="24"/>
          <w:szCs w:val="24"/>
        </w:rPr>
      </w:pPr>
      <w:r>
        <w:rPr>
          <w:rFonts w:hint="eastAsia" w:hAnsi="宋体" w:cs="宋体"/>
          <w:sz w:val="24"/>
          <w:szCs w:val="24"/>
        </w:rPr>
        <w:t>地址</w:t>
      </w:r>
    </w:p>
    <w:p>
      <w:pPr>
        <w:pStyle w:val="25"/>
        <w:tabs>
          <w:tab w:val="left" w:pos="5580"/>
        </w:tabs>
        <w:spacing w:line="360" w:lineRule="auto"/>
        <w:ind w:left="420"/>
        <w:rPr>
          <w:rFonts w:hAnsi="宋体" w:cs="宋体"/>
          <w:sz w:val="24"/>
          <w:szCs w:val="24"/>
        </w:rPr>
      </w:pPr>
      <w:r>
        <w:rPr>
          <w:rFonts w:hint="eastAsia" w:hAnsi="宋体" w:cs="宋体"/>
          <w:sz w:val="24"/>
          <w:szCs w:val="24"/>
        </w:rPr>
        <w:t>传真</w:t>
      </w:r>
    </w:p>
    <w:p>
      <w:pPr>
        <w:pStyle w:val="25"/>
        <w:tabs>
          <w:tab w:val="left" w:pos="5580"/>
        </w:tabs>
        <w:spacing w:line="360" w:lineRule="auto"/>
        <w:ind w:left="420"/>
        <w:rPr>
          <w:rFonts w:hAnsi="宋体" w:cs="宋体"/>
          <w:sz w:val="24"/>
          <w:szCs w:val="24"/>
        </w:rPr>
      </w:pPr>
      <w:r>
        <w:rPr>
          <w:rFonts w:hint="eastAsia" w:hAnsi="宋体" w:cs="宋体"/>
          <w:sz w:val="24"/>
          <w:szCs w:val="24"/>
        </w:rPr>
        <w:t>电话</w:t>
      </w:r>
    </w:p>
    <w:p>
      <w:pPr>
        <w:pStyle w:val="25"/>
        <w:tabs>
          <w:tab w:val="left" w:pos="5580"/>
        </w:tabs>
        <w:spacing w:line="360" w:lineRule="auto"/>
        <w:ind w:left="420"/>
        <w:rPr>
          <w:rFonts w:hAnsi="宋体" w:cs="宋体"/>
          <w:sz w:val="24"/>
          <w:szCs w:val="24"/>
        </w:rPr>
      </w:pPr>
      <w:r>
        <w:rPr>
          <w:rFonts w:hint="eastAsia" w:hAnsi="宋体" w:cs="宋体"/>
          <w:sz w:val="24"/>
          <w:szCs w:val="24"/>
        </w:rPr>
        <w:t>电子邮件</w:t>
      </w:r>
    </w:p>
    <w:p>
      <w:pPr>
        <w:pStyle w:val="25"/>
        <w:tabs>
          <w:tab w:val="left" w:pos="5580"/>
        </w:tabs>
        <w:spacing w:line="360" w:lineRule="auto"/>
        <w:ind w:left="420"/>
        <w:rPr>
          <w:rFonts w:hAnsi="宋体" w:cs="宋体"/>
          <w:sz w:val="24"/>
          <w:szCs w:val="24"/>
        </w:rPr>
      </w:pPr>
      <w:r>
        <w:rPr>
          <w:rFonts w:hint="eastAsia" w:hAnsi="宋体" w:cs="宋体"/>
          <w:sz w:val="24"/>
          <w:szCs w:val="24"/>
        </w:rPr>
        <w:t>投标人名称（全称）</w:t>
      </w:r>
    </w:p>
    <w:p>
      <w:pPr>
        <w:pStyle w:val="25"/>
        <w:tabs>
          <w:tab w:val="left" w:pos="5580"/>
        </w:tabs>
        <w:spacing w:line="360" w:lineRule="auto"/>
        <w:ind w:left="420"/>
        <w:rPr>
          <w:rFonts w:hAnsi="宋体" w:cs="宋体"/>
          <w:sz w:val="24"/>
          <w:szCs w:val="24"/>
        </w:rPr>
      </w:pPr>
      <w:r>
        <w:rPr>
          <w:rFonts w:hint="eastAsia" w:hAnsi="宋体" w:cs="宋体"/>
          <w:sz w:val="24"/>
          <w:szCs w:val="24"/>
        </w:rPr>
        <w:t>投标人开户银行（全称）</w:t>
      </w:r>
    </w:p>
    <w:p>
      <w:pPr>
        <w:pStyle w:val="25"/>
        <w:tabs>
          <w:tab w:val="left" w:pos="5580"/>
        </w:tabs>
        <w:spacing w:line="360" w:lineRule="auto"/>
        <w:ind w:left="420"/>
        <w:rPr>
          <w:rFonts w:hAnsi="宋体" w:cs="宋体"/>
          <w:sz w:val="24"/>
          <w:szCs w:val="24"/>
        </w:rPr>
      </w:pPr>
      <w:r>
        <w:rPr>
          <w:rFonts w:hint="eastAsia" w:hAnsi="宋体" w:cs="宋体"/>
          <w:sz w:val="24"/>
          <w:szCs w:val="24"/>
        </w:rPr>
        <w:t>投标人银行帐号</w:t>
      </w:r>
    </w:p>
    <w:p>
      <w:pPr>
        <w:pStyle w:val="25"/>
        <w:tabs>
          <w:tab w:val="left" w:pos="5580"/>
        </w:tabs>
        <w:spacing w:line="360" w:lineRule="auto"/>
        <w:ind w:left="420"/>
        <w:rPr>
          <w:rFonts w:hAnsi="宋体" w:cs="宋体"/>
          <w:sz w:val="24"/>
          <w:szCs w:val="24"/>
        </w:rPr>
      </w:pPr>
      <w:r>
        <w:rPr>
          <w:rFonts w:hint="eastAsia" w:hAnsi="宋体" w:cs="宋体"/>
          <w:sz w:val="24"/>
          <w:szCs w:val="24"/>
        </w:rPr>
        <w:t>投标人银行行号</w:t>
      </w:r>
    </w:p>
    <w:p>
      <w:pPr>
        <w:pStyle w:val="25"/>
        <w:tabs>
          <w:tab w:val="left" w:pos="5580"/>
        </w:tabs>
        <w:spacing w:line="360" w:lineRule="auto"/>
        <w:ind w:left="420"/>
        <w:rPr>
          <w:rFonts w:hAnsi="宋体" w:cs="宋体"/>
          <w:sz w:val="24"/>
          <w:szCs w:val="24"/>
        </w:rPr>
      </w:pPr>
      <w:r>
        <w:rPr>
          <w:rFonts w:hint="eastAsia" w:hAnsi="宋体" w:cs="宋体"/>
          <w:sz w:val="24"/>
          <w:szCs w:val="24"/>
        </w:rPr>
        <w:t>投标人公章</w:t>
      </w:r>
    </w:p>
    <w:p>
      <w:pPr>
        <w:pStyle w:val="25"/>
        <w:tabs>
          <w:tab w:val="left" w:pos="5580"/>
        </w:tabs>
        <w:spacing w:line="360" w:lineRule="auto"/>
        <w:ind w:left="420"/>
        <w:rPr>
          <w:rFonts w:hAnsi="宋体" w:cs="宋体"/>
          <w:sz w:val="24"/>
          <w:szCs w:val="24"/>
        </w:rPr>
      </w:pPr>
      <w:r>
        <w:rPr>
          <w:rFonts w:hint="eastAsia" w:hAnsi="宋体" w:cs="宋体"/>
          <w:sz w:val="24"/>
          <w:szCs w:val="24"/>
        </w:rPr>
        <w:t>投标人法定代表人或其授权代表签字或盖章</w:t>
      </w:r>
    </w:p>
    <w:p>
      <w:pPr>
        <w:pStyle w:val="25"/>
        <w:tabs>
          <w:tab w:val="left" w:pos="5580"/>
        </w:tabs>
        <w:spacing w:line="360" w:lineRule="auto"/>
        <w:ind w:left="420"/>
        <w:rPr>
          <w:rFonts w:hAnsi="宋体" w:cs="宋体"/>
          <w:sz w:val="24"/>
          <w:szCs w:val="24"/>
          <w:u w:val="single"/>
        </w:rPr>
      </w:pPr>
      <w:r>
        <w:rPr>
          <w:rFonts w:hint="eastAsia" w:hAnsi="宋体" w:cs="宋体"/>
          <w:sz w:val="24"/>
          <w:szCs w:val="24"/>
        </w:rPr>
        <w:t>日期：</w:t>
      </w:r>
    </w:p>
    <w:p>
      <w:pPr>
        <w:widowControl/>
        <w:ind w:firstLine="420"/>
        <w:jc w:val="left"/>
        <w:rPr>
          <w:rFonts w:ascii="宋体" w:hAnsi="宋体" w:cs="宋体"/>
          <w:b/>
          <w:kern w:val="0"/>
          <w:sz w:val="28"/>
          <w:szCs w:val="28"/>
          <w:lang w:val="zh-CN"/>
        </w:rPr>
      </w:pPr>
      <w:bookmarkStart w:id="525" w:name="_Toc2040"/>
      <w:r>
        <w:rPr>
          <w:rFonts w:hint="eastAsia" w:ascii="宋体" w:hAnsi="宋体" w:cs="宋体"/>
          <w:szCs w:val="28"/>
        </w:rPr>
        <w:br w:type="page"/>
      </w:r>
    </w:p>
    <w:p>
      <w:pPr>
        <w:pStyle w:val="3"/>
        <w:spacing w:line="360" w:lineRule="auto"/>
        <w:ind w:firstLine="562"/>
        <w:rPr>
          <w:rFonts w:ascii="宋体" w:hAnsi="宋体"/>
          <w:szCs w:val="28"/>
        </w:rPr>
      </w:pPr>
      <w:bookmarkStart w:id="526" w:name="_Toc100786148"/>
      <w:r>
        <w:rPr>
          <w:rFonts w:hint="eastAsia" w:ascii="宋体" w:hAnsi="宋体"/>
          <w:szCs w:val="28"/>
        </w:rPr>
        <w:t>附件2  开标一览表</w:t>
      </w:r>
      <w:bookmarkEnd w:id="525"/>
      <w:bookmarkEnd w:id="526"/>
      <w:r>
        <w:rPr>
          <w:rFonts w:hint="eastAsia" w:ascii="宋体" w:hAnsi="宋体"/>
          <w:szCs w:val="28"/>
        </w:rPr>
        <w:t>（实质性格式）</w:t>
      </w:r>
    </w:p>
    <w:p>
      <w:pPr>
        <w:tabs>
          <w:tab w:val="left" w:pos="1800"/>
          <w:tab w:val="left" w:pos="5580"/>
        </w:tabs>
        <w:spacing w:line="360" w:lineRule="auto"/>
        <w:jc w:val="left"/>
        <w:rPr>
          <w:rFonts w:ascii="宋体" w:hAnsi="宋体" w:cs="宋体"/>
          <w:sz w:val="24"/>
          <w:szCs w:val="24"/>
        </w:rPr>
      </w:pPr>
    </w:p>
    <w:p>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项目名称：</w:t>
      </w:r>
    </w:p>
    <w:p>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招标编号：</w:t>
      </w:r>
    </w:p>
    <w:p>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包</w:t>
      </w:r>
    </w:p>
    <w:tbl>
      <w:tblPr>
        <w:tblStyle w:val="48"/>
        <w:tblW w:w="822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4"/>
        <w:gridCol w:w="32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98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r>
              <w:rPr>
                <w:rFonts w:hint="eastAsia" w:ascii="宋体" w:hAnsi="宋体" w:cs="宋体"/>
                <w:sz w:val="24"/>
                <w:szCs w:val="24"/>
              </w:rPr>
              <w:t>投标人</w:t>
            </w:r>
          </w:p>
        </w:tc>
        <w:tc>
          <w:tcPr>
            <w:tcW w:w="3261"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r>
              <w:rPr>
                <w:rFonts w:hint="eastAsia" w:ascii="宋体" w:hAnsi="宋体" w:cs="宋体"/>
                <w:sz w:val="24"/>
                <w:szCs w:val="24"/>
              </w:rPr>
              <w:t>投标报价（万元）</w:t>
            </w:r>
          </w:p>
          <w:p>
            <w:pPr>
              <w:tabs>
                <w:tab w:val="left" w:pos="5580"/>
              </w:tabs>
              <w:spacing w:line="360" w:lineRule="auto"/>
              <w:jc w:val="center"/>
              <w:rPr>
                <w:rFonts w:ascii="宋体" w:hAnsi="宋体" w:cs="宋体"/>
                <w:sz w:val="24"/>
                <w:szCs w:val="24"/>
              </w:rPr>
            </w:pPr>
            <w:r>
              <w:rPr>
                <w:rFonts w:hint="eastAsia" w:ascii="宋体" w:hAnsi="宋体" w:cs="宋体"/>
                <w:sz w:val="24"/>
                <w:szCs w:val="24"/>
              </w:rPr>
              <w:t>（小写）</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r>
              <w:rPr>
                <w:rFonts w:hint="eastAsia" w:ascii="宋体" w:hAnsi="宋体" w:cs="宋体"/>
                <w:sz w:val="24"/>
                <w:szCs w:val="24"/>
              </w:rPr>
              <w:t>是否属于中小微企业（中型/小型/微型/监狱/残疾人福利性）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3261"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2977"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3261"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2977"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p>
        </w:tc>
      </w:tr>
    </w:tbl>
    <w:p>
      <w:pPr>
        <w:pStyle w:val="25"/>
        <w:tabs>
          <w:tab w:val="left" w:pos="5580"/>
        </w:tabs>
        <w:spacing w:line="360" w:lineRule="auto"/>
        <w:ind w:left="680" w:firstLine="480"/>
        <w:rPr>
          <w:rFonts w:hAnsi="宋体" w:cs="宋体"/>
          <w:sz w:val="24"/>
          <w:szCs w:val="24"/>
          <w:u w:val="single"/>
        </w:rPr>
      </w:pPr>
      <w:r>
        <w:rPr>
          <w:rFonts w:hint="eastAsia" w:hAnsi="宋体" w:cs="宋体"/>
          <w:sz w:val="24"/>
          <w:szCs w:val="24"/>
        </w:rPr>
        <w:t>投标报价人民币大写金额：</w:t>
      </w:r>
    </w:p>
    <w:p>
      <w:pPr>
        <w:pStyle w:val="25"/>
        <w:tabs>
          <w:tab w:val="left" w:pos="5580"/>
        </w:tabs>
        <w:spacing w:line="360" w:lineRule="auto"/>
        <w:ind w:firstLine="420"/>
        <w:rPr>
          <w:rFonts w:hAnsi="宋体" w:cs="宋体"/>
          <w:szCs w:val="22"/>
        </w:rPr>
      </w:pPr>
    </w:p>
    <w:p>
      <w:pPr>
        <w:pStyle w:val="25"/>
        <w:tabs>
          <w:tab w:val="left" w:pos="5580"/>
        </w:tabs>
        <w:spacing w:line="360" w:lineRule="auto"/>
        <w:rPr>
          <w:rFonts w:hAnsi="宋体" w:cs="宋体"/>
          <w:sz w:val="24"/>
          <w:szCs w:val="24"/>
        </w:rPr>
      </w:pPr>
    </w:p>
    <w:p>
      <w:pPr>
        <w:pStyle w:val="25"/>
        <w:tabs>
          <w:tab w:val="left" w:pos="5580"/>
        </w:tabs>
        <w:spacing w:line="360" w:lineRule="auto"/>
        <w:rPr>
          <w:rFonts w:hAnsi="宋体" w:cs="宋体"/>
          <w:sz w:val="24"/>
          <w:szCs w:val="24"/>
        </w:rPr>
      </w:pPr>
    </w:p>
    <w:p>
      <w:pPr>
        <w:pStyle w:val="25"/>
        <w:tabs>
          <w:tab w:val="left" w:pos="5580"/>
        </w:tabs>
        <w:spacing w:line="360" w:lineRule="auto"/>
        <w:rPr>
          <w:rFonts w:hAnsi="宋体" w:cs="宋体"/>
          <w:sz w:val="24"/>
          <w:szCs w:val="24"/>
        </w:rPr>
      </w:pPr>
      <w:r>
        <w:rPr>
          <w:rFonts w:hint="eastAsia" w:hAnsi="宋体" w:cs="宋体"/>
          <w:sz w:val="24"/>
          <w:szCs w:val="24"/>
        </w:rPr>
        <w:t>投标人名称（盖章）：</w:t>
      </w:r>
    </w:p>
    <w:p>
      <w:pPr>
        <w:pStyle w:val="25"/>
        <w:tabs>
          <w:tab w:val="left" w:pos="5100"/>
        </w:tabs>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r>
        <w:rPr>
          <w:rFonts w:hint="eastAsia" w:hAnsi="宋体" w:cs="宋体"/>
          <w:sz w:val="24"/>
          <w:szCs w:val="24"/>
          <w:u w:val="single"/>
        </w:rPr>
        <w:tab/>
      </w:r>
    </w:p>
    <w:p>
      <w:pPr>
        <w:pStyle w:val="5"/>
        <w:spacing w:line="360" w:lineRule="auto"/>
        <w:ind w:firstLine="480"/>
        <w:rPr>
          <w:rFonts w:ascii="宋体" w:hAnsi="宋体" w:cs="宋体"/>
          <w:sz w:val="24"/>
          <w:szCs w:val="24"/>
        </w:rPr>
      </w:pPr>
      <w:r>
        <w:rPr>
          <w:rFonts w:hint="eastAsia" w:ascii="宋体" w:hAnsi="宋体" w:cs="宋体"/>
          <w:sz w:val="24"/>
          <w:szCs w:val="24"/>
        </w:rPr>
        <w:t>日期：</w:t>
      </w:r>
    </w:p>
    <w:p>
      <w:pPr>
        <w:pStyle w:val="5"/>
        <w:spacing w:line="360" w:lineRule="auto"/>
        <w:ind w:firstLine="480"/>
        <w:rPr>
          <w:rFonts w:ascii="宋体" w:hAnsi="宋体" w:cs="宋体"/>
          <w:sz w:val="24"/>
          <w:szCs w:val="24"/>
        </w:rPr>
      </w:pPr>
    </w:p>
    <w:p>
      <w:pPr>
        <w:pStyle w:val="5"/>
        <w:spacing w:line="360" w:lineRule="auto"/>
        <w:ind w:firstLine="480"/>
        <w:rPr>
          <w:rFonts w:ascii="宋体" w:hAnsi="宋体" w:cs="宋体"/>
          <w:sz w:val="24"/>
          <w:szCs w:val="24"/>
        </w:rPr>
      </w:pPr>
    </w:p>
    <w:p>
      <w:pPr>
        <w:pStyle w:val="5"/>
        <w:spacing w:line="360" w:lineRule="auto"/>
        <w:ind w:firstLine="482"/>
        <w:rPr>
          <w:rFonts w:ascii="宋体" w:hAnsi="宋体" w:cs="宋体"/>
          <w:b/>
          <w:sz w:val="24"/>
          <w:szCs w:val="24"/>
        </w:rPr>
      </w:pPr>
      <w:r>
        <w:rPr>
          <w:rFonts w:hint="eastAsia" w:ascii="宋体" w:hAnsi="宋体" w:cs="宋体"/>
          <w:b/>
          <w:sz w:val="24"/>
          <w:szCs w:val="24"/>
        </w:rPr>
        <w:t>注:1.此表应按投标人须知的规定密封标记并单独递交；</w:t>
      </w:r>
    </w:p>
    <w:p>
      <w:pPr>
        <w:pStyle w:val="5"/>
        <w:spacing w:line="360" w:lineRule="auto"/>
        <w:ind w:firstLine="482"/>
        <w:rPr>
          <w:rFonts w:ascii="宋体" w:hAnsi="宋体" w:cs="宋体"/>
          <w:b/>
          <w:sz w:val="24"/>
          <w:szCs w:val="24"/>
        </w:rPr>
      </w:pPr>
      <w:r>
        <w:rPr>
          <w:rFonts w:hint="eastAsia" w:ascii="宋体" w:hAnsi="宋体" w:cs="宋体"/>
          <w:b/>
          <w:sz w:val="24"/>
          <w:szCs w:val="24"/>
        </w:rPr>
        <w:t xml:space="preserve">   2.此表中，投标报价应和附件3中的总价相一致。</w:t>
      </w:r>
    </w:p>
    <w:p>
      <w:pPr>
        <w:pStyle w:val="5"/>
        <w:spacing w:line="360" w:lineRule="auto"/>
        <w:ind w:firstLine="342" w:firstLineChars="142"/>
        <w:rPr>
          <w:rFonts w:ascii="宋体" w:hAnsi="宋体" w:cs="宋体"/>
          <w:b/>
          <w:sz w:val="24"/>
          <w:szCs w:val="24"/>
        </w:rPr>
        <w:sectPr>
          <w:headerReference r:id="rId9" w:type="default"/>
          <w:footerReference r:id="rId10" w:type="default"/>
          <w:pgSz w:w="11906" w:h="16838"/>
          <w:pgMar w:top="1440" w:right="1800" w:bottom="1440" w:left="1800" w:header="680" w:footer="907" w:gutter="0"/>
          <w:cols w:space="720" w:num="1"/>
        </w:sectPr>
      </w:pPr>
    </w:p>
    <w:p>
      <w:pPr>
        <w:pStyle w:val="3"/>
        <w:spacing w:line="360" w:lineRule="auto"/>
        <w:ind w:firstLine="562"/>
        <w:rPr>
          <w:rFonts w:ascii="宋体" w:hAnsi="宋体"/>
          <w:szCs w:val="28"/>
        </w:rPr>
      </w:pPr>
      <w:bookmarkStart w:id="527" w:name="_Toc3064"/>
      <w:bookmarkStart w:id="528" w:name="_Toc100786149"/>
      <w:r>
        <w:rPr>
          <w:rFonts w:hint="eastAsia" w:ascii="宋体" w:hAnsi="宋体"/>
          <w:szCs w:val="28"/>
        </w:rPr>
        <w:t>附件3  投标分项报价表</w:t>
      </w:r>
      <w:bookmarkEnd w:id="527"/>
      <w:bookmarkEnd w:id="528"/>
    </w:p>
    <w:p>
      <w:pPr>
        <w:spacing w:line="360" w:lineRule="auto"/>
        <w:ind w:firstLine="420"/>
        <w:rPr>
          <w:rFonts w:ascii="宋体" w:hAnsi="宋体" w:cs="宋体"/>
          <w:lang w:val="zh-CN"/>
        </w:rPr>
      </w:pPr>
    </w:p>
    <w:p>
      <w:pPr>
        <w:spacing w:line="360" w:lineRule="auto"/>
        <w:rPr>
          <w:rFonts w:ascii="宋体" w:hAnsi="宋体" w:cs="宋体"/>
          <w:sz w:val="24"/>
          <w:szCs w:val="24"/>
          <w:u w:val="single"/>
        </w:rPr>
      </w:pPr>
      <w:r>
        <w:rPr>
          <w:rFonts w:hint="eastAsia" w:ascii="宋体" w:hAnsi="宋体" w:cs="宋体"/>
          <w:sz w:val="24"/>
          <w:szCs w:val="24"/>
        </w:rPr>
        <w:t>项目名称：</w:t>
      </w:r>
    </w:p>
    <w:p>
      <w:pPr>
        <w:spacing w:line="360" w:lineRule="auto"/>
        <w:rPr>
          <w:rFonts w:ascii="宋体" w:hAnsi="宋体" w:cs="宋体"/>
          <w:sz w:val="24"/>
          <w:szCs w:val="24"/>
        </w:rPr>
      </w:pPr>
      <w:r>
        <w:rPr>
          <w:rFonts w:hint="eastAsia" w:ascii="宋体" w:hAnsi="宋体" w:cs="宋体"/>
          <w:sz w:val="24"/>
          <w:szCs w:val="24"/>
        </w:rPr>
        <w:t>招标编号：</w:t>
      </w:r>
    </w:p>
    <w:p>
      <w:pPr>
        <w:spacing w:line="360" w:lineRule="auto"/>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包</w:t>
      </w:r>
    </w:p>
    <w:p>
      <w:pPr>
        <w:spacing w:line="360" w:lineRule="auto"/>
        <w:jc w:val="right"/>
        <w:rPr>
          <w:rFonts w:ascii="宋体" w:hAnsi="宋体" w:cs="宋体"/>
          <w:sz w:val="24"/>
          <w:szCs w:val="24"/>
        </w:rPr>
      </w:pPr>
      <w:r>
        <w:rPr>
          <w:rFonts w:hint="eastAsia" w:ascii="宋体" w:hAnsi="宋体" w:cs="宋体"/>
          <w:bCs/>
          <w:sz w:val="24"/>
          <w:szCs w:val="24"/>
        </w:rPr>
        <w:t xml:space="preserve">       单位：人民币（元）</w:t>
      </w:r>
    </w:p>
    <w:tbl>
      <w:tblPr>
        <w:tblStyle w:val="48"/>
        <w:tblW w:w="8330" w:type="dxa"/>
        <w:tblInd w:w="0" w:type="dxa"/>
        <w:tblLayout w:type="fixed"/>
        <w:tblCellMar>
          <w:top w:w="0" w:type="dxa"/>
          <w:left w:w="108" w:type="dxa"/>
          <w:bottom w:w="0" w:type="dxa"/>
          <w:right w:w="108" w:type="dxa"/>
        </w:tblCellMar>
      </w:tblPr>
      <w:tblGrid>
        <w:gridCol w:w="959"/>
        <w:gridCol w:w="2410"/>
        <w:gridCol w:w="1559"/>
        <w:gridCol w:w="1276"/>
        <w:gridCol w:w="2126"/>
      </w:tblGrid>
      <w:tr>
        <w:tblPrEx>
          <w:tblCellMar>
            <w:top w:w="0" w:type="dxa"/>
            <w:left w:w="108" w:type="dxa"/>
            <w:bottom w:w="0" w:type="dxa"/>
            <w:right w:w="108" w:type="dxa"/>
          </w:tblCellMar>
        </w:tblPrEx>
        <w:trPr>
          <w:trHeight w:val="1258" w:hRule="atLeast"/>
        </w:trPr>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分项名称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总价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备注/说明</w:t>
            </w: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4928"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bCs/>
                <w:kern w:val="0"/>
                <w:sz w:val="24"/>
              </w:rPr>
              <w:t>合计</w:t>
            </w: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bl>
    <w:p>
      <w:pPr>
        <w:spacing w:before="120" w:line="360" w:lineRule="auto"/>
        <w:ind w:left="420" w:hanging="420" w:hangingChars="200"/>
        <w:rPr>
          <w:rFonts w:ascii="宋体" w:hAnsi="宋体" w:cs="宋体"/>
          <w:szCs w:val="21"/>
        </w:rPr>
      </w:pPr>
      <w:r>
        <w:rPr>
          <w:rFonts w:hint="eastAsia" w:ascii="宋体" w:hAnsi="宋体" w:cs="宋体"/>
          <w:szCs w:val="21"/>
        </w:rPr>
        <w:t>说明：</w:t>
      </w:r>
    </w:p>
    <w:p>
      <w:pPr>
        <w:spacing w:before="120" w:line="360" w:lineRule="auto"/>
        <w:ind w:left="420" w:leftChars="200" w:firstLine="420"/>
        <w:rPr>
          <w:rFonts w:ascii="宋体" w:hAnsi="宋体" w:cs="宋体"/>
          <w:szCs w:val="21"/>
        </w:rPr>
      </w:pPr>
      <w:r>
        <w:rPr>
          <w:rFonts w:hint="eastAsia" w:ascii="宋体" w:hAnsi="宋体" w:cs="宋体"/>
          <w:szCs w:val="21"/>
        </w:rPr>
        <w:t xml:space="preserve">1.如果按单价计算的结果与总价不一致,以单价为准修正总价。 </w:t>
      </w:r>
    </w:p>
    <w:p>
      <w:pPr>
        <w:spacing w:before="120" w:line="360" w:lineRule="auto"/>
        <w:ind w:left="420" w:hanging="420" w:hangingChars="200"/>
        <w:rPr>
          <w:rFonts w:ascii="宋体" w:hAnsi="宋体" w:cs="宋体"/>
          <w:szCs w:val="21"/>
        </w:rPr>
      </w:pPr>
      <w:r>
        <w:rPr>
          <w:rFonts w:hint="eastAsia" w:ascii="宋体" w:hAnsi="宋体" w:cs="宋体"/>
          <w:szCs w:val="21"/>
        </w:rPr>
        <w:t xml:space="preserve">    2.如果不提供分项报价将视为没有实质性响应招标文件。</w:t>
      </w:r>
    </w:p>
    <w:p>
      <w:pPr>
        <w:spacing w:before="120" w:line="360" w:lineRule="auto"/>
        <w:ind w:left="420" w:leftChars="200" w:firstLine="420"/>
        <w:rPr>
          <w:rFonts w:ascii="宋体" w:hAnsi="宋体" w:cs="宋体"/>
          <w:szCs w:val="21"/>
        </w:rPr>
      </w:pPr>
      <w:r>
        <w:rPr>
          <w:rFonts w:hint="eastAsia" w:ascii="宋体" w:hAnsi="宋体" w:cs="宋体"/>
          <w:szCs w:val="21"/>
        </w:rPr>
        <w:t>3.上述各项的详细规格（如有），可另页描述。</w:t>
      </w: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rPr>
      </w:pPr>
      <w:r>
        <w:rPr>
          <w:rFonts w:hint="eastAsia" w:hAnsi="宋体" w:cs="宋体"/>
          <w:bCs/>
          <w:sz w:val="24"/>
          <w:szCs w:val="24"/>
        </w:rPr>
        <w:t>法定代表人或其委托代理人</w:t>
      </w:r>
      <w:r>
        <w:rPr>
          <w:rFonts w:hint="eastAsia" w:hAnsi="宋体" w:cs="宋体"/>
          <w:sz w:val="24"/>
          <w:szCs w:val="24"/>
        </w:rPr>
        <w:t>(签字或盖章)：</w:t>
      </w:r>
    </w:p>
    <w:p>
      <w:pPr>
        <w:pStyle w:val="25"/>
        <w:tabs>
          <w:tab w:val="left" w:pos="5100"/>
        </w:tabs>
        <w:adjustRightInd w:val="0"/>
        <w:snapToGrid w:val="0"/>
        <w:spacing w:line="360" w:lineRule="auto"/>
        <w:rPr>
          <w:rFonts w:hAnsi="宋体" w:cs="宋体"/>
          <w:sz w:val="24"/>
          <w:szCs w:val="24"/>
        </w:rPr>
        <w:sectPr>
          <w:pgSz w:w="11906" w:h="16838"/>
          <w:pgMar w:top="1440" w:right="1800" w:bottom="1440" w:left="1800" w:header="680" w:footer="907" w:gutter="0"/>
          <w:cols w:space="720" w:num="1"/>
          <w:docGrid w:linePitch="286" w:charSpace="0"/>
        </w:sectPr>
      </w:pPr>
      <w:r>
        <w:rPr>
          <w:rFonts w:hint="eastAsia" w:hAnsi="宋体" w:cs="宋体"/>
          <w:sz w:val="24"/>
          <w:szCs w:val="24"/>
        </w:rPr>
        <w:t>日期：</w:t>
      </w:r>
    </w:p>
    <w:p>
      <w:pPr>
        <w:pStyle w:val="3"/>
        <w:spacing w:line="360" w:lineRule="auto"/>
        <w:ind w:firstLine="562"/>
        <w:rPr>
          <w:rFonts w:ascii="宋体" w:hAnsi="宋体"/>
          <w:szCs w:val="28"/>
        </w:rPr>
      </w:pPr>
      <w:bookmarkStart w:id="529" w:name="_Toc100786150"/>
      <w:bookmarkStart w:id="530" w:name="_Toc18781"/>
      <w:r>
        <w:rPr>
          <w:rFonts w:hint="eastAsia" w:ascii="宋体" w:hAnsi="宋体"/>
          <w:szCs w:val="28"/>
        </w:rPr>
        <w:t xml:space="preserve">附件4  </w:t>
      </w:r>
      <w:bookmarkEnd w:id="529"/>
      <w:bookmarkEnd w:id="530"/>
      <w:r>
        <w:rPr>
          <w:rFonts w:hint="eastAsia" w:ascii="宋体" w:hAnsi="宋体"/>
          <w:szCs w:val="28"/>
        </w:rPr>
        <w:t>采购需求偏离表（实质性格式）</w:t>
      </w:r>
    </w:p>
    <w:p>
      <w:pPr>
        <w:pStyle w:val="25"/>
        <w:spacing w:line="360" w:lineRule="auto"/>
        <w:rPr>
          <w:rFonts w:hAnsi="宋体" w:cs="宋体"/>
          <w:sz w:val="24"/>
          <w:szCs w:val="24"/>
        </w:rPr>
      </w:pPr>
    </w:p>
    <w:p>
      <w:pPr>
        <w:pStyle w:val="25"/>
        <w:spacing w:line="360" w:lineRule="auto"/>
        <w:rPr>
          <w:rFonts w:hAnsi="宋体" w:cs="宋体"/>
          <w:sz w:val="24"/>
          <w:szCs w:val="24"/>
        </w:rPr>
      </w:pPr>
      <w:r>
        <w:rPr>
          <w:rFonts w:hint="eastAsia" w:hAnsi="宋体" w:cs="宋体"/>
          <w:sz w:val="24"/>
          <w:szCs w:val="24"/>
        </w:rPr>
        <w:t>项目名称：</w:t>
      </w:r>
    </w:p>
    <w:p>
      <w:pPr>
        <w:pStyle w:val="25"/>
        <w:spacing w:line="360" w:lineRule="auto"/>
        <w:rPr>
          <w:rFonts w:hAnsi="宋体" w:cs="宋体"/>
          <w:sz w:val="24"/>
          <w:szCs w:val="24"/>
        </w:rPr>
      </w:pPr>
      <w:r>
        <w:rPr>
          <w:rFonts w:hint="eastAsia" w:hAnsi="宋体" w:cs="宋体"/>
          <w:sz w:val="24"/>
          <w:szCs w:val="24"/>
        </w:rPr>
        <w:t>招标编号：</w:t>
      </w:r>
    </w:p>
    <w:p>
      <w:pPr>
        <w:pStyle w:val="25"/>
        <w:spacing w:line="360" w:lineRule="auto"/>
        <w:rPr>
          <w:rFonts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tbl>
      <w:tblPr>
        <w:tblStyle w:val="4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75"/>
        <w:gridCol w:w="2213"/>
        <w:gridCol w:w="1973"/>
        <w:gridCol w:w="174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19" w:type="dxa"/>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375" w:type="dxa"/>
            <w:vAlign w:val="center"/>
          </w:tcPr>
          <w:p>
            <w:pPr>
              <w:adjustRightInd w:val="0"/>
              <w:snapToGrid w:val="0"/>
              <w:jc w:val="center"/>
              <w:rPr>
                <w:rFonts w:ascii="宋体" w:hAnsi="宋体" w:cs="宋体"/>
                <w:sz w:val="24"/>
              </w:rPr>
            </w:pPr>
            <w:r>
              <w:rPr>
                <w:rFonts w:hint="eastAsia" w:ascii="宋体" w:hAnsi="宋体" w:cs="宋体"/>
                <w:sz w:val="24"/>
              </w:rPr>
              <w:t>招标文件条目号(页码)</w:t>
            </w:r>
          </w:p>
        </w:tc>
        <w:tc>
          <w:tcPr>
            <w:tcW w:w="2213" w:type="dxa"/>
            <w:vAlign w:val="center"/>
          </w:tcPr>
          <w:p>
            <w:pPr>
              <w:adjustRightInd w:val="0"/>
              <w:snapToGrid w:val="0"/>
              <w:jc w:val="center"/>
              <w:rPr>
                <w:rFonts w:ascii="宋体" w:hAnsi="宋体" w:cs="宋体"/>
                <w:sz w:val="24"/>
              </w:rPr>
            </w:pPr>
            <w:r>
              <w:rPr>
                <w:rFonts w:hint="eastAsia" w:ascii="宋体" w:hAnsi="宋体" w:cs="宋体"/>
                <w:sz w:val="24"/>
              </w:rPr>
              <w:t>招标文件要求</w:t>
            </w:r>
          </w:p>
        </w:tc>
        <w:tc>
          <w:tcPr>
            <w:tcW w:w="1973" w:type="dxa"/>
            <w:vAlign w:val="center"/>
          </w:tcPr>
          <w:p>
            <w:pPr>
              <w:adjustRightInd w:val="0"/>
              <w:snapToGrid w:val="0"/>
              <w:jc w:val="center"/>
              <w:rPr>
                <w:rFonts w:ascii="宋体" w:hAnsi="宋体" w:cs="宋体"/>
                <w:sz w:val="24"/>
              </w:rPr>
            </w:pPr>
            <w:r>
              <w:rPr>
                <w:rFonts w:hint="eastAsia" w:ascii="宋体" w:hAnsi="宋体" w:cs="宋体"/>
                <w:sz w:val="24"/>
              </w:rPr>
              <w:t>投标响应内容</w:t>
            </w:r>
          </w:p>
        </w:tc>
        <w:tc>
          <w:tcPr>
            <w:tcW w:w="1740" w:type="dxa"/>
            <w:vAlign w:val="center"/>
          </w:tcPr>
          <w:p>
            <w:pPr>
              <w:adjustRightInd w:val="0"/>
              <w:snapToGrid w:val="0"/>
              <w:jc w:val="center"/>
              <w:rPr>
                <w:rFonts w:ascii="宋体" w:hAnsi="宋体" w:cs="宋体"/>
                <w:sz w:val="24"/>
              </w:rPr>
            </w:pPr>
            <w:r>
              <w:rPr>
                <w:rFonts w:hint="eastAsia" w:ascii="宋体" w:hAnsi="宋体" w:cs="宋体"/>
                <w:sz w:val="24"/>
              </w:rPr>
              <w:t>偏离情况</w:t>
            </w:r>
          </w:p>
        </w:tc>
        <w:tc>
          <w:tcPr>
            <w:tcW w:w="936" w:type="dxa"/>
            <w:vAlign w:val="center"/>
          </w:tcPr>
          <w:p>
            <w:pPr>
              <w:adjustRightInd w:val="0"/>
              <w:snapToGrid w:val="0"/>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bl>
    <w:p>
      <w:pPr>
        <w:spacing w:line="360" w:lineRule="auto"/>
        <w:ind w:firstLine="480" w:firstLineChars="200"/>
        <w:rPr>
          <w:rFonts w:ascii="宋体" w:hAnsi="宋体" w:cs="宋体"/>
          <w:sz w:val="24"/>
          <w:szCs w:val="24"/>
        </w:rPr>
      </w:pPr>
      <w:r>
        <w:rPr>
          <w:rFonts w:hint="eastAsia" w:ascii="宋体" w:hAnsi="宋体" w:cs="宋体"/>
          <w:sz w:val="24"/>
          <w:szCs w:val="24"/>
        </w:rPr>
        <w:t>注：</w:t>
      </w:r>
    </w:p>
    <w:p>
      <w:pPr>
        <w:spacing w:line="360" w:lineRule="auto"/>
        <w:ind w:firstLine="480" w:firstLineChars="200"/>
        <w:rPr>
          <w:rFonts w:ascii="宋体" w:hAnsi="宋体" w:cs="宋体"/>
          <w:sz w:val="24"/>
          <w:szCs w:val="24"/>
        </w:rPr>
      </w:pPr>
      <w:r>
        <w:rPr>
          <w:rFonts w:hint="eastAsia" w:ascii="宋体" w:hAnsi="宋体" w:cs="宋体"/>
          <w:sz w:val="24"/>
          <w:szCs w:val="24"/>
        </w:rPr>
        <w:t>1.对招标文件中的所有商务、技术要求，除本表所列明的所有偏离外，均视作投标人已对之理解和响应。此表中若无任何文字说明，内容为空白，评分时下降一个档次。</w:t>
      </w:r>
    </w:p>
    <w:p>
      <w:pPr>
        <w:spacing w:line="360" w:lineRule="auto"/>
        <w:ind w:firstLine="480" w:firstLineChars="200"/>
        <w:rPr>
          <w:rFonts w:ascii="宋体" w:hAnsi="宋体" w:cs="宋体"/>
          <w:sz w:val="24"/>
          <w:szCs w:val="24"/>
        </w:rPr>
      </w:pPr>
      <w:r>
        <w:rPr>
          <w:rFonts w:hint="eastAsia" w:ascii="宋体" w:hAnsi="宋体" w:cs="宋体"/>
          <w:sz w:val="24"/>
          <w:szCs w:val="24"/>
        </w:rPr>
        <w:t>2.“偏离情况”列应据实填写“正偏离”或“负偏离”或“无偏离”。</w:t>
      </w:r>
    </w:p>
    <w:p>
      <w:pPr>
        <w:pStyle w:val="25"/>
        <w:spacing w:line="360" w:lineRule="auto"/>
        <w:ind w:firstLine="480"/>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pStyle w:val="5"/>
        <w:spacing w:line="360" w:lineRule="auto"/>
        <w:ind w:firstLine="480"/>
        <w:rPr>
          <w:rFonts w:ascii="宋体" w:hAnsi="宋体" w:cs="宋体"/>
          <w:sz w:val="24"/>
          <w:szCs w:val="24"/>
        </w:rPr>
      </w:pPr>
      <w:r>
        <w:rPr>
          <w:rFonts w:hint="eastAsia" w:ascii="宋体" w:hAnsi="宋体" w:cs="宋体"/>
          <w:sz w:val="24"/>
          <w:szCs w:val="24"/>
        </w:rPr>
        <w:t>日期：</w:t>
      </w:r>
    </w:p>
    <w:p>
      <w:pPr>
        <w:pStyle w:val="3"/>
        <w:spacing w:line="360" w:lineRule="auto"/>
        <w:ind w:firstLine="482"/>
        <w:rPr>
          <w:rFonts w:ascii="宋体" w:hAnsi="宋体"/>
          <w:szCs w:val="28"/>
        </w:rPr>
      </w:pPr>
      <w:r>
        <w:rPr>
          <w:rFonts w:hint="eastAsia" w:ascii="宋体" w:hAnsi="宋体"/>
          <w:sz w:val="24"/>
          <w:szCs w:val="24"/>
        </w:rPr>
        <w:br w:type="page"/>
      </w:r>
      <w:bookmarkStart w:id="531" w:name="_Toc100786151"/>
      <w:bookmarkStart w:id="532" w:name="_Toc18165"/>
      <w:r>
        <w:rPr>
          <w:rFonts w:hint="eastAsia" w:ascii="宋体" w:hAnsi="宋体"/>
          <w:szCs w:val="28"/>
        </w:rPr>
        <w:t xml:space="preserve">附件5  </w:t>
      </w:r>
      <w:bookmarkEnd w:id="531"/>
      <w:bookmarkEnd w:id="532"/>
      <w:r>
        <w:rPr>
          <w:rFonts w:hint="eastAsia" w:ascii="宋体" w:hAnsi="宋体"/>
          <w:szCs w:val="28"/>
        </w:rPr>
        <w:t>合同条款偏离表（实质性格式）</w:t>
      </w:r>
    </w:p>
    <w:p>
      <w:pPr>
        <w:spacing w:line="360" w:lineRule="auto"/>
        <w:ind w:firstLine="480"/>
        <w:rPr>
          <w:rFonts w:ascii="宋体" w:hAnsi="宋体" w:cs="宋体"/>
          <w:sz w:val="24"/>
          <w:szCs w:val="24"/>
        </w:rPr>
      </w:pPr>
    </w:p>
    <w:p>
      <w:pPr>
        <w:pStyle w:val="25"/>
        <w:spacing w:line="360" w:lineRule="auto"/>
        <w:jc w:val="left"/>
        <w:rPr>
          <w:rFonts w:hAnsi="宋体" w:cs="宋体"/>
          <w:sz w:val="24"/>
          <w:szCs w:val="24"/>
        </w:rPr>
      </w:pPr>
      <w:r>
        <w:rPr>
          <w:rFonts w:hint="eastAsia" w:hAnsi="宋体" w:cs="宋体"/>
          <w:sz w:val="24"/>
          <w:szCs w:val="24"/>
        </w:rPr>
        <w:t>项目名称：</w:t>
      </w:r>
    </w:p>
    <w:p>
      <w:pPr>
        <w:pStyle w:val="25"/>
        <w:spacing w:line="360" w:lineRule="auto"/>
        <w:jc w:val="left"/>
        <w:rPr>
          <w:rFonts w:hAnsi="宋体" w:cs="宋体"/>
          <w:sz w:val="24"/>
          <w:szCs w:val="24"/>
        </w:rPr>
      </w:pPr>
      <w:r>
        <w:rPr>
          <w:rFonts w:hint="eastAsia" w:hAnsi="宋体" w:cs="宋体"/>
          <w:sz w:val="24"/>
          <w:szCs w:val="24"/>
        </w:rPr>
        <w:t>招标编号：</w:t>
      </w:r>
    </w:p>
    <w:p>
      <w:pPr>
        <w:pStyle w:val="25"/>
        <w:spacing w:line="360" w:lineRule="auto"/>
        <w:jc w:val="left"/>
        <w:rPr>
          <w:rFonts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19"/>
        <w:gridCol w:w="1796"/>
        <w:gridCol w:w="1797"/>
        <w:gridCol w:w="218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ind w:firstLine="482"/>
              <w:jc w:val="left"/>
              <w:rPr>
                <w:rFonts w:ascii="宋体" w:hAnsi="宋体" w:cs="宋体"/>
                <w:b/>
                <w:sz w:val="24"/>
              </w:rPr>
            </w:pPr>
            <w:r>
              <w:rPr>
                <w:rFonts w:hint="eastAsia" w:ascii="宋体" w:hAnsi="宋体" w:cs="宋体"/>
                <w:b/>
                <w:sz w:val="24"/>
              </w:rPr>
              <w:t>对本项目合同条款的偏离情况（请进行勾选）：</w:t>
            </w:r>
          </w:p>
          <w:p>
            <w:pPr>
              <w:adjustRightInd w:val="0"/>
              <w:snapToGrid w:val="0"/>
              <w:ind w:firstLine="482"/>
              <w:jc w:val="left"/>
              <w:rPr>
                <w:rFonts w:ascii="宋体" w:hAnsi="宋体" w:cs="宋体"/>
                <w:b/>
                <w:sz w:val="24"/>
              </w:rPr>
            </w:pPr>
            <w:r>
              <w:rPr>
                <w:rFonts w:hint="eastAsia" w:ascii="宋体" w:hAnsi="宋体" w:cs="宋体"/>
                <w:b/>
                <w:sz w:val="24"/>
              </w:rPr>
              <w:t>□无偏离</w:t>
            </w:r>
            <w:r>
              <w:rPr>
                <w:rFonts w:hint="eastAsia" w:ascii="宋体" w:hAnsi="宋体" w:cs="宋体"/>
                <w:sz w:val="24"/>
              </w:rPr>
              <w:t>（</w:t>
            </w:r>
            <w:r>
              <w:rPr>
                <w:rFonts w:hint="eastAsia" w:ascii="宋体" w:hAnsi="宋体" w:cs="宋体"/>
                <w:sz w:val="24"/>
                <w:szCs w:val="21"/>
              </w:rPr>
              <w:t>如无偏离，仅勾选无偏离即可</w:t>
            </w:r>
            <w:r>
              <w:rPr>
                <w:rFonts w:hint="eastAsia" w:ascii="宋体" w:hAnsi="宋体" w:cs="宋体"/>
                <w:sz w:val="24"/>
              </w:rPr>
              <w:t>）</w:t>
            </w:r>
          </w:p>
          <w:p>
            <w:pPr>
              <w:adjustRightInd w:val="0"/>
              <w:snapToGrid w:val="0"/>
              <w:ind w:firstLine="482"/>
              <w:jc w:val="left"/>
              <w:rPr>
                <w:rFonts w:ascii="宋体" w:hAnsi="宋体" w:cs="宋体"/>
                <w:sz w:val="24"/>
              </w:rPr>
            </w:pPr>
            <w:r>
              <w:rPr>
                <w:rFonts w:hint="eastAsia" w:ascii="宋体" w:hAnsi="宋体" w:cs="宋体"/>
                <w:b/>
                <w:sz w:val="24"/>
              </w:rPr>
              <w:t>□有偏离</w:t>
            </w:r>
            <w:r>
              <w:rPr>
                <w:rFonts w:hint="eastAsia" w:ascii="宋体" w:hAnsi="宋体" w:cs="宋体"/>
                <w:sz w:val="24"/>
              </w:rPr>
              <w:t>（</w:t>
            </w:r>
            <w:r>
              <w:rPr>
                <w:rFonts w:hint="eastAsia" w:ascii="宋体" w:hAnsi="宋体" w:cs="宋体"/>
                <w:sz w:val="24"/>
                <w:szCs w:val="21"/>
              </w:rPr>
              <w:t>如有偏离，</w:t>
            </w:r>
            <w:r>
              <w:rPr>
                <w:rFonts w:hint="eastAsia" w:ascii="宋体" w:hAnsi="宋体" w:cs="宋体"/>
                <w:sz w:val="24"/>
              </w:rPr>
              <w:t>则应在本表中对偏离项逐一列明）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301" w:type="dxa"/>
            <w:vAlign w:val="center"/>
          </w:tcPr>
          <w:p>
            <w:pPr>
              <w:adjustRightInd w:val="0"/>
              <w:snapToGrid w:val="0"/>
              <w:jc w:val="center"/>
              <w:rPr>
                <w:rFonts w:ascii="宋体" w:hAnsi="宋体" w:cs="宋体"/>
                <w:sz w:val="24"/>
              </w:rPr>
            </w:pPr>
            <w:r>
              <w:rPr>
                <w:rFonts w:hint="eastAsia" w:ascii="宋体" w:hAnsi="宋体" w:cs="宋体"/>
                <w:sz w:val="24"/>
                <w:szCs w:val="21"/>
              </w:rPr>
              <w:t>招标文件</w:t>
            </w:r>
            <w:r>
              <w:rPr>
                <w:rFonts w:hint="eastAsia" w:ascii="宋体" w:hAnsi="宋体" w:cs="宋体"/>
                <w:sz w:val="24"/>
              </w:rPr>
              <w:t>条目号（页码）</w:t>
            </w:r>
          </w:p>
        </w:tc>
        <w:tc>
          <w:tcPr>
            <w:tcW w:w="2007" w:type="dxa"/>
            <w:vAlign w:val="center"/>
          </w:tcPr>
          <w:p>
            <w:pPr>
              <w:adjustRightInd w:val="0"/>
              <w:snapToGrid w:val="0"/>
              <w:jc w:val="center"/>
              <w:rPr>
                <w:rFonts w:ascii="宋体" w:hAnsi="宋体" w:cs="宋体"/>
                <w:sz w:val="24"/>
              </w:rPr>
            </w:pPr>
            <w:r>
              <w:rPr>
                <w:rFonts w:hint="eastAsia" w:ascii="宋体" w:hAnsi="宋体" w:cs="宋体"/>
                <w:sz w:val="24"/>
                <w:szCs w:val="21"/>
              </w:rPr>
              <w:t>招标文件</w:t>
            </w:r>
            <w:r>
              <w:rPr>
                <w:rFonts w:hint="eastAsia" w:ascii="宋体" w:hAnsi="宋体" w:cs="宋体"/>
                <w:sz w:val="24"/>
              </w:rPr>
              <w:t>要求</w:t>
            </w:r>
          </w:p>
        </w:tc>
        <w:tc>
          <w:tcPr>
            <w:tcW w:w="2008" w:type="dxa"/>
            <w:vAlign w:val="center"/>
          </w:tcPr>
          <w:p>
            <w:pPr>
              <w:adjustRightInd w:val="0"/>
              <w:snapToGrid w:val="0"/>
              <w:jc w:val="center"/>
              <w:rPr>
                <w:rFonts w:ascii="宋体" w:hAnsi="宋体" w:cs="宋体"/>
                <w:sz w:val="24"/>
              </w:rPr>
            </w:pPr>
            <w:r>
              <w:rPr>
                <w:rFonts w:hint="eastAsia" w:ascii="宋体" w:hAnsi="宋体" w:cs="宋体"/>
                <w:sz w:val="24"/>
              </w:rPr>
              <w:t>投标文件内容</w:t>
            </w:r>
          </w:p>
        </w:tc>
        <w:tc>
          <w:tcPr>
            <w:tcW w:w="2458" w:type="dxa"/>
            <w:vAlign w:val="center"/>
          </w:tcPr>
          <w:p>
            <w:pPr>
              <w:adjustRightInd w:val="0"/>
              <w:snapToGrid w:val="0"/>
              <w:jc w:val="center"/>
              <w:rPr>
                <w:rFonts w:ascii="宋体" w:hAnsi="宋体" w:cs="宋体"/>
                <w:sz w:val="24"/>
              </w:rPr>
            </w:pPr>
            <w:r>
              <w:rPr>
                <w:rFonts w:hint="eastAsia" w:ascii="宋体" w:hAnsi="宋体" w:cs="宋体"/>
                <w:sz w:val="24"/>
              </w:rPr>
              <w:t>偏离情况</w:t>
            </w:r>
          </w:p>
        </w:tc>
        <w:tc>
          <w:tcPr>
            <w:tcW w:w="788" w:type="dxa"/>
            <w:vAlign w:val="center"/>
          </w:tcPr>
          <w:p>
            <w:pPr>
              <w:adjustRightInd w:val="0"/>
              <w:snapToGrid w:val="0"/>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bl>
    <w:p>
      <w:pPr>
        <w:pStyle w:val="25"/>
        <w:spacing w:line="360" w:lineRule="auto"/>
        <w:ind w:firstLine="480"/>
        <w:rPr>
          <w:rFonts w:hAnsi="宋体" w:cs="宋体"/>
          <w:sz w:val="24"/>
          <w:szCs w:val="24"/>
        </w:rPr>
      </w:pPr>
      <w:r>
        <w:rPr>
          <w:rFonts w:hint="eastAsia" w:hAnsi="宋体" w:cs="宋体"/>
          <w:sz w:val="24"/>
          <w:szCs w:val="24"/>
        </w:rPr>
        <w:t>注：</w:t>
      </w:r>
    </w:p>
    <w:p>
      <w:pPr>
        <w:pStyle w:val="25"/>
        <w:spacing w:line="360" w:lineRule="auto"/>
        <w:ind w:firstLine="480"/>
        <w:rPr>
          <w:rFonts w:hAnsi="宋体" w:cs="宋体"/>
          <w:sz w:val="24"/>
          <w:szCs w:val="24"/>
        </w:rPr>
      </w:pPr>
      <w:r>
        <w:rPr>
          <w:rFonts w:hint="eastAsia" w:hAnsi="宋体" w:cs="宋体"/>
          <w:sz w:val="24"/>
          <w:szCs w:val="24"/>
        </w:rPr>
        <w:t>1.对合同条款中的所有要求，除本表所列明的所有偏离外，均视作投标人已对之理解和响应。</w:t>
      </w:r>
    </w:p>
    <w:p>
      <w:pPr>
        <w:pStyle w:val="25"/>
        <w:spacing w:line="360" w:lineRule="auto"/>
        <w:ind w:firstLine="480"/>
        <w:rPr>
          <w:rFonts w:hAnsi="宋体" w:cs="宋体"/>
          <w:sz w:val="24"/>
          <w:szCs w:val="24"/>
        </w:rPr>
      </w:pPr>
      <w:r>
        <w:rPr>
          <w:rFonts w:hint="eastAsia" w:hAnsi="宋体" w:cs="宋体"/>
          <w:sz w:val="24"/>
          <w:szCs w:val="24"/>
        </w:rPr>
        <w:t>2.“偏离情况”列应据实填写“正偏离”或“负偏离”。</w:t>
      </w:r>
    </w:p>
    <w:p>
      <w:pPr>
        <w:pStyle w:val="25"/>
        <w:tabs>
          <w:tab w:val="left" w:pos="5580"/>
        </w:tabs>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pStyle w:val="5"/>
        <w:spacing w:line="360" w:lineRule="auto"/>
        <w:ind w:firstLine="480"/>
        <w:rPr>
          <w:rFonts w:ascii="宋体" w:hAnsi="宋体" w:cs="宋体"/>
          <w:sz w:val="24"/>
          <w:szCs w:val="24"/>
        </w:rPr>
      </w:pPr>
      <w:r>
        <w:rPr>
          <w:rFonts w:hint="eastAsia" w:ascii="宋体" w:hAnsi="宋体" w:cs="宋体"/>
          <w:sz w:val="24"/>
          <w:szCs w:val="24"/>
        </w:rPr>
        <w:t>日期：</w:t>
      </w:r>
    </w:p>
    <w:p>
      <w:pPr>
        <w:ind w:firstLine="420"/>
        <w:rPr>
          <w:rFonts w:ascii="宋体" w:hAnsi="宋体" w:cs="宋体"/>
          <w:szCs w:val="28"/>
        </w:rPr>
      </w:pPr>
      <w:bookmarkStart w:id="533" w:name="_Toc8948"/>
      <w:bookmarkStart w:id="534" w:name="_Toc100786152"/>
      <w:r>
        <w:rPr>
          <w:rFonts w:hint="eastAsia" w:ascii="宋体" w:hAnsi="宋体" w:cs="宋体"/>
          <w:szCs w:val="28"/>
        </w:rPr>
        <w:br w:type="page"/>
      </w:r>
    </w:p>
    <w:p>
      <w:pPr>
        <w:pStyle w:val="3"/>
        <w:spacing w:line="360" w:lineRule="auto"/>
        <w:ind w:left="0" w:firstLine="562"/>
        <w:rPr>
          <w:rFonts w:ascii="宋体" w:hAnsi="宋体"/>
          <w:sz w:val="24"/>
          <w:szCs w:val="24"/>
        </w:rPr>
      </w:pPr>
      <w:r>
        <w:rPr>
          <w:rFonts w:hint="eastAsia" w:ascii="宋体" w:hAnsi="宋体"/>
          <w:szCs w:val="28"/>
        </w:rPr>
        <w:t>附件6  证明文件</w:t>
      </w:r>
      <w:bookmarkEnd w:id="533"/>
      <w:bookmarkEnd w:id="534"/>
    </w:p>
    <w:p>
      <w:pPr>
        <w:snapToGrid w:val="0"/>
        <w:spacing w:line="360" w:lineRule="auto"/>
        <w:ind w:firstLine="482"/>
        <w:rPr>
          <w:rFonts w:ascii="宋体" w:hAnsi="宋体" w:cs="宋体"/>
          <w:b/>
          <w:sz w:val="24"/>
          <w:szCs w:val="24"/>
        </w:rPr>
      </w:pPr>
    </w:p>
    <w:p>
      <w:pPr>
        <w:snapToGrid w:val="0"/>
        <w:spacing w:line="360" w:lineRule="auto"/>
        <w:ind w:firstLine="482"/>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附件6-1  营业执照等证明文件（复印件并加盖投标人公章）</w:t>
      </w:r>
    </w:p>
    <w:p>
      <w:pPr>
        <w:snapToGrid w:val="0"/>
        <w:spacing w:line="360" w:lineRule="auto"/>
        <w:ind w:firstLine="482"/>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附件6-2  投标人资格声明书（实质性格式）</w:t>
      </w:r>
    </w:p>
    <w:p>
      <w:pPr>
        <w:snapToGrid w:val="0"/>
        <w:spacing w:line="360" w:lineRule="auto"/>
        <w:ind w:firstLine="482"/>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附件6-3  落实政府采购政策需满足的资格要求</w:t>
      </w:r>
    </w:p>
    <w:p>
      <w:pPr>
        <w:snapToGrid w:val="0"/>
        <w:spacing w:line="360" w:lineRule="auto"/>
        <w:ind w:firstLine="482"/>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附件6-4  法定代表人授权委托书（实质性格式）</w:t>
      </w:r>
    </w:p>
    <w:p>
      <w:pPr>
        <w:snapToGrid w:val="0"/>
        <w:spacing w:line="360" w:lineRule="auto"/>
        <w:rPr>
          <w:rFonts w:ascii="宋体" w:hAnsi="宋体" w:cs="宋体"/>
          <w:sz w:val="24"/>
          <w:szCs w:val="24"/>
        </w:rPr>
      </w:pPr>
      <w:r>
        <w:rPr>
          <w:rFonts w:hint="eastAsia" w:ascii="宋体" w:hAnsi="宋体" w:cs="宋体"/>
          <w:bCs/>
          <w:sz w:val="24"/>
          <w:szCs w:val="24"/>
        </w:rPr>
        <w:t>附件6-5  招标文件要求的其他证明材料</w:t>
      </w:r>
    </w:p>
    <w:p>
      <w:pPr>
        <w:snapToGrid w:val="0"/>
        <w:spacing w:line="360" w:lineRule="auto"/>
        <w:rPr>
          <w:rFonts w:ascii="宋体" w:hAnsi="宋体" w:cs="宋体"/>
          <w:bCs/>
          <w:sz w:val="24"/>
          <w:szCs w:val="24"/>
        </w:rPr>
      </w:pPr>
      <w:r>
        <w:rPr>
          <w:rFonts w:hint="eastAsia" w:ascii="宋体" w:hAnsi="宋体" w:cs="宋体"/>
          <w:bCs/>
          <w:sz w:val="24"/>
          <w:szCs w:val="24"/>
        </w:rPr>
        <w:t>注：以上附件6-1至附件6-3作为资格审查文件。</w:t>
      </w:r>
    </w:p>
    <w:p>
      <w:pPr>
        <w:snapToGrid w:val="0"/>
        <w:spacing w:line="360" w:lineRule="auto"/>
        <w:rPr>
          <w:rFonts w:ascii="宋体" w:hAnsi="宋体" w:cs="宋体"/>
          <w:bCs/>
          <w:sz w:val="24"/>
          <w:szCs w:val="24"/>
        </w:rPr>
      </w:pPr>
    </w:p>
    <w:p>
      <w:pPr>
        <w:snapToGrid w:val="0"/>
        <w:spacing w:line="360" w:lineRule="auto"/>
        <w:ind w:firstLine="482"/>
        <w:rPr>
          <w:rFonts w:ascii="宋体" w:hAnsi="宋体" w:cs="宋体"/>
          <w:b/>
          <w:bCs/>
          <w:sz w:val="24"/>
          <w:szCs w:val="24"/>
        </w:rPr>
      </w:pPr>
      <w:r>
        <w:rPr>
          <w:rFonts w:hint="eastAsia" w:ascii="宋体" w:hAnsi="宋体" w:cs="宋体"/>
          <w:b/>
          <w:bCs/>
          <w:sz w:val="24"/>
          <w:szCs w:val="24"/>
        </w:rPr>
        <w:t>注：证明文件中划“*”文件是必须提供的资料，缺一项以上（含一项）视为无效投标。</w:t>
      </w:r>
      <w:r>
        <w:rPr>
          <w:rFonts w:hint="eastAsia" w:ascii="宋体" w:hAnsi="宋体" w:cs="宋体"/>
          <w:sz w:val="24"/>
          <w:szCs w:val="24"/>
        </w:rPr>
        <w:br w:type="page"/>
      </w:r>
      <w:bookmarkStart w:id="535" w:name="_Toc23556"/>
      <w:bookmarkStart w:id="536" w:name="_Toc8999336"/>
      <w:bookmarkStart w:id="537" w:name="_Toc7015"/>
      <w:bookmarkStart w:id="538" w:name="_Toc3609"/>
      <w:bookmarkStart w:id="539" w:name="_Toc496291393"/>
      <w:bookmarkStart w:id="540" w:name="_Toc24512"/>
      <w:bookmarkStart w:id="541" w:name="_Toc13076"/>
      <w:bookmarkStart w:id="542" w:name="_Toc6794"/>
      <w:bookmarkStart w:id="543" w:name="_Toc12001"/>
    </w:p>
    <w:p>
      <w:pPr>
        <w:pStyle w:val="4"/>
        <w:spacing w:line="360" w:lineRule="auto"/>
        <w:ind w:firstLine="482"/>
        <w:rPr>
          <w:rFonts w:ascii="宋体" w:hAnsi="宋体" w:cs="宋体"/>
          <w:b/>
          <w:bCs/>
          <w:sz w:val="24"/>
          <w:szCs w:val="24"/>
        </w:rPr>
      </w:pPr>
      <w:bookmarkStart w:id="544" w:name="_Toc83722599"/>
      <w:bookmarkStart w:id="545" w:name="_Toc15435052"/>
      <w:bookmarkStart w:id="546" w:name="_Toc50760940"/>
      <w:bookmarkStart w:id="547" w:name="_Toc85461413"/>
      <w:bookmarkStart w:id="548" w:name="_Toc92789314"/>
      <w:bookmarkStart w:id="549" w:name="_Toc100786153"/>
      <w:r>
        <w:rPr>
          <w:rFonts w:hint="eastAsia" w:ascii="宋体" w:hAnsi="宋体" w:cs="宋体"/>
          <w:b/>
          <w:bCs/>
          <w:sz w:val="24"/>
          <w:szCs w:val="24"/>
        </w:rPr>
        <w:t xml:space="preserve">附件6-1  </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hint="eastAsia" w:ascii="宋体" w:hAnsi="宋体" w:cs="宋体"/>
          <w:b/>
          <w:bCs/>
          <w:sz w:val="24"/>
          <w:szCs w:val="24"/>
          <w:lang w:val="en-US"/>
        </w:rPr>
        <w:t>营业执照等证明文件</w:t>
      </w:r>
      <w:bookmarkEnd w:id="549"/>
    </w:p>
    <w:p>
      <w:pPr>
        <w:spacing w:line="360" w:lineRule="auto"/>
        <w:ind w:firstLine="482"/>
        <w:jc w:val="center"/>
        <w:rPr>
          <w:rFonts w:ascii="宋体" w:hAnsi="宋体" w:cs="宋体"/>
          <w:sz w:val="24"/>
          <w:szCs w:val="24"/>
        </w:rPr>
      </w:pPr>
      <w:r>
        <w:rPr>
          <w:rFonts w:hint="eastAsia" w:ascii="宋体" w:hAnsi="宋体" w:cs="宋体"/>
          <w:b/>
          <w:bCs/>
          <w:sz w:val="24"/>
          <w:szCs w:val="24"/>
        </w:rPr>
        <w:t>（复印件并加盖投标人公章）</w:t>
      </w:r>
    </w:p>
    <w:p>
      <w:pPr>
        <w:spacing w:line="360" w:lineRule="auto"/>
        <w:ind w:firstLine="482"/>
        <w:rPr>
          <w:rFonts w:ascii="宋体" w:hAnsi="宋体" w:cs="宋体"/>
          <w:sz w:val="24"/>
          <w:szCs w:val="24"/>
        </w:rPr>
      </w:pPr>
      <w:bookmarkStart w:id="550" w:name="_Toc32705"/>
      <w:bookmarkStart w:id="551" w:name="_Toc13130"/>
      <w:bookmarkStart w:id="552" w:name="_Toc28427"/>
      <w:bookmarkStart w:id="553" w:name="_Toc486431024"/>
      <w:bookmarkStart w:id="554" w:name="_Toc496291394"/>
      <w:bookmarkStart w:id="555" w:name="_Toc4697"/>
      <w:bookmarkStart w:id="556" w:name="_Toc8999337"/>
      <w:bookmarkStart w:id="557" w:name="_Toc486431298"/>
      <w:bookmarkStart w:id="558" w:name="_Toc15"/>
      <w:bookmarkStart w:id="559" w:name="_Toc14017"/>
      <w:bookmarkStart w:id="560" w:name="_Toc25527"/>
      <w:r>
        <w:rPr>
          <w:rFonts w:hint="eastAsia" w:ascii="宋体" w:hAnsi="宋体" w:cs="宋体"/>
          <w:b/>
          <w:bCs/>
          <w:sz w:val="24"/>
          <w:szCs w:val="24"/>
        </w:rPr>
        <w:br w:type="page"/>
      </w:r>
    </w:p>
    <w:p>
      <w:pPr>
        <w:pStyle w:val="4"/>
        <w:spacing w:line="360" w:lineRule="auto"/>
        <w:ind w:firstLine="482"/>
        <w:jc w:val="left"/>
        <w:rPr>
          <w:rFonts w:ascii="宋体" w:hAnsi="宋体" w:cs="宋体"/>
          <w:b/>
          <w:bCs/>
          <w:sz w:val="24"/>
          <w:szCs w:val="24"/>
        </w:rPr>
      </w:pPr>
      <w:bookmarkStart w:id="561" w:name="_Toc100786154"/>
      <w:bookmarkStart w:id="562" w:name="_Toc85461414"/>
      <w:bookmarkStart w:id="563" w:name="_Toc50760941"/>
      <w:bookmarkStart w:id="564" w:name="_Toc83722601"/>
      <w:bookmarkStart w:id="565" w:name="_Toc92789315"/>
      <w:bookmarkStart w:id="566" w:name="_Toc15435054"/>
      <w:r>
        <w:rPr>
          <w:rFonts w:hint="eastAsia" w:ascii="宋体" w:hAnsi="宋体" w:cs="宋体"/>
          <w:b/>
          <w:bCs/>
          <w:sz w:val="24"/>
          <w:szCs w:val="24"/>
        </w:rPr>
        <w:t>附件6-2  投标人资格声明书</w:t>
      </w:r>
      <w:bookmarkEnd w:id="561"/>
      <w:r>
        <w:rPr>
          <w:rFonts w:hint="eastAsia" w:ascii="宋体" w:hAnsi="宋体" w:cs="宋体"/>
          <w:b/>
          <w:bCs/>
          <w:sz w:val="24"/>
          <w:szCs w:val="24"/>
          <w:lang w:val="en-US"/>
        </w:rPr>
        <w:t>（实质性格式）</w:t>
      </w:r>
    </w:p>
    <w:p>
      <w:pPr>
        <w:ind w:firstLine="562"/>
        <w:jc w:val="center"/>
        <w:rPr>
          <w:rFonts w:ascii="宋体" w:hAnsi="宋体" w:cs="宋体"/>
          <w:b/>
          <w:sz w:val="28"/>
          <w:szCs w:val="28"/>
        </w:rPr>
      </w:pPr>
      <w:r>
        <w:rPr>
          <w:rFonts w:hint="eastAsia" w:ascii="宋体" w:hAnsi="宋体" w:cs="宋体"/>
          <w:b/>
          <w:sz w:val="28"/>
          <w:szCs w:val="28"/>
        </w:rPr>
        <w:t>投标人资格声明书</w:t>
      </w:r>
    </w:p>
    <w:p>
      <w:pPr>
        <w:tabs>
          <w:tab w:val="left" w:pos="5580"/>
        </w:tabs>
        <w:spacing w:line="360" w:lineRule="auto"/>
        <w:rPr>
          <w:rFonts w:ascii="宋体" w:hAnsi="宋体" w:cs="宋体"/>
          <w:sz w:val="24"/>
        </w:rPr>
      </w:pP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spacing w:line="360" w:lineRule="auto"/>
        <w:ind w:firstLine="480" w:firstLineChars="200"/>
        <w:rPr>
          <w:rFonts w:ascii="宋体" w:hAnsi="宋体" w:cs="宋体"/>
          <w:sz w:val="24"/>
        </w:rPr>
      </w:pPr>
      <w:r>
        <w:rPr>
          <w:rFonts w:hint="eastAsia" w:ascii="宋体" w:hAnsi="宋体" w:cs="宋体"/>
          <w:sz w:val="24"/>
        </w:rPr>
        <w:t>在参与本次项目投标中，我单位承诺：</w:t>
      </w:r>
    </w:p>
    <w:p>
      <w:pPr>
        <w:numPr>
          <w:ilvl w:val="0"/>
          <w:numId w:val="6"/>
        </w:numPr>
        <w:spacing w:line="360" w:lineRule="auto"/>
        <w:ind w:left="1134" w:firstLine="480"/>
        <w:rPr>
          <w:rFonts w:ascii="宋体" w:hAnsi="宋体" w:cs="宋体"/>
          <w:sz w:val="24"/>
        </w:rPr>
      </w:pPr>
      <w:r>
        <w:rPr>
          <w:rFonts w:hint="eastAsia" w:ascii="宋体" w:hAnsi="宋体" w:cs="宋体"/>
          <w:sz w:val="24"/>
        </w:rPr>
        <w:t>具有良好的商业信誉和健全的财务会计制度；</w:t>
      </w:r>
    </w:p>
    <w:p>
      <w:pPr>
        <w:numPr>
          <w:ilvl w:val="0"/>
          <w:numId w:val="6"/>
        </w:numPr>
        <w:spacing w:line="360" w:lineRule="auto"/>
        <w:ind w:left="1134" w:firstLine="480"/>
        <w:rPr>
          <w:rFonts w:ascii="宋体" w:hAnsi="宋体" w:cs="宋体"/>
          <w:sz w:val="24"/>
        </w:rPr>
      </w:pPr>
      <w:r>
        <w:rPr>
          <w:rFonts w:hint="eastAsia" w:ascii="宋体" w:hAnsi="宋体" w:cs="宋体"/>
          <w:sz w:val="24"/>
        </w:rPr>
        <w:t>具有履行合同所必需的设备和专业技术能力；</w:t>
      </w:r>
    </w:p>
    <w:p>
      <w:pPr>
        <w:numPr>
          <w:ilvl w:val="0"/>
          <w:numId w:val="6"/>
        </w:numPr>
        <w:spacing w:line="360" w:lineRule="auto"/>
        <w:ind w:left="1134" w:firstLine="480"/>
        <w:rPr>
          <w:rFonts w:ascii="宋体" w:hAnsi="宋体" w:cs="宋体"/>
          <w:sz w:val="24"/>
        </w:rPr>
      </w:pPr>
      <w:r>
        <w:rPr>
          <w:rFonts w:hint="eastAsia" w:ascii="宋体" w:hAnsi="宋体" w:cs="宋体"/>
          <w:sz w:val="24"/>
        </w:rPr>
        <w:t>有依法缴纳税收和社会保障资金的良好记录；</w:t>
      </w:r>
    </w:p>
    <w:p>
      <w:pPr>
        <w:numPr>
          <w:ilvl w:val="0"/>
          <w:numId w:val="6"/>
        </w:numPr>
        <w:spacing w:line="360" w:lineRule="auto"/>
        <w:ind w:left="1134" w:firstLine="480"/>
        <w:rPr>
          <w:rFonts w:ascii="宋体" w:hAnsi="宋体" w:cs="宋体"/>
          <w:sz w:val="24"/>
        </w:rPr>
      </w:pPr>
      <w:r>
        <w:rPr>
          <w:rFonts w:hint="eastAsia" w:ascii="宋体" w:hAnsi="宋体" w:cs="宋体"/>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6"/>
        </w:numPr>
        <w:spacing w:line="360" w:lineRule="auto"/>
        <w:ind w:left="1134" w:firstLine="480"/>
        <w:rPr>
          <w:rFonts w:ascii="宋体" w:hAnsi="宋体" w:cs="宋体"/>
          <w:sz w:val="24"/>
        </w:rPr>
      </w:pPr>
      <w:r>
        <w:rPr>
          <w:rFonts w:hint="eastAsia" w:ascii="宋体" w:hAnsi="宋体" w:cs="宋体"/>
          <w:sz w:val="24"/>
        </w:rPr>
        <w:t>我单位不属于政府采购法律、行政法规规定的公益一类事业单位、或使用事业编制且由财政拨款保障的群团组织（仅适用于政府购买服务项目）；</w:t>
      </w:r>
    </w:p>
    <w:p>
      <w:pPr>
        <w:numPr>
          <w:ilvl w:val="0"/>
          <w:numId w:val="6"/>
        </w:numPr>
        <w:spacing w:line="360" w:lineRule="auto"/>
        <w:ind w:left="1134" w:firstLine="480"/>
        <w:rPr>
          <w:rFonts w:ascii="宋体" w:hAnsi="宋体" w:cs="宋体"/>
          <w:sz w:val="24"/>
        </w:rPr>
      </w:pPr>
      <w:r>
        <w:rPr>
          <w:rFonts w:hint="eastAsia" w:ascii="宋体" w:hAnsi="宋体" w:cs="宋体"/>
          <w:sz w:val="24"/>
        </w:rPr>
        <w:t>我单位不存在为采购项目提供整体设计、规范编制或者项目管理、监理、检测等服务后，再参加该采购项目的其他采购活动的情形（单一来源采购项目除外）；</w:t>
      </w:r>
    </w:p>
    <w:p>
      <w:pPr>
        <w:numPr>
          <w:ilvl w:val="0"/>
          <w:numId w:val="6"/>
        </w:numPr>
        <w:spacing w:line="360" w:lineRule="auto"/>
        <w:ind w:left="1134" w:firstLine="480"/>
        <w:rPr>
          <w:rFonts w:ascii="宋体" w:hAnsi="宋体" w:cs="宋体"/>
          <w:sz w:val="24"/>
        </w:rPr>
      </w:pPr>
      <w:r>
        <w:rPr>
          <w:rFonts w:hint="eastAsia" w:ascii="宋体" w:hAnsi="宋体" w:cs="宋体"/>
          <w:sz w:val="24"/>
        </w:rPr>
        <w:t>与我单位存在“单位负责人为同一人或者存在直接控股、管理关系”的其他法人单位信息如下（如有，不论其是否参加同一合同项下的政府采购活动均须填写）：</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序号</w:t>
            </w:r>
          </w:p>
        </w:tc>
        <w:tc>
          <w:tcPr>
            <w:tcW w:w="4574" w:type="dxa"/>
            <w:vAlign w:val="center"/>
          </w:tcPr>
          <w:p>
            <w:pPr>
              <w:jc w:val="center"/>
              <w:rPr>
                <w:rFonts w:ascii="宋体" w:hAnsi="宋体" w:cs="宋体"/>
                <w:sz w:val="24"/>
              </w:rPr>
            </w:pPr>
            <w:r>
              <w:rPr>
                <w:rFonts w:hint="eastAsia" w:ascii="宋体" w:hAnsi="宋体" w:cs="宋体"/>
                <w:sz w:val="24"/>
              </w:rPr>
              <w:t>单位名称</w:t>
            </w:r>
          </w:p>
        </w:tc>
        <w:tc>
          <w:tcPr>
            <w:tcW w:w="2976" w:type="dxa"/>
            <w:vAlign w:val="center"/>
          </w:tcPr>
          <w:p>
            <w:pPr>
              <w:jc w:val="center"/>
              <w:rPr>
                <w:rFonts w:ascii="宋体" w:hAnsi="宋体" w:cs="宋体"/>
                <w:sz w:val="24"/>
              </w:rPr>
            </w:pPr>
            <w:r>
              <w:rPr>
                <w:rFonts w:hint="eastAsia" w:ascii="宋体" w:hAnsi="宋体" w:cs="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1</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2</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bl>
    <w:p>
      <w:pPr>
        <w:ind w:firstLine="480" w:firstLineChars="200"/>
        <w:rPr>
          <w:rFonts w:ascii="宋体" w:hAnsi="宋体" w:cs="宋体"/>
          <w:sz w:val="24"/>
        </w:rPr>
      </w:pPr>
      <w:r>
        <w:rPr>
          <w:rFonts w:hint="eastAsia" w:ascii="宋体" w:hAnsi="宋体" w:cs="宋体"/>
          <w:sz w:val="24"/>
        </w:rPr>
        <w:t>上述声明真实有效，否则我方负全部责任。</w:t>
      </w:r>
    </w:p>
    <w:p>
      <w:pPr>
        <w:autoSpaceDE w:val="0"/>
        <w:autoSpaceDN w:val="0"/>
        <w:adjustRightInd w:val="0"/>
        <w:snapToGrid w:val="0"/>
        <w:spacing w:before="25" w:after="25" w:line="360" w:lineRule="auto"/>
        <w:jc w:val="right"/>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spacing w:line="360" w:lineRule="auto"/>
        <w:ind w:right="840" w:firstLine="480"/>
        <w:jc w:val="right"/>
        <w:rPr>
          <w:rFonts w:ascii="宋体" w:hAnsi="宋体" w:cs="宋体"/>
          <w:sz w:val="24"/>
        </w:rPr>
      </w:pPr>
      <w:r>
        <w:rPr>
          <w:rFonts w:hint="eastAsia" w:ascii="宋体" w:hAnsi="宋体" w:cs="宋体"/>
          <w:sz w:val="24"/>
          <w:szCs w:val="20"/>
        </w:rPr>
        <w:t>日期：_____年______月______日</w:t>
      </w:r>
    </w:p>
    <w:p>
      <w:pPr>
        <w:spacing w:line="360" w:lineRule="auto"/>
        <w:ind w:right="-58"/>
        <w:jc w:val="left"/>
        <w:rPr>
          <w:rFonts w:ascii="宋体" w:hAnsi="宋体" w:cs="宋体"/>
          <w:sz w:val="24"/>
        </w:rPr>
      </w:pPr>
      <w:r>
        <w:rPr>
          <w:rFonts w:hint="eastAsia" w:ascii="宋体" w:hAnsi="宋体" w:cs="宋体"/>
          <w:sz w:val="24"/>
        </w:rPr>
        <w:t>说明：投标人承诺不实的，依据《中华人民共和国政府采购法》第七十七条“提供虚假材料谋取中标、成交的”有关规定予以处理。</w:t>
      </w:r>
    </w:p>
    <w:p>
      <w:pPr>
        <w:pStyle w:val="4"/>
        <w:spacing w:line="360" w:lineRule="auto"/>
        <w:ind w:firstLine="482"/>
        <w:jc w:val="left"/>
        <w:rPr>
          <w:rFonts w:ascii="宋体" w:hAnsi="宋体" w:cs="宋体"/>
          <w:b/>
          <w:bCs/>
          <w:sz w:val="24"/>
          <w:szCs w:val="24"/>
        </w:rPr>
      </w:pPr>
      <w:bookmarkStart w:id="567" w:name="_Toc100786155"/>
      <w:r>
        <w:rPr>
          <w:rFonts w:hint="eastAsia" w:ascii="宋体" w:hAnsi="宋体" w:cs="宋体"/>
          <w:b/>
          <w:bCs/>
          <w:sz w:val="24"/>
          <w:szCs w:val="24"/>
        </w:rPr>
        <w:t>附件6-3  落实政府采购政策需满足的资格要求</w:t>
      </w:r>
      <w:bookmarkEnd w:id="567"/>
    </w:p>
    <w:p>
      <w:pPr>
        <w:pStyle w:val="4"/>
        <w:spacing w:line="360" w:lineRule="auto"/>
        <w:ind w:firstLine="482"/>
        <w:rPr>
          <w:rFonts w:ascii="宋体" w:hAnsi="宋体" w:cs="宋体"/>
          <w:b/>
          <w:bCs/>
          <w:sz w:val="24"/>
          <w:szCs w:val="24"/>
        </w:rPr>
      </w:pPr>
      <w:r>
        <w:rPr>
          <w:rFonts w:hint="eastAsia" w:ascii="宋体" w:hAnsi="宋体" w:cs="宋体"/>
          <w:b/>
          <w:bCs/>
          <w:sz w:val="24"/>
          <w:szCs w:val="24"/>
        </w:rPr>
        <w:t>附件6-3-1  中小企业声明函（</w:t>
      </w:r>
      <w:r>
        <w:rPr>
          <w:rFonts w:hint="eastAsia" w:ascii="宋体" w:hAnsi="宋体" w:cs="宋体"/>
          <w:b/>
          <w:bCs/>
          <w:sz w:val="24"/>
          <w:szCs w:val="24"/>
          <w:lang w:val="en-US"/>
        </w:rPr>
        <w:t>第一包适用</w:t>
      </w:r>
      <w:r>
        <w:rPr>
          <w:rFonts w:hint="eastAsia" w:ascii="宋体" w:hAnsi="宋体" w:cs="宋体"/>
          <w:b/>
          <w:bCs/>
          <w:sz w:val="24"/>
          <w:szCs w:val="24"/>
        </w:rPr>
        <w:t>）</w:t>
      </w:r>
    </w:p>
    <w:p>
      <w:pPr>
        <w:pStyle w:val="5"/>
        <w:ind w:firstLine="400"/>
        <w:rPr>
          <w:rFonts w:ascii="宋体" w:hAnsi="宋体" w:cs="宋体"/>
        </w:rPr>
      </w:pPr>
    </w:p>
    <w:p>
      <w:pPr>
        <w:spacing w:line="360" w:lineRule="auto"/>
        <w:ind w:firstLine="506" w:firstLineChars="200"/>
        <w:jc w:val="center"/>
        <w:rPr>
          <w:rFonts w:ascii="宋体" w:hAnsi="宋体" w:cs="宋体"/>
          <w:spacing w:val="6"/>
          <w:sz w:val="24"/>
          <w:szCs w:val="24"/>
        </w:rPr>
      </w:pPr>
      <w:r>
        <w:rPr>
          <w:rFonts w:hint="eastAsia" w:ascii="宋体" w:hAnsi="宋体" w:cs="宋体"/>
          <w:b/>
          <w:bCs/>
          <w:spacing w:val="6"/>
          <w:sz w:val="24"/>
          <w:szCs w:val="24"/>
        </w:rPr>
        <w:t>中小企业声明函（服务）</w:t>
      </w:r>
    </w:p>
    <w:p>
      <w:pPr>
        <w:spacing w:line="360" w:lineRule="auto"/>
        <w:ind w:firstLine="504" w:firstLineChars="200"/>
        <w:jc w:val="center"/>
        <w:rPr>
          <w:rFonts w:ascii="宋体" w:hAnsi="宋体" w:cs="宋体"/>
          <w:spacing w:val="6"/>
          <w:sz w:val="24"/>
          <w:szCs w:val="24"/>
        </w:rPr>
      </w:pP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 号）的规定，本公司（联合体）参加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采购活动，服务全部由符合政策要求的中小企业承接。相关企业（含联合体中的中小企业、签订分包意向协议的中小企业）的具体情况如下：</w:t>
      </w:r>
    </w:p>
    <w:p>
      <w:pPr>
        <w:numPr>
          <w:ilvl w:val="0"/>
          <w:numId w:val="7"/>
        </w:num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u w:val="single"/>
        </w:rPr>
        <w:t xml:space="preserve">    （标的名称），属于    （采购文件中明确的所属行业）行业</w:t>
      </w:r>
      <w:r>
        <w:rPr>
          <w:rFonts w:hint="eastAsia" w:ascii="宋体" w:hAnsi="宋体" w:cs="宋体"/>
          <w:kern w:val="0"/>
          <w:sz w:val="24"/>
          <w:szCs w:val="24"/>
        </w:rPr>
        <w:t>；承接企业为</w:t>
      </w:r>
      <w:r>
        <w:rPr>
          <w:rFonts w:hint="eastAsia" w:ascii="宋体" w:hAnsi="宋体" w:cs="宋体"/>
          <w:kern w:val="0"/>
          <w:sz w:val="24"/>
          <w:szCs w:val="24"/>
          <w:u w:val="single"/>
        </w:rPr>
        <w:t xml:space="preserve">    （企业名称）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 xml:space="preserve">    （标的名称），属于    （采购文件中明确的所属行业）行业</w:t>
      </w:r>
      <w:r>
        <w:rPr>
          <w:rFonts w:hint="eastAsia" w:ascii="宋体" w:hAnsi="宋体" w:cs="宋体"/>
          <w:kern w:val="0"/>
          <w:sz w:val="24"/>
          <w:szCs w:val="24"/>
        </w:rPr>
        <w:t>；承接企业为</w:t>
      </w:r>
      <w:r>
        <w:rPr>
          <w:rFonts w:hint="eastAsia" w:ascii="宋体" w:hAnsi="宋体" w:cs="宋体"/>
          <w:kern w:val="0"/>
          <w:sz w:val="24"/>
          <w:szCs w:val="24"/>
          <w:u w:val="single"/>
        </w:rPr>
        <w:t xml:space="preserve">    （企业名称）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kern w:val="0"/>
          <w:sz w:val="24"/>
          <w:szCs w:val="24"/>
          <w:vertAlign w:val="superscript"/>
        </w:rPr>
      </w:pPr>
      <w:r>
        <w:rPr>
          <w:rFonts w:hint="eastAsia" w:ascii="宋体" w:hAnsi="宋体" w:cs="宋体"/>
          <w:kern w:val="0"/>
          <w:sz w:val="24"/>
          <w:szCs w:val="24"/>
        </w:rPr>
        <w:t>本企业对上述声明内容的真实性负责。如有虚假，将依法承担相应责任。</w:t>
      </w:r>
    </w:p>
    <w:p>
      <w:pPr>
        <w:spacing w:line="360" w:lineRule="auto"/>
        <w:jc w:val="left"/>
        <w:rPr>
          <w:rFonts w:ascii="宋体" w:hAnsi="宋体" w:cs="宋体"/>
          <w:kern w:val="0"/>
          <w:sz w:val="24"/>
          <w:szCs w:val="24"/>
        </w:rPr>
      </w:pPr>
    </w:p>
    <w:p>
      <w:pPr>
        <w:spacing w:line="360" w:lineRule="auto"/>
        <w:jc w:val="left"/>
        <w:rPr>
          <w:rFonts w:ascii="宋体" w:hAnsi="宋体" w:cs="宋体"/>
          <w:kern w:val="0"/>
          <w:sz w:val="24"/>
          <w:szCs w:val="24"/>
        </w:rPr>
      </w:pPr>
      <w:r>
        <w:rPr>
          <w:rFonts w:hint="eastAsia" w:ascii="宋体" w:hAnsi="宋体" w:cs="宋体"/>
          <w:kern w:val="0"/>
          <w:sz w:val="24"/>
          <w:szCs w:val="24"/>
        </w:rPr>
        <w:t xml:space="preserve">                            企业名称（盖章）： </w:t>
      </w:r>
    </w:p>
    <w:p>
      <w:pPr>
        <w:spacing w:line="360" w:lineRule="auto"/>
        <w:ind w:firstLine="3360" w:firstLineChars="1400"/>
        <w:rPr>
          <w:rFonts w:ascii="宋体" w:hAnsi="宋体" w:cs="宋体"/>
          <w:spacing w:val="6"/>
          <w:sz w:val="24"/>
          <w:szCs w:val="24"/>
        </w:rPr>
      </w:pPr>
      <w:r>
        <w:rPr>
          <w:rFonts w:hint="eastAsia" w:ascii="宋体" w:hAnsi="宋体" w:cs="宋体"/>
          <w:kern w:val="0"/>
          <w:sz w:val="24"/>
          <w:szCs w:val="24"/>
        </w:rPr>
        <w:t>日  期：</w:t>
      </w:r>
    </w:p>
    <w:p>
      <w:pPr>
        <w:ind w:firstLine="420"/>
        <w:rPr>
          <w:rFonts w:ascii="宋体" w:hAnsi="宋体" w:cs="宋体"/>
        </w:rPr>
      </w:pPr>
    </w:p>
    <w:p>
      <w:pPr>
        <w:ind w:firstLine="420"/>
        <w:rPr>
          <w:rFonts w:ascii="宋体" w:hAnsi="宋体" w:cs="宋体"/>
        </w:rPr>
      </w:pPr>
    </w:p>
    <w:p>
      <w:pPr>
        <w:adjustRightInd w:val="0"/>
        <w:snapToGrid w:val="0"/>
        <w:jc w:val="left"/>
        <w:rPr>
          <w:rFonts w:ascii="宋体" w:hAnsi="宋体" w:cs="宋体"/>
          <w:sz w:val="24"/>
          <w:szCs w:val="21"/>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ind w:firstLine="420"/>
              <w:jc w:val="left"/>
              <w:rPr>
                <w:rFonts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pPr>
        <w:ind w:firstLine="420"/>
        <w:rPr>
          <w:rFonts w:ascii="宋体" w:hAnsi="宋体" w:cs="宋体"/>
        </w:rPr>
      </w:pPr>
      <w:r>
        <w:rPr>
          <w:rFonts w:hint="eastAsia" w:ascii="宋体" w:hAnsi="宋体" w:cs="宋体"/>
        </w:rPr>
        <w:br w:type="page"/>
      </w:r>
    </w:p>
    <w:p>
      <w:pPr>
        <w:tabs>
          <w:tab w:val="left" w:pos="5580"/>
        </w:tabs>
        <w:spacing w:line="360" w:lineRule="auto"/>
        <w:rPr>
          <w:rFonts w:ascii="宋体" w:hAnsi="宋体" w:cs="宋体"/>
          <w:sz w:val="24"/>
        </w:rPr>
      </w:pPr>
      <w:r>
        <w:rPr>
          <w:rFonts w:hint="eastAsia" w:ascii="宋体" w:hAnsi="宋体" w:cs="宋体"/>
          <w:sz w:val="24"/>
        </w:rPr>
        <w:t>说明：</w:t>
      </w:r>
    </w:p>
    <w:p>
      <w:pPr>
        <w:tabs>
          <w:tab w:val="left" w:pos="5580"/>
        </w:tabs>
        <w:spacing w:line="360" w:lineRule="auto"/>
        <w:rPr>
          <w:rFonts w:ascii="宋体" w:hAnsi="宋体" w:cs="宋体"/>
          <w:sz w:val="24"/>
        </w:rPr>
      </w:pPr>
      <w:r>
        <w:rPr>
          <w:rFonts w:hint="eastAsia" w:ascii="宋体" w:hAnsi="宋体" w:cs="宋体"/>
          <w:sz w:val="24"/>
        </w:rPr>
        <w:t>（1）如本项目（包）不专门面向中小企业预留采购份额，资格证明文件部分无需提供《中小企业声明函》。</w:t>
      </w:r>
    </w:p>
    <w:p>
      <w:pPr>
        <w:tabs>
          <w:tab w:val="left" w:pos="5580"/>
        </w:tabs>
        <w:spacing w:line="360" w:lineRule="auto"/>
        <w:rPr>
          <w:rFonts w:ascii="宋体" w:hAnsi="宋体" w:cs="宋体"/>
          <w:sz w:val="24"/>
        </w:rPr>
      </w:pPr>
      <w:r>
        <w:rPr>
          <w:rFonts w:hint="eastAsia" w:ascii="宋体" w:hAnsi="宋体" w:cs="宋体"/>
          <w:sz w:val="24"/>
        </w:rPr>
        <w:t>（2）如本项目（包）专门面向小微企业采购，须提供《中小企业声明函》</w:t>
      </w:r>
      <w:r>
        <w:rPr>
          <w:rFonts w:hint="eastAsia" w:ascii="宋体" w:hAnsi="宋体" w:cs="宋体"/>
          <w:sz w:val="24"/>
          <w:szCs w:val="20"/>
        </w:rPr>
        <w:t>（实质性格式）</w:t>
      </w:r>
      <w:r>
        <w:rPr>
          <w:rFonts w:hint="eastAsia" w:ascii="宋体" w:hAnsi="宋体" w:cs="宋体"/>
          <w:sz w:val="24"/>
        </w:rPr>
        <w:t>。</w:t>
      </w:r>
    </w:p>
    <w:p>
      <w:pPr>
        <w:tabs>
          <w:tab w:val="left" w:pos="5580"/>
        </w:tabs>
        <w:spacing w:line="360" w:lineRule="auto"/>
        <w:rPr>
          <w:rFonts w:ascii="宋体" w:hAnsi="宋体" w:cs="宋体"/>
          <w:sz w:val="24"/>
        </w:rPr>
      </w:pPr>
      <w:r>
        <w:rPr>
          <w:rFonts w:hint="eastAsia" w:ascii="宋体" w:hAnsi="宋体" w:cs="宋体"/>
          <w:sz w:val="24"/>
        </w:rPr>
        <w:t>（3）如本项目（包）预留部分采购项目预算专门面向中小企业采购，要求投标人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pPr>
        <w:tabs>
          <w:tab w:val="left" w:pos="5580"/>
        </w:tabs>
        <w:spacing w:line="360" w:lineRule="auto"/>
        <w:rPr>
          <w:rFonts w:ascii="宋体" w:hAnsi="宋体" w:cs="宋体"/>
          <w:sz w:val="24"/>
        </w:rPr>
      </w:pPr>
      <w:r>
        <w:rPr>
          <w:rFonts w:hint="eastAsia" w:ascii="宋体" w:hAnsi="宋体" w:cs="宋体"/>
          <w:sz w:val="24"/>
        </w:rPr>
        <w:t>（4）其他</w:t>
      </w:r>
    </w:p>
    <w:p>
      <w:pPr>
        <w:tabs>
          <w:tab w:val="left" w:pos="5580"/>
        </w:tabs>
        <w:spacing w:line="360" w:lineRule="auto"/>
        <w:rPr>
          <w:rFonts w:ascii="宋体" w:hAnsi="宋体" w:cs="宋体"/>
          <w:sz w:val="24"/>
        </w:rPr>
      </w:pPr>
      <w:r>
        <w:rPr>
          <w:rFonts w:hint="eastAsia" w:ascii="宋体" w:hAnsi="宋体" w:cs="宋体"/>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pPr>
        <w:tabs>
          <w:tab w:val="left" w:pos="5580"/>
        </w:tabs>
        <w:spacing w:line="360" w:lineRule="auto"/>
        <w:rPr>
          <w:rFonts w:ascii="宋体" w:hAnsi="宋体" w:cs="宋体"/>
          <w:sz w:val="24"/>
        </w:rPr>
      </w:pPr>
      <w:r>
        <w:rPr>
          <w:rFonts w:hint="eastAsia" w:ascii="宋体" w:hAnsi="宋体" w:cs="宋体"/>
          <w:sz w:val="24"/>
        </w:rPr>
        <w:t>3）对于多标的的采购项目，投标人应充分、准确地了解所投产品制造企业信息。对相关情况了解不清楚的，不建议填报本声明函。</w:t>
      </w:r>
    </w:p>
    <w:p>
      <w:pPr>
        <w:spacing w:line="360" w:lineRule="auto"/>
        <w:rPr>
          <w:rFonts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rPr>
          <w:rFonts w:ascii="宋体" w:hAnsi="宋体" w:cs="宋体"/>
          <w:sz w:val="24"/>
        </w:rPr>
      </w:pPr>
      <w:r>
        <w:rPr>
          <w:rFonts w:hint="eastAsia" w:ascii="宋体" w:hAnsi="宋体" w:cs="宋体"/>
          <w:sz w:val="24"/>
        </w:rPr>
        <w:br w:type="page"/>
      </w:r>
    </w:p>
    <w:p>
      <w:pPr>
        <w:pStyle w:val="4"/>
        <w:spacing w:line="360" w:lineRule="auto"/>
        <w:ind w:firstLine="482"/>
        <w:rPr>
          <w:rFonts w:ascii="宋体" w:hAnsi="宋体" w:cs="宋体"/>
          <w:sz w:val="24"/>
          <w:szCs w:val="24"/>
        </w:rPr>
      </w:pPr>
      <w:r>
        <w:rPr>
          <w:rFonts w:hint="eastAsia" w:ascii="宋体" w:hAnsi="宋体" w:cs="宋体"/>
          <w:b/>
          <w:bCs/>
          <w:sz w:val="24"/>
          <w:szCs w:val="24"/>
        </w:rPr>
        <w:t>附件6-3-2  监狱企业证明（原件）</w:t>
      </w:r>
    </w:p>
    <w:p>
      <w:pPr>
        <w:spacing w:line="360" w:lineRule="auto"/>
        <w:ind w:firstLine="506" w:firstLineChars="201"/>
        <w:rPr>
          <w:rFonts w:ascii="宋体" w:hAnsi="宋体" w:cs="宋体"/>
          <w:spacing w:val="6"/>
          <w:sz w:val="24"/>
          <w:szCs w:val="24"/>
        </w:rPr>
      </w:pPr>
      <w:r>
        <w:rPr>
          <w:rFonts w:hint="eastAsia" w:ascii="宋体" w:hAnsi="宋体" w:cs="宋体"/>
          <w:spacing w:val="6"/>
          <w:sz w:val="24"/>
          <w:szCs w:val="24"/>
        </w:rPr>
        <w:t>说明：应当提供由省级以上监狱管理局、戒毒管理局(含新疆生产建设兵团)出具的属于监狱企业的证明文件。北京市监狱企业参加政府采购活动时，应当提供市监狱管理局、市教育矫治局出具的监狱企业的证明文件。</w:t>
      </w:r>
    </w:p>
    <w:p>
      <w:pPr>
        <w:pStyle w:val="4"/>
        <w:spacing w:line="360" w:lineRule="auto"/>
        <w:rPr>
          <w:rFonts w:ascii="宋体" w:hAnsi="宋体" w:cs="宋体"/>
          <w:sz w:val="24"/>
          <w:szCs w:val="24"/>
        </w:rPr>
      </w:pPr>
      <w:r>
        <w:rPr>
          <w:rFonts w:hint="eastAsia" w:ascii="宋体" w:hAnsi="宋体" w:cs="宋体"/>
          <w:sz w:val="24"/>
          <w:szCs w:val="24"/>
        </w:rPr>
        <w:br w:type="page"/>
      </w:r>
      <w:r>
        <w:rPr>
          <w:rFonts w:hint="eastAsia" w:ascii="宋体" w:hAnsi="宋体" w:cs="宋体"/>
          <w:b/>
          <w:bCs/>
          <w:sz w:val="24"/>
          <w:szCs w:val="24"/>
        </w:rPr>
        <w:t>附件6-3-3  残疾人福利性单位声明函</w:t>
      </w:r>
      <w:r>
        <w:rPr>
          <w:rFonts w:hint="eastAsia" w:ascii="宋体" w:hAnsi="宋体" w:cs="宋体"/>
          <w:b/>
          <w:bCs/>
          <w:sz w:val="24"/>
          <w:szCs w:val="24"/>
          <w:lang w:val="en-US"/>
        </w:rPr>
        <w:t>（如有）</w:t>
      </w:r>
    </w:p>
    <w:p>
      <w:pPr>
        <w:spacing w:line="360" w:lineRule="auto"/>
        <w:ind w:firstLine="506"/>
        <w:jc w:val="center"/>
        <w:rPr>
          <w:rFonts w:ascii="宋体" w:hAnsi="宋体" w:cs="宋体"/>
          <w:b/>
          <w:spacing w:val="6"/>
          <w:sz w:val="24"/>
          <w:szCs w:val="24"/>
        </w:rPr>
      </w:pPr>
    </w:p>
    <w:p>
      <w:pPr>
        <w:spacing w:line="360" w:lineRule="auto"/>
        <w:ind w:firstLine="506"/>
        <w:jc w:val="center"/>
        <w:rPr>
          <w:rFonts w:ascii="宋体" w:hAnsi="宋体" w:cs="宋体"/>
          <w:b/>
          <w:spacing w:val="6"/>
          <w:sz w:val="24"/>
          <w:szCs w:val="24"/>
        </w:rPr>
      </w:pPr>
      <w:r>
        <w:rPr>
          <w:rFonts w:hint="eastAsia" w:ascii="宋体" w:hAnsi="宋体" w:cs="宋体"/>
          <w:b/>
          <w:spacing w:val="6"/>
          <w:sz w:val="24"/>
          <w:szCs w:val="24"/>
        </w:rPr>
        <w:t>残疾人福利性单位声明函</w:t>
      </w:r>
    </w:p>
    <w:p>
      <w:pPr>
        <w:spacing w:line="360" w:lineRule="auto"/>
        <w:ind w:firstLine="506"/>
        <w:rPr>
          <w:rFonts w:ascii="宋体" w:hAnsi="宋体" w:cs="宋体"/>
          <w:b/>
          <w:spacing w:val="6"/>
          <w:sz w:val="24"/>
          <w:szCs w:val="24"/>
        </w:rPr>
      </w:pPr>
    </w:p>
    <w:p>
      <w:pPr>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pPr>
        <w:spacing w:line="36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36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6" w:firstLineChars="200"/>
        <w:rPr>
          <w:rFonts w:ascii="宋体" w:hAnsi="宋体" w:cs="宋体"/>
          <w:spacing w:val="6"/>
          <w:sz w:val="24"/>
          <w:szCs w:val="24"/>
        </w:rPr>
      </w:pPr>
      <w:r>
        <w:rPr>
          <w:rFonts w:hint="eastAsia" w:ascii="宋体" w:hAnsi="宋体" w:cs="宋体"/>
          <w:b/>
          <w:spacing w:val="6"/>
          <w:sz w:val="24"/>
        </w:rPr>
        <w:t>本单位对上述声明的真实性负责。如有虚假，将依法承担相应责任。</w:t>
      </w:r>
    </w:p>
    <w:p>
      <w:pPr>
        <w:spacing w:line="360" w:lineRule="auto"/>
        <w:ind w:firstLine="504" w:firstLineChars="200"/>
        <w:rPr>
          <w:rFonts w:ascii="宋体" w:hAnsi="宋体" w:cs="宋体"/>
          <w:spacing w:val="6"/>
          <w:sz w:val="24"/>
          <w:szCs w:val="24"/>
        </w:rPr>
      </w:pPr>
    </w:p>
    <w:p>
      <w:pPr>
        <w:spacing w:line="360" w:lineRule="auto"/>
        <w:ind w:firstLine="504" w:firstLineChars="200"/>
        <w:rPr>
          <w:rFonts w:ascii="宋体" w:hAnsi="宋体" w:cs="宋体"/>
          <w:spacing w:val="6"/>
          <w:sz w:val="24"/>
          <w:szCs w:val="24"/>
        </w:rPr>
      </w:pPr>
    </w:p>
    <w:p>
      <w:pPr>
        <w:tabs>
          <w:tab w:val="left" w:pos="4860"/>
        </w:tabs>
        <w:spacing w:line="360" w:lineRule="auto"/>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rPr>
          <w:rFonts w:ascii="宋体" w:hAnsi="宋体" w:cs="宋体"/>
          <w:b/>
          <w:bCs/>
          <w:sz w:val="24"/>
          <w:szCs w:val="24"/>
        </w:rPr>
      </w:pPr>
      <w:r>
        <w:rPr>
          <w:rFonts w:hint="eastAsia" w:ascii="宋体" w:hAnsi="宋体" w:cs="宋体"/>
          <w:spacing w:val="6"/>
          <w:sz w:val="24"/>
          <w:szCs w:val="24"/>
        </w:rPr>
        <w:t xml:space="preserve">                           日  期：</w:t>
      </w:r>
      <w:r>
        <w:rPr>
          <w:rFonts w:hint="eastAsia" w:ascii="宋体" w:hAnsi="宋体" w:cs="宋体"/>
          <w:b/>
          <w:bCs/>
          <w:sz w:val="24"/>
          <w:szCs w:val="24"/>
        </w:rPr>
        <w:br w:type="page"/>
      </w:r>
    </w:p>
    <w:p>
      <w:pPr>
        <w:spacing w:line="360" w:lineRule="auto"/>
        <w:ind w:firstLine="482"/>
        <w:rPr>
          <w:rFonts w:ascii="宋体" w:hAnsi="宋体" w:cs="宋体"/>
          <w:b/>
          <w:bCs/>
          <w:spacing w:val="6"/>
          <w:sz w:val="24"/>
          <w:szCs w:val="24"/>
        </w:rPr>
      </w:pPr>
      <w:r>
        <w:rPr>
          <w:rFonts w:hint="eastAsia" w:ascii="宋体" w:hAnsi="宋体" w:cs="宋体"/>
          <w:b/>
          <w:bCs/>
          <w:sz w:val="24"/>
          <w:szCs w:val="24"/>
        </w:rPr>
        <w:t>附件6-3-4</w:t>
      </w:r>
      <w:r>
        <w:rPr>
          <w:rFonts w:hint="eastAsia" w:ascii="宋体" w:hAnsi="宋体" w:cs="宋体"/>
          <w:b/>
          <w:bCs/>
          <w:spacing w:val="6"/>
          <w:sz w:val="24"/>
          <w:szCs w:val="24"/>
        </w:rPr>
        <w:t>拟分包情况说明及分包意向协议（类型一）（本项目不适用）</w:t>
      </w:r>
    </w:p>
    <w:p>
      <w:pPr>
        <w:autoSpaceDE w:val="0"/>
        <w:autoSpaceDN w:val="0"/>
        <w:adjustRightInd w:val="0"/>
        <w:ind w:firstLine="600"/>
        <w:jc w:val="center"/>
        <w:rPr>
          <w:rFonts w:ascii="宋体" w:hAnsi="宋体" w:cs="宋体"/>
          <w:sz w:val="30"/>
          <w:szCs w:val="30"/>
        </w:rPr>
      </w:pPr>
    </w:p>
    <w:p>
      <w:pPr>
        <w:spacing w:line="360" w:lineRule="auto"/>
        <w:ind w:firstLine="506" w:firstLineChars="200"/>
        <w:jc w:val="center"/>
        <w:rPr>
          <w:rFonts w:ascii="宋体" w:hAnsi="宋体" w:cs="宋体"/>
          <w:b/>
          <w:bCs/>
          <w:spacing w:val="6"/>
          <w:sz w:val="24"/>
          <w:szCs w:val="24"/>
        </w:rPr>
      </w:pPr>
      <w:r>
        <w:rPr>
          <w:rFonts w:hint="eastAsia" w:ascii="宋体" w:hAnsi="宋体" w:cs="宋体"/>
          <w:b/>
          <w:bCs/>
          <w:spacing w:val="6"/>
          <w:sz w:val="24"/>
          <w:szCs w:val="24"/>
        </w:rPr>
        <w:t>拟分包情况说明</w:t>
      </w: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91" w:type="dxa"/>
            <w:shd w:val="clear" w:color="auto" w:fill="auto"/>
            <w:vAlign w:val="center"/>
          </w:tcPr>
          <w:p>
            <w:pPr>
              <w:pStyle w:val="255"/>
              <w:jc w:val="center"/>
              <w:rPr>
                <w:sz w:val="24"/>
                <w:lang w:eastAsia="en-US"/>
              </w:rPr>
            </w:pPr>
            <w:r>
              <w:rPr>
                <w:rFonts w:hint="eastAsia"/>
                <w:sz w:val="24"/>
                <w:lang w:eastAsia="en-US"/>
              </w:rPr>
              <w:t>序号</w:t>
            </w:r>
          </w:p>
        </w:tc>
        <w:tc>
          <w:tcPr>
            <w:tcW w:w="1287" w:type="dxa"/>
            <w:shd w:val="clear" w:color="auto" w:fill="auto"/>
            <w:vAlign w:val="center"/>
          </w:tcPr>
          <w:p>
            <w:pPr>
              <w:pStyle w:val="255"/>
              <w:jc w:val="center"/>
              <w:rPr>
                <w:sz w:val="24"/>
                <w:lang w:eastAsia="en-US"/>
              </w:rPr>
            </w:pPr>
            <w:r>
              <w:rPr>
                <w:rFonts w:hint="eastAsia"/>
                <w:sz w:val="24"/>
                <w:lang w:eastAsia="en-US"/>
              </w:rPr>
              <w:t>分包承担</w:t>
            </w:r>
          </w:p>
          <w:p>
            <w:pPr>
              <w:pStyle w:val="255"/>
              <w:jc w:val="center"/>
              <w:rPr>
                <w:sz w:val="24"/>
                <w:lang w:eastAsia="en-US"/>
              </w:rPr>
            </w:pPr>
            <w:r>
              <w:rPr>
                <w:rFonts w:hint="eastAsia"/>
                <w:sz w:val="24"/>
                <w:lang w:eastAsia="en-US"/>
              </w:rPr>
              <w:t>主体名称</w:t>
            </w:r>
          </w:p>
        </w:tc>
        <w:tc>
          <w:tcPr>
            <w:tcW w:w="1513" w:type="dxa"/>
            <w:shd w:val="clear" w:color="auto" w:fill="auto"/>
            <w:vAlign w:val="center"/>
          </w:tcPr>
          <w:p>
            <w:pPr>
              <w:pStyle w:val="255"/>
              <w:jc w:val="center"/>
              <w:rPr>
                <w:sz w:val="24"/>
              </w:rPr>
            </w:pPr>
            <w:r>
              <w:rPr>
                <w:rFonts w:hint="eastAsia"/>
                <w:sz w:val="24"/>
              </w:rPr>
              <w:t>分包承担</w:t>
            </w:r>
          </w:p>
          <w:p>
            <w:pPr>
              <w:pStyle w:val="255"/>
              <w:jc w:val="center"/>
              <w:rPr>
                <w:sz w:val="24"/>
              </w:rPr>
            </w:pPr>
            <w:r>
              <w:rPr>
                <w:rFonts w:hint="eastAsia"/>
                <w:sz w:val="24"/>
              </w:rPr>
              <w:t>主体类型</w:t>
            </w:r>
          </w:p>
          <w:p>
            <w:pPr>
              <w:pStyle w:val="255"/>
              <w:jc w:val="center"/>
              <w:rPr>
                <w:sz w:val="24"/>
              </w:rPr>
            </w:pPr>
            <w:r>
              <w:rPr>
                <w:rFonts w:hint="eastAsia"/>
                <w:sz w:val="24"/>
              </w:rPr>
              <w:t>（勾选）</w:t>
            </w:r>
          </w:p>
        </w:tc>
        <w:tc>
          <w:tcPr>
            <w:tcW w:w="1125" w:type="dxa"/>
            <w:shd w:val="clear" w:color="auto" w:fill="auto"/>
            <w:vAlign w:val="center"/>
          </w:tcPr>
          <w:p>
            <w:pPr>
              <w:pStyle w:val="255"/>
              <w:jc w:val="center"/>
              <w:rPr>
                <w:sz w:val="24"/>
                <w:lang w:eastAsia="en-US"/>
              </w:rPr>
            </w:pPr>
            <w:r>
              <w:rPr>
                <w:rFonts w:hint="eastAsia"/>
                <w:sz w:val="24"/>
                <w:lang w:eastAsia="en-US"/>
              </w:rPr>
              <w:t>资质等级</w:t>
            </w:r>
          </w:p>
        </w:tc>
        <w:tc>
          <w:tcPr>
            <w:tcW w:w="1561" w:type="dxa"/>
            <w:shd w:val="clear" w:color="auto" w:fill="auto"/>
            <w:vAlign w:val="center"/>
          </w:tcPr>
          <w:p>
            <w:pPr>
              <w:pStyle w:val="255"/>
              <w:jc w:val="center"/>
              <w:rPr>
                <w:sz w:val="24"/>
                <w:lang w:eastAsia="en-US"/>
              </w:rPr>
            </w:pPr>
            <w:r>
              <w:rPr>
                <w:rFonts w:hint="eastAsia"/>
                <w:sz w:val="24"/>
                <w:lang w:eastAsia="en-US"/>
              </w:rPr>
              <w:t>拟分包</w:t>
            </w:r>
          </w:p>
          <w:p>
            <w:pPr>
              <w:pStyle w:val="255"/>
              <w:jc w:val="center"/>
              <w:rPr>
                <w:sz w:val="24"/>
                <w:lang w:eastAsia="en-US"/>
              </w:rPr>
            </w:pPr>
            <w:r>
              <w:rPr>
                <w:rFonts w:hint="eastAsia"/>
                <w:sz w:val="24"/>
                <w:lang w:eastAsia="en-US"/>
              </w:rPr>
              <w:t>合同内容</w:t>
            </w:r>
          </w:p>
        </w:tc>
        <w:tc>
          <w:tcPr>
            <w:tcW w:w="1498" w:type="dxa"/>
            <w:shd w:val="clear" w:color="auto" w:fill="auto"/>
            <w:vAlign w:val="center"/>
          </w:tcPr>
          <w:p>
            <w:pPr>
              <w:pStyle w:val="255"/>
              <w:jc w:val="center"/>
              <w:rPr>
                <w:sz w:val="24"/>
              </w:rPr>
            </w:pPr>
            <w:r>
              <w:rPr>
                <w:rFonts w:hint="eastAsia"/>
                <w:sz w:val="24"/>
              </w:rPr>
              <w:t>拟分包</w:t>
            </w:r>
          </w:p>
          <w:p>
            <w:pPr>
              <w:pStyle w:val="255"/>
              <w:jc w:val="center"/>
              <w:rPr>
                <w:sz w:val="24"/>
              </w:rPr>
            </w:pPr>
            <w:r>
              <w:rPr>
                <w:rFonts w:hint="eastAsia"/>
                <w:sz w:val="24"/>
              </w:rPr>
              <w:t>合同金额</w:t>
            </w:r>
          </w:p>
          <w:p>
            <w:pPr>
              <w:pStyle w:val="255"/>
              <w:jc w:val="center"/>
              <w:rPr>
                <w:sz w:val="24"/>
              </w:rPr>
            </w:pPr>
            <w:r>
              <w:rPr>
                <w:rFonts w:hint="eastAsia"/>
                <w:sz w:val="24"/>
              </w:rPr>
              <w:t>（人民币元）</w:t>
            </w:r>
          </w:p>
        </w:tc>
        <w:tc>
          <w:tcPr>
            <w:tcW w:w="1564" w:type="dxa"/>
            <w:shd w:val="clear" w:color="auto" w:fill="auto"/>
            <w:vAlign w:val="center"/>
          </w:tcPr>
          <w:p>
            <w:pPr>
              <w:pStyle w:val="255"/>
              <w:jc w:val="center"/>
              <w:rPr>
                <w:sz w:val="24"/>
              </w:rPr>
            </w:pPr>
            <w:r>
              <w:rPr>
                <w:rFonts w:hint="eastAsia"/>
                <w:sz w:val="24"/>
              </w:rPr>
              <w:t>占该采购包</w:t>
            </w:r>
          </w:p>
          <w:p>
            <w:pPr>
              <w:pStyle w:val="255"/>
              <w:ind w:firstLine="482"/>
              <w:jc w:val="center"/>
              <w:rPr>
                <w:b/>
                <w:sz w:val="24"/>
              </w:rPr>
            </w:pPr>
            <w:r>
              <w:rPr>
                <w:rFonts w:hint="eastAsia"/>
                <w:b/>
                <w:sz w:val="24"/>
              </w:rPr>
              <w:t>预算金额的</w:t>
            </w:r>
          </w:p>
          <w:p>
            <w:pPr>
              <w:pStyle w:val="255"/>
              <w:jc w:val="center"/>
              <w:rPr>
                <w:sz w:val="24"/>
              </w:rPr>
            </w:pPr>
            <w:r>
              <w:rPr>
                <w:rFonts w:hint="eastAsia"/>
                <w:sz w:val="24"/>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5"/>
              <w:ind w:firstLine="480"/>
              <w:jc w:val="center"/>
              <w:rPr>
                <w:sz w:val="24"/>
                <w:lang w:eastAsia="en-US"/>
              </w:rPr>
            </w:pPr>
            <w:r>
              <w:rPr>
                <w:rFonts w:hint="eastAsia"/>
                <w:sz w:val="24"/>
                <w:lang w:eastAsia="en-US"/>
              </w:rPr>
              <w:t>1</w:t>
            </w:r>
          </w:p>
        </w:tc>
        <w:tc>
          <w:tcPr>
            <w:tcW w:w="1287" w:type="dxa"/>
            <w:shd w:val="clear" w:color="auto" w:fill="auto"/>
            <w:vAlign w:val="center"/>
          </w:tcPr>
          <w:p>
            <w:pPr>
              <w:pStyle w:val="255"/>
              <w:ind w:firstLine="600"/>
              <w:jc w:val="center"/>
              <w:rPr>
                <w:sz w:val="30"/>
                <w:lang w:eastAsia="en-US"/>
              </w:rPr>
            </w:pPr>
          </w:p>
        </w:tc>
        <w:tc>
          <w:tcPr>
            <w:tcW w:w="1513" w:type="dxa"/>
            <w:shd w:val="clear" w:color="auto" w:fill="auto"/>
            <w:vAlign w:val="center"/>
          </w:tcPr>
          <w:p>
            <w:pPr>
              <w:pStyle w:val="255"/>
              <w:tabs>
                <w:tab w:val="left" w:pos="235"/>
              </w:tabs>
              <w:ind w:left="1" w:leftChars="-43" w:hanging="91" w:hangingChars="38"/>
              <w:jc w:val="center"/>
              <w:rPr>
                <w:sz w:val="24"/>
              </w:rPr>
            </w:pPr>
            <w:r>
              <w:rPr>
                <w:rFonts w:hint="eastAsia"/>
                <w:sz w:val="24"/>
              </w:rPr>
              <w:t>□中型企业</w:t>
            </w:r>
          </w:p>
          <w:p>
            <w:pPr>
              <w:pStyle w:val="255"/>
              <w:tabs>
                <w:tab w:val="left" w:pos="235"/>
              </w:tabs>
              <w:ind w:left="1" w:leftChars="-43" w:hanging="91" w:hangingChars="38"/>
              <w:jc w:val="center"/>
              <w:rPr>
                <w:sz w:val="24"/>
              </w:rPr>
            </w:pPr>
            <w:r>
              <w:rPr>
                <w:rFonts w:hint="eastAsia"/>
                <w:sz w:val="24"/>
              </w:rPr>
              <w:t>□小微企业</w:t>
            </w:r>
          </w:p>
        </w:tc>
        <w:tc>
          <w:tcPr>
            <w:tcW w:w="1125" w:type="dxa"/>
            <w:shd w:val="clear" w:color="auto" w:fill="auto"/>
            <w:vAlign w:val="center"/>
          </w:tcPr>
          <w:p>
            <w:pPr>
              <w:pStyle w:val="255"/>
              <w:ind w:firstLine="600"/>
              <w:jc w:val="center"/>
              <w:rPr>
                <w:sz w:val="30"/>
              </w:rPr>
            </w:pPr>
          </w:p>
        </w:tc>
        <w:tc>
          <w:tcPr>
            <w:tcW w:w="1561" w:type="dxa"/>
            <w:shd w:val="clear" w:color="auto" w:fill="auto"/>
            <w:vAlign w:val="center"/>
          </w:tcPr>
          <w:p>
            <w:pPr>
              <w:pStyle w:val="255"/>
              <w:ind w:firstLine="600"/>
              <w:jc w:val="center"/>
              <w:rPr>
                <w:sz w:val="30"/>
              </w:rPr>
            </w:pPr>
          </w:p>
        </w:tc>
        <w:tc>
          <w:tcPr>
            <w:tcW w:w="1498" w:type="dxa"/>
            <w:shd w:val="clear" w:color="auto" w:fill="auto"/>
            <w:vAlign w:val="center"/>
          </w:tcPr>
          <w:p>
            <w:pPr>
              <w:pStyle w:val="255"/>
              <w:ind w:firstLine="600"/>
              <w:jc w:val="center"/>
              <w:rPr>
                <w:sz w:val="30"/>
              </w:rPr>
            </w:pPr>
          </w:p>
        </w:tc>
        <w:tc>
          <w:tcPr>
            <w:tcW w:w="1564" w:type="dxa"/>
            <w:shd w:val="clear" w:color="auto" w:fill="auto"/>
            <w:vAlign w:val="center"/>
          </w:tcPr>
          <w:p>
            <w:pPr>
              <w:pStyle w:val="255"/>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5"/>
              <w:ind w:firstLine="480"/>
              <w:jc w:val="center"/>
              <w:rPr>
                <w:sz w:val="24"/>
                <w:lang w:eastAsia="en-US"/>
              </w:rPr>
            </w:pPr>
            <w:r>
              <w:rPr>
                <w:rFonts w:hint="eastAsia"/>
                <w:sz w:val="24"/>
                <w:lang w:eastAsia="en-US"/>
              </w:rPr>
              <w:t>2</w:t>
            </w:r>
          </w:p>
        </w:tc>
        <w:tc>
          <w:tcPr>
            <w:tcW w:w="1287" w:type="dxa"/>
            <w:shd w:val="clear" w:color="auto" w:fill="auto"/>
            <w:vAlign w:val="center"/>
          </w:tcPr>
          <w:p>
            <w:pPr>
              <w:pStyle w:val="255"/>
              <w:ind w:firstLine="600"/>
              <w:jc w:val="center"/>
              <w:rPr>
                <w:sz w:val="30"/>
                <w:lang w:eastAsia="en-US"/>
              </w:rPr>
            </w:pPr>
          </w:p>
        </w:tc>
        <w:tc>
          <w:tcPr>
            <w:tcW w:w="1513" w:type="dxa"/>
            <w:shd w:val="clear" w:color="auto" w:fill="auto"/>
            <w:vAlign w:val="center"/>
          </w:tcPr>
          <w:p>
            <w:pPr>
              <w:pStyle w:val="255"/>
              <w:tabs>
                <w:tab w:val="left" w:pos="235"/>
              </w:tabs>
              <w:ind w:left="1" w:leftChars="-43" w:hanging="91" w:hangingChars="38"/>
              <w:jc w:val="center"/>
              <w:rPr>
                <w:sz w:val="24"/>
              </w:rPr>
            </w:pPr>
            <w:r>
              <w:rPr>
                <w:rFonts w:hint="eastAsia"/>
                <w:sz w:val="24"/>
              </w:rPr>
              <w:t>□中型企业</w:t>
            </w:r>
          </w:p>
          <w:p>
            <w:pPr>
              <w:pStyle w:val="255"/>
              <w:tabs>
                <w:tab w:val="left" w:pos="235"/>
              </w:tabs>
              <w:ind w:left="1" w:leftChars="-43" w:hanging="91" w:hangingChars="38"/>
              <w:jc w:val="center"/>
              <w:rPr>
                <w:sz w:val="24"/>
              </w:rPr>
            </w:pPr>
            <w:r>
              <w:rPr>
                <w:rFonts w:hint="eastAsia"/>
                <w:sz w:val="24"/>
              </w:rPr>
              <w:t>□小微企业</w:t>
            </w:r>
          </w:p>
        </w:tc>
        <w:tc>
          <w:tcPr>
            <w:tcW w:w="1125" w:type="dxa"/>
            <w:shd w:val="clear" w:color="auto" w:fill="auto"/>
            <w:vAlign w:val="center"/>
          </w:tcPr>
          <w:p>
            <w:pPr>
              <w:pStyle w:val="255"/>
              <w:ind w:firstLine="600"/>
              <w:jc w:val="center"/>
              <w:rPr>
                <w:sz w:val="30"/>
              </w:rPr>
            </w:pPr>
          </w:p>
        </w:tc>
        <w:tc>
          <w:tcPr>
            <w:tcW w:w="1561" w:type="dxa"/>
            <w:shd w:val="clear" w:color="auto" w:fill="auto"/>
            <w:vAlign w:val="center"/>
          </w:tcPr>
          <w:p>
            <w:pPr>
              <w:pStyle w:val="255"/>
              <w:ind w:firstLine="600"/>
              <w:jc w:val="center"/>
              <w:rPr>
                <w:sz w:val="30"/>
              </w:rPr>
            </w:pPr>
          </w:p>
        </w:tc>
        <w:tc>
          <w:tcPr>
            <w:tcW w:w="1498" w:type="dxa"/>
            <w:shd w:val="clear" w:color="auto" w:fill="auto"/>
            <w:vAlign w:val="center"/>
          </w:tcPr>
          <w:p>
            <w:pPr>
              <w:pStyle w:val="255"/>
              <w:ind w:firstLine="600"/>
              <w:jc w:val="center"/>
              <w:rPr>
                <w:sz w:val="30"/>
              </w:rPr>
            </w:pPr>
          </w:p>
        </w:tc>
        <w:tc>
          <w:tcPr>
            <w:tcW w:w="1564" w:type="dxa"/>
            <w:shd w:val="clear" w:color="auto" w:fill="auto"/>
            <w:vAlign w:val="center"/>
          </w:tcPr>
          <w:p>
            <w:pPr>
              <w:pStyle w:val="255"/>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5"/>
              <w:ind w:firstLine="480"/>
              <w:jc w:val="center"/>
              <w:rPr>
                <w:sz w:val="24"/>
                <w:lang w:eastAsia="en-US"/>
              </w:rPr>
            </w:pPr>
            <w:r>
              <w:rPr>
                <w:rFonts w:hint="eastAsia"/>
                <w:sz w:val="24"/>
                <w:lang w:eastAsia="en-US"/>
              </w:rPr>
              <w:t>…</w:t>
            </w:r>
          </w:p>
        </w:tc>
        <w:tc>
          <w:tcPr>
            <w:tcW w:w="1287" w:type="dxa"/>
            <w:shd w:val="clear" w:color="auto" w:fill="auto"/>
            <w:vAlign w:val="center"/>
          </w:tcPr>
          <w:p>
            <w:pPr>
              <w:pStyle w:val="255"/>
              <w:ind w:firstLine="600"/>
              <w:jc w:val="center"/>
              <w:rPr>
                <w:sz w:val="30"/>
                <w:lang w:eastAsia="en-US"/>
              </w:rPr>
            </w:pPr>
          </w:p>
        </w:tc>
        <w:tc>
          <w:tcPr>
            <w:tcW w:w="1513" w:type="dxa"/>
            <w:shd w:val="clear" w:color="auto" w:fill="auto"/>
            <w:vAlign w:val="center"/>
          </w:tcPr>
          <w:p>
            <w:pPr>
              <w:pStyle w:val="255"/>
              <w:tabs>
                <w:tab w:val="left" w:pos="235"/>
              </w:tabs>
              <w:ind w:firstLine="480"/>
              <w:jc w:val="center"/>
              <w:rPr>
                <w:sz w:val="24"/>
                <w:lang w:eastAsia="en-US"/>
              </w:rPr>
            </w:pPr>
          </w:p>
        </w:tc>
        <w:tc>
          <w:tcPr>
            <w:tcW w:w="1125" w:type="dxa"/>
            <w:shd w:val="clear" w:color="auto" w:fill="auto"/>
            <w:vAlign w:val="center"/>
          </w:tcPr>
          <w:p>
            <w:pPr>
              <w:pStyle w:val="255"/>
              <w:ind w:firstLine="600"/>
              <w:jc w:val="center"/>
              <w:rPr>
                <w:sz w:val="30"/>
                <w:lang w:eastAsia="en-US"/>
              </w:rPr>
            </w:pPr>
          </w:p>
        </w:tc>
        <w:tc>
          <w:tcPr>
            <w:tcW w:w="1561" w:type="dxa"/>
            <w:shd w:val="clear" w:color="auto" w:fill="auto"/>
            <w:vAlign w:val="center"/>
          </w:tcPr>
          <w:p>
            <w:pPr>
              <w:pStyle w:val="255"/>
              <w:ind w:firstLine="600"/>
              <w:jc w:val="center"/>
              <w:rPr>
                <w:sz w:val="30"/>
                <w:lang w:eastAsia="en-US"/>
              </w:rPr>
            </w:pPr>
          </w:p>
        </w:tc>
        <w:tc>
          <w:tcPr>
            <w:tcW w:w="1498" w:type="dxa"/>
            <w:shd w:val="clear" w:color="auto" w:fill="auto"/>
            <w:vAlign w:val="center"/>
          </w:tcPr>
          <w:p>
            <w:pPr>
              <w:pStyle w:val="255"/>
              <w:ind w:firstLine="600"/>
              <w:jc w:val="center"/>
              <w:rPr>
                <w:sz w:val="30"/>
                <w:lang w:eastAsia="en-US"/>
              </w:rPr>
            </w:pPr>
          </w:p>
        </w:tc>
        <w:tc>
          <w:tcPr>
            <w:tcW w:w="1564" w:type="dxa"/>
            <w:shd w:val="clear" w:color="auto" w:fill="auto"/>
            <w:vAlign w:val="center"/>
          </w:tcPr>
          <w:p>
            <w:pPr>
              <w:pStyle w:val="255"/>
              <w:ind w:firstLine="600"/>
              <w:jc w:val="center"/>
              <w:rPr>
                <w:sz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77" w:type="dxa"/>
            <w:gridSpan w:val="5"/>
            <w:shd w:val="clear" w:color="auto" w:fill="auto"/>
            <w:vAlign w:val="center"/>
          </w:tcPr>
          <w:p>
            <w:pPr>
              <w:pStyle w:val="255"/>
              <w:ind w:right="57" w:rightChars="27" w:firstLine="480"/>
              <w:jc w:val="right"/>
              <w:rPr>
                <w:sz w:val="24"/>
                <w:lang w:eastAsia="en-US"/>
              </w:rPr>
            </w:pPr>
            <w:r>
              <w:rPr>
                <w:rFonts w:hint="eastAsia"/>
                <w:sz w:val="24"/>
                <w:lang w:eastAsia="en-US"/>
              </w:rPr>
              <w:t>合计：</w:t>
            </w:r>
          </w:p>
        </w:tc>
        <w:tc>
          <w:tcPr>
            <w:tcW w:w="1498" w:type="dxa"/>
            <w:shd w:val="clear" w:color="auto" w:fill="auto"/>
            <w:vAlign w:val="center"/>
          </w:tcPr>
          <w:p>
            <w:pPr>
              <w:pStyle w:val="255"/>
              <w:ind w:firstLine="600"/>
              <w:jc w:val="center"/>
              <w:rPr>
                <w:sz w:val="30"/>
                <w:lang w:eastAsia="en-US"/>
              </w:rPr>
            </w:pPr>
          </w:p>
        </w:tc>
        <w:tc>
          <w:tcPr>
            <w:tcW w:w="1564" w:type="dxa"/>
            <w:shd w:val="clear" w:color="auto" w:fill="auto"/>
            <w:vAlign w:val="center"/>
          </w:tcPr>
          <w:p>
            <w:pPr>
              <w:pStyle w:val="255"/>
              <w:ind w:firstLine="600"/>
              <w:jc w:val="center"/>
              <w:rPr>
                <w:sz w:val="30"/>
                <w:lang w:eastAsia="en-US"/>
              </w:rPr>
            </w:pPr>
          </w:p>
        </w:tc>
      </w:tr>
    </w:tbl>
    <w:p>
      <w:pPr>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before="25" w:after="25" w:line="360" w:lineRule="auto"/>
        <w:jc w:val="right"/>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spacing w:line="360" w:lineRule="auto"/>
        <w:ind w:right="-57" w:firstLine="480"/>
        <w:jc w:val="right"/>
        <w:rPr>
          <w:rFonts w:ascii="宋体" w:hAnsi="宋体" w:cs="宋体"/>
          <w:sz w:val="24"/>
        </w:rPr>
      </w:pPr>
      <w:r>
        <w:rPr>
          <w:rFonts w:hint="eastAsia" w:ascii="宋体" w:hAnsi="宋体" w:cs="宋体"/>
          <w:sz w:val="24"/>
          <w:szCs w:val="20"/>
        </w:rPr>
        <w:t>日期：_____年______月______日</w:t>
      </w:r>
    </w:p>
    <w:p>
      <w:pPr>
        <w:adjustRightInd w:val="0"/>
        <w:snapToGrid w:val="0"/>
        <w:spacing w:line="360" w:lineRule="auto"/>
        <w:jc w:val="left"/>
        <w:rPr>
          <w:rFonts w:ascii="宋体" w:hAnsi="宋体" w:cs="宋体"/>
          <w:sz w:val="24"/>
        </w:rPr>
      </w:pPr>
    </w:p>
    <w:p>
      <w:pPr>
        <w:adjustRightInd w:val="0"/>
        <w:snapToGrid w:val="0"/>
        <w:spacing w:line="360" w:lineRule="auto"/>
        <w:jc w:val="left"/>
        <w:rPr>
          <w:rFonts w:ascii="宋体" w:hAnsi="宋体" w:cs="宋体"/>
          <w:sz w:val="24"/>
        </w:rPr>
      </w:pPr>
      <w:r>
        <w:rPr>
          <w:rFonts w:hint="eastAsia" w:ascii="宋体" w:hAnsi="宋体" w:cs="宋体"/>
          <w:sz w:val="24"/>
        </w:rPr>
        <w:t>说明：</w:t>
      </w:r>
    </w:p>
    <w:p>
      <w:pPr>
        <w:adjustRightInd w:val="0"/>
        <w:snapToGrid w:val="0"/>
        <w:spacing w:line="360" w:lineRule="auto"/>
        <w:jc w:val="left"/>
        <w:rPr>
          <w:rFonts w:ascii="宋体" w:hAnsi="宋体" w:cs="宋体"/>
          <w:sz w:val="24"/>
        </w:rPr>
      </w:pPr>
      <w:r>
        <w:rPr>
          <w:rFonts w:hint="eastAsia" w:ascii="宋体" w:hAnsi="宋体" w:cs="宋体"/>
          <w:sz w:val="24"/>
        </w:rPr>
        <w:t>（1）本表仅在投标人“为落实政府采购政策”而向中小企业分包时填写，非因“为落实政府采购政策”而进行的分包请按照《</w:t>
      </w:r>
      <w:r>
        <w:rPr>
          <w:rFonts w:hint="eastAsia" w:ascii="宋体" w:hAnsi="宋体" w:cs="宋体"/>
          <w:sz w:val="24"/>
          <w:szCs w:val="20"/>
        </w:rPr>
        <w:t>拟分包情况说明（类型二）</w:t>
      </w:r>
      <w:r>
        <w:rPr>
          <w:rFonts w:hint="eastAsia" w:ascii="宋体" w:hAnsi="宋体" w:cs="宋体"/>
          <w:sz w:val="24"/>
        </w:rPr>
        <w:t>》要求填写。</w:t>
      </w:r>
    </w:p>
    <w:p>
      <w:pPr>
        <w:adjustRightInd w:val="0"/>
        <w:snapToGrid w:val="0"/>
        <w:spacing w:line="360" w:lineRule="auto"/>
        <w:jc w:val="left"/>
        <w:rPr>
          <w:rFonts w:ascii="宋体" w:hAnsi="宋体" w:cs="宋体"/>
          <w:sz w:val="24"/>
        </w:rPr>
      </w:pPr>
      <w:r>
        <w:rPr>
          <w:rFonts w:hint="eastAsia" w:ascii="宋体" w:hAnsi="宋体" w:cs="宋体"/>
          <w:sz w:val="24"/>
        </w:rPr>
        <w:t>（2）如本招标文件《投标人须知资料表》载明本项目分包承担主体应具备的相应资质条件，则投标人须在本表中列明分包承担主体的资质等级，并后附资质证书复印件加盖投标人公章，否则</w:t>
      </w:r>
      <w:r>
        <w:rPr>
          <w:rFonts w:hint="eastAsia" w:ascii="宋体" w:hAnsi="宋体" w:cs="宋体"/>
          <w:b/>
          <w:sz w:val="24"/>
        </w:rPr>
        <w:t>投标无效</w:t>
      </w:r>
      <w:r>
        <w:rPr>
          <w:rFonts w:hint="eastAsia" w:ascii="宋体" w:hAnsi="宋体" w:cs="宋体"/>
          <w:sz w:val="24"/>
        </w:rPr>
        <w:t>。</w:t>
      </w:r>
    </w:p>
    <w:p>
      <w:pPr>
        <w:adjustRightInd w:val="0"/>
        <w:snapToGrid w:val="0"/>
        <w:spacing w:line="360" w:lineRule="auto"/>
        <w:jc w:val="left"/>
        <w:rPr>
          <w:rFonts w:ascii="宋体" w:hAnsi="宋体" w:cs="宋体"/>
          <w:sz w:val="30"/>
          <w:szCs w:val="30"/>
        </w:rPr>
      </w:pPr>
      <w:r>
        <w:rPr>
          <w:rFonts w:hint="eastAsia" w:ascii="宋体" w:hAnsi="宋体" w:cs="宋体"/>
          <w:sz w:val="24"/>
        </w:rPr>
        <w:t>（3）投标人与上述拟分包承担主体签署的《分包意向协议》后附。</w:t>
      </w:r>
    </w:p>
    <w:p>
      <w:pPr>
        <w:spacing w:line="360" w:lineRule="auto"/>
        <w:ind w:firstLine="600"/>
        <w:jc w:val="left"/>
        <w:rPr>
          <w:rFonts w:ascii="宋体" w:hAnsi="宋体" w:cs="宋体"/>
          <w:b/>
          <w:sz w:val="36"/>
          <w:szCs w:val="36"/>
        </w:rPr>
      </w:pPr>
      <w:r>
        <w:rPr>
          <w:rFonts w:hint="eastAsia" w:ascii="宋体" w:hAnsi="宋体" w:cs="宋体"/>
          <w:sz w:val="30"/>
          <w:szCs w:val="30"/>
        </w:rPr>
        <w:br w:type="page"/>
      </w:r>
      <w:r>
        <w:rPr>
          <w:rFonts w:hint="eastAsia" w:ascii="宋体" w:hAnsi="宋体" w:cs="宋体"/>
          <w:b/>
          <w:bCs/>
          <w:spacing w:val="6"/>
          <w:sz w:val="24"/>
          <w:szCs w:val="24"/>
        </w:rPr>
        <w:t>附：分包意向协议（本项目不适用）</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甲方（投标人）：________</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乙方（拟分包单位）：________</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1.分包内容：_____。</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2.分包金额：_____，该金额占该采购包预算总金额的比例为___%。</w:t>
      </w:r>
    </w:p>
    <w:p>
      <w:pPr>
        <w:adjustRightInd w:val="0"/>
        <w:snapToGrid w:val="0"/>
        <w:spacing w:line="360" w:lineRule="auto"/>
        <w:ind w:firstLine="480" w:firstLineChars="200"/>
        <w:jc w:val="left"/>
        <w:rPr>
          <w:rFonts w:ascii="宋体" w:hAnsi="宋体" w:cs="宋体"/>
          <w:bCs/>
          <w:sz w:val="24"/>
        </w:rPr>
      </w:pPr>
      <w:r>
        <w:rPr>
          <w:rFonts w:hint="eastAsia" w:ascii="宋体" w:hAnsi="宋体" w:cs="宋体"/>
          <w:sz w:val="24"/>
        </w:rPr>
        <w:t>乙方承诺将在上述情况下与甲方签订分包合同。</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本协议自各方盖章之日起生效，如甲方未在该项目（采购包）中标，本协议自动终止。</w:t>
      </w:r>
    </w:p>
    <w:p>
      <w:pPr>
        <w:spacing w:line="360" w:lineRule="auto"/>
        <w:ind w:firstLine="482"/>
        <w:rPr>
          <w:rFonts w:ascii="宋体" w:hAnsi="宋体" w:cs="宋体"/>
          <w:b/>
          <w:sz w:val="24"/>
        </w:rPr>
      </w:pPr>
    </w:p>
    <w:p>
      <w:pPr>
        <w:spacing w:line="360" w:lineRule="auto"/>
        <w:ind w:firstLine="480"/>
        <w:rPr>
          <w:rFonts w:ascii="宋体" w:hAnsi="宋体" w:cs="宋体"/>
          <w:b/>
          <w:sz w:val="24"/>
        </w:rPr>
      </w:pPr>
      <w:r>
        <w:rPr>
          <w:rFonts w:hint="eastAsia" w:ascii="宋体" w:hAnsi="宋体" w:cs="宋体"/>
          <w:sz w:val="24"/>
        </w:rPr>
        <w:t>甲方（盖章）：_________                 乙方（盖章）：_________</w:t>
      </w:r>
    </w:p>
    <w:p>
      <w:pPr>
        <w:spacing w:line="360" w:lineRule="auto"/>
        <w:ind w:left="480"/>
        <w:jc w:val="right"/>
        <w:rPr>
          <w:rFonts w:ascii="宋体" w:hAnsi="宋体" w:cs="宋体"/>
          <w:sz w:val="24"/>
        </w:rPr>
      </w:pPr>
    </w:p>
    <w:p>
      <w:pPr>
        <w:wordWrap w:val="0"/>
        <w:spacing w:line="360" w:lineRule="auto"/>
        <w:ind w:left="480"/>
        <w:jc w:val="right"/>
        <w:rPr>
          <w:rFonts w:ascii="宋体" w:hAnsi="宋体" w:cs="宋体"/>
          <w:b/>
          <w:sz w:val="24"/>
        </w:rPr>
      </w:pPr>
      <w:r>
        <w:rPr>
          <w:rFonts w:hint="eastAsia" w:ascii="宋体" w:hAnsi="宋体" w:cs="宋体"/>
          <w:sz w:val="24"/>
          <w:szCs w:val="20"/>
        </w:rPr>
        <w:t xml:space="preserve">日期：_____年______月______日   </w:t>
      </w:r>
    </w:p>
    <w:p>
      <w:pPr>
        <w:tabs>
          <w:tab w:val="left" w:pos="8280"/>
        </w:tabs>
        <w:spacing w:line="360" w:lineRule="auto"/>
        <w:ind w:firstLine="480"/>
        <w:rPr>
          <w:rFonts w:ascii="宋体" w:hAnsi="宋体" w:cs="宋体"/>
          <w:sz w:val="24"/>
        </w:rPr>
      </w:pPr>
    </w:p>
    <w:p>
      <w:pPr>
        <w:spacing w:line="360" w:lineRule="auto"/>
        <w:rPr>
          <w:rFonts w:ascii="宋体" w:hAnsi="宋体" w:cs="宋体"/>
          <w:spacing w:val="6"/>
          <w:sz w:val="24"/>
          <w:szCs w:val="24"/>
        </w:rPr>
      </w:pPr>
      <w:r>
        <w:rPr>
          <w:rFonts w:hint="eastAsia" w:ascii="宋体" w:hAnsi="宋体" w:cs="宋体"/>
          <w:sz w:val="24"/>
        </w:rPr>
        <w:t>说明：投标人须与所有拟分包单位分别签订《分包意向协议》，每单位签订一份，并在投标文件中提交全部协议原件的电子件，否则</w:t>
      </w:r>
      <w:r>
        <w:rPr>
          <w:rFonts w:hint="eastAsia" w:ascii="宋体" w:hAnsi="宋体" w:cs="宋体"/>
          <w:b/>
          <w:sz w:val="24"/>
        </w:rPr>
        <w:t>投标无效</w:t>
      </w:r>
      <w:r>
        <w:rPr>
          <w:rFonts w:hint="eastAsia" w:ascii="宋体" w:hAnsi="宋体" w:cs="宋体"/>
          <w:sz w:val="24"/>
        </w:rPr>
        <w:t>。</w:t>
      </w:r>
    </w:p>
    <w:p>
      <w:pPr>
        <w:spacing w:line="360" w:lineRule="auto"/>
        <w:ind w:firstLine="504" w:firstLineChars="200"/>
        <w:rPr>
          <w:rFonts w:ascii="宋体" w:hAnsi="宋体" w:cs="宋体"/>
          <w:spacing w:val="6"/>
          <w:sz w:val="24"/>
          <w:szCs w:val="24"/>
        </w:rPr>
      </w:pPr>
    </w:p>
    <w:p>
      <w:pPr>
        <w:widowControl/>
        <w:ind w:firstLine="482"/>
        <w:jc w:val="left"/>
        <w:rPr>
          <w:rFonts w:ascii="宋体" w:hAnsi="宋体" w:cs="宋体"/>
          <w:b/>
          <w:bCs/>
          <w:kern w:val="0"/>
          <w:sz w:val="24"/>
          <w:szCs w:val="24"/>
          <w:lang w:val="zh-CN"/>
        </w:rPr>
      </w:pPr>
      <w:bookmarkStart w:id="568" w:name="_Toc83722609"/>
      <w:r>
        <w:rPr>
          <w:rFonts w:hint="eastAsia" w:ascii="宋体" w:hAnsi="宋体" w:cs="宋体"/>
          <w:b/>
          <w:bCs/>
          <w:sz w:val="24"/>
          <w:szCs w:val="24"/>
        </w:rPr>
        <w:br w:type="page"/>
      </w:r>
    </w:p>
    <w:bookmarkEnd w:id="568"/>
    <w:p>
      <w:pPr>
        <w:pStyle w:val="4"/>
        <w:spacing w:line="360" w:lineRule="auto"/>
        <w:ind w:firstLine="482"/>
        <w:rPr>
          <w:rFonts w:ascii="宋体" w:hAnsi="宋体" w:cs="宋体"/>
          <w:b/>
          <w:bCs/>
          <w:sz w:val="24"/>
          <w:szCs w:val="24"/>
        </w:rPr>
      </w:pPr>
      <w:bookmarkStart w:id="569" w:name="_Toc100786159"/>
      <w:r>
        <w:rPr>
          <w:rFonts w:hint="eastAsia" w:ascii="宋体" w:hAnsi="宋体" w:cs="宋体"/>
          <w:b/>
          <w:bCs/>
          <w:sz w:val="24"/>
          <w:szCs w:val="24"/>
        </w:rPr>
        <w:t>附件6-3-</w:t>
      </w:r>
      <w:r>
        <w:rPr>
          <w:rFonts w:hint="eastAsia" w:ascii="宋体" w:hAnsi="宋体" w:cs="宋体"/>
          <w:b/>
          <w:bCs/>
          <w:sz w:val="24"/>
          <w:szCs w:val="24"/>
          <w:lang w:val="en-US"/>
        </w:rPr>
        <w:t>5</w:t>
      </w:r>
      <w:r>
        <w:rPr>
          <w:rFonts w:hint="eastAsia" w:ascii="宋体" w:hAnsi="宋体" w:cs="宋体"/>
          <w:b/>
          <w:bCs/>
          <w:sz w:val="24"/>
          <w:szCs w:val="24"/>
        </w:rPr>
        <w:t xml:space="preserve">  其它落实政府采购政策的资格要求</w:t>
      </w:r>
      <w:bookmarkEnd w:id="569"/>
    </w:p>
    <w:p>
      <w:pPr>
        <w:ind w:firstLine="482"/>
        <w:rPr>
          <w:rFonts w:ascii="宋体" w:hAnsi="宋体" w:cs="宋体"/>
          <w:b/>
          <w:bCs/>
          <w:sz w:val="24"/>
          <w:szCs w:val="24"/>
        </w:rPr>
      </w:pPr>
      <w:r>
        <w:rPr>
          <w:rFonts w:hint="eastAsia" w:ascii="宋体" w:hAnsi="宋体" w:cs="宋体"/>
          <w:b/>
          <w:bCs/>
          <w:sz w:val="24"/>
          <w:szCs w:val="24"/>
        </w:rPr>
        <w:t>无。</w:t>
      </w:r>
    </w:p>
    <w:p>
      <w:pPr>
        <w:ind w:firstLine="482"/>
        <w:rPr>
          <w:rFonts w:ascii="宋体" w:hAnsi="宋体" w:cs="宋体"/>
          <w:b/>
          <w:bCs/>
          <w:sz w:val="24"/>
          <w:szCs w:val="24"/>
        </w:rPr>
      </w:pPr>
    </w:p>
    <w:p>
      <w:pPr>
        <w:pStyle w:val="4"/>
        <w:spacing w:line="360" w:lineRule="auto"/>
        <w:ind w:firstLine="482"/>
        <w:rPr>
          <w:rFonts w:ascii="宋体" w:hAnsi="宋体" w:cs="宋体"/>
          <w:b/>
          <w:bCs/>
          <w:sz w:val="24"/>
          <w:szCs w:val="24"/>
        </w:rPr>
      </w:pPr>
      <w:bookmarkStart w:id="570" w:name="_Toc100786160"/>
      <w:r>
        <w:rPr>
          <w:rFonts w:hint="eastAsia" w:ascii="宋体" w:hAnsi="宋体" w:cs="宋体"/>
          <w:b/>
          <w:bCs/>
          <w:sz w:val="24"/>
          <w:szCs w:val="24"/>
        </w:rPr>
        <w:br w:type="page"/>
      </w:r>
      <w:r>
        <w:rPr>
          <w:rFonts w:hint="eastAsia" w:ascii="宋体" w:hAnsi="宋体" w:cs="宋体"/>
          <w:b/>
          <w:bCs/>
          <w:sz w:val="24"/>
          <w:szCs w:val="24"/>
        </w:rPr>
        <w:t>附件6-</w:t>
      </w:r>
      <w:r>
        <w:rPr>
          <w:rFonts w:hint="eastAsia" w:ascii="宋体" w:hAnsi="宋体" w:cs="宋体"/>
          <w:b/>
          <w:bCs/>
          <w:sz w:val="24"/>
          <w:szCs w:val="24"/>
          <w:lang w:val="en-US"/>
        </w:rPr>
        <w:t>4</w:t>
      </w:r>
      <w:bookmarkEnd w:id="550"/>
      <w:bookmarkEnd w:id="551"/>
      <w:bookmarkEnd w:id="552"/>
      <w:bookmarkEnd w:id="553"/>
      <w:bookmarkEnd w:id="554"/>
      <w:bookmarkEnd w:id="555"/>
      <w:bookmarkEnd w:id="556"/>
      <w:bookmarkEnd w:id="557"/>
      <w:bookmarkEnd w:id="558"/>
      <w:bookmarkEnd w:id="559"/>
      <w:bookmarkEnd w:id="560"/>
      <w:bookmarkEnd w:id="562"/>
      <w:bookmarkEnd w:id="563"/>
      <w:bookmarkEnd w:id="564"/>
      <w:bookmarkEnd w:id="565"/>
      <w:bookmarkEnd w:id="566"/>
      <w:bookmarkStart w:id="571" w:name="_Toc16583"/>
      <w:bookmarkStart w:id="572" w:name="_Toc15531"/>
      <w:bookmarkStart w:id="573" w:name="_Toc26771"/>
      <w:bookmarkStart w:id="574" w:name="_Toc27046"/>
      <w:bookmarkStart w:id="575" w:name="_Toc486431299"/>
      <w:bookmarkStart w:id="576" w:name="_Toc15435055"/>
      <w:bookmarkStart w:id="577" w:name="_Toc11954"/>
      <w:bookmarkStart w:id="578" w:name="_Toc85461415"/>
      <w:bookmarkStart w:id="579" w:name="_Toc92789316"/>
      <w:bookmarkStart w:id="580" w:name="_Toc447223772"/>
      <w:bookmarkStart w:id="581" w:name="_Toc50760942"/>
      <w:bookmarkStart w:id="582" w:name="_Toc23488"/>
      <w:bookmarkStart w:id="583" w:name="_Toc18818"/>
      <w:bookmarkStart w:id="584" w:name="_Toc11287"/>
      <w:bookmarkStart w:id="585" w:name="_Toc83722602"/>
      <w:bookmarkStart w:id="586" w:name="_Toc8999338"/>
      <w:bookmarkStart w:id="587" w:name="_Toc31144"/>
      <w:bookmarkStart w:id="588" w:name="_Toc486431025"/>
      <w:bookmarkStart w:id="589" w:name="_Toc496291395"/>
      <w:r>
        <w:rPr>
          <w:rFonts w:hint="eastAsia" w:ascii="宋体" w:hAnsi="宋体" w:cs="宋体"/>
          <w:b/>
          <w:bCs/>
          <w:sz w:val="24"/>
          <w:szCs w:val="24"/>
        </w:rPr>
        <w:t>法人代表授权委托书</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rFonts w:hint="eastAsia" w:ascii="宋体" w:hAnsi="宋体" w:cs="宋体"/>
          <w:b/>
          <w:bCs/>
          <w:sz w:val="24"/>
          <w:szCs w:val="24"/>
          <w:lang w:val="en-US"/>
        </w:rPr>
        <w:t>（实质性格式）</w:t>
      </w:r>
    </w:p>
    <w:p>
      <w:pPr>
        <w:adjustRightInd w:val="0"/>
        <w:snapToGrid w:val="0"/>
        <w:spacing w:line="360" w:lineRule="auto"/>
        <w:ind w:firstLine="482"/>
        <w:rPr>
          <w:rFonts w:ascii="宋体" w:hAnsi="宋体" w:cs="宋体"/>
          <w:b/>
          <w:sz w:val="24"/>
          <w:szCs w:val="24"/>
        </w:rPr>
      </w:pPr>
    </w:p>
    <w:p>
      <w:pPr>
        <w:spacing w:line="360" w:lineRule="auto"/>
        <w:ind w:firstLine="480"/>
        <w:rPr>
          <w:rFonts w:ascii="宋体" w:hAnsi="宋体" w:cs="宋体"/>
          <w:sz w:val="24"/>
          <w:szCs w:val="20"/>
        </w:rPr>
      </w:pPr>
      <w:r>
        <w:rPr>
          <w:rFonts w:hint="eastAsia" w:ascii="宋体" w:hAnsi="宋体" w:cs="宋体"/>
          <w:sz w:val="24"/>
          <w:szCs w:val="20"/>
        </w:rPr>
        <w:t>本人（姓名）系（投标人名称）的法定代表人（单位负责人），现委托（姓名）为我方代理人。代理人根据授权，以我方名义签署、澄清确认、递交、撤回、修改（项目名称）响应文件和处理有关事宜，其法律后果由我方承担。</w:t>
      </w:r>
    </w:p>
    <w:p>
      <w:pPr>
        <w:spacing w:line="360" w:lineRule="auto"/>
        <w:ind w:firstLine="480"/>
        <w:rPr>
          <w:rFonts w:ascii="宋体" w:hAnsi="宋体" w:cs="宋体"/>
          <w:sz w:val="24"/>
          <w:szCs w:val="20"/>
        </w:rPr>
      </w:pPr>
      <w:r>
        <w:rPr>
          <w:rFonts w:hint="eastAsia" w:ascii="宋体" w:hAnsi="宋体" w:cs="宋体"/>
          <w:sz w:val="24"/>
          <w:szCs w:val="20"/>
        </w:rPr>
        <w:t>委托期限：自本授权委托书签署之日起至响应有效期届满之日止。</w:t>
      </w:r>
    </w:p>
    <w:p>
      <w:pPr>
        <w:spacing w:line="360" w:lineRule="auto"/>
        <w:ind w:firstLine="480"/>
        <w:rPr>
          <w:rFonts w:ascii="宋体" w:hAnsi="宋体" w:cs="宋体"/>
          <w:sz w:val="24"/>
          <w:szCs w:val="20"/>
        </w:rPr>
      </w:pPr>
      <w:r>
        <w:rPr>
          <w:rFonts w:hint="eastAsia" w:ascii="宋体" w:hAnsi="宋体" w:cs="宋体"/>
          <w:sz w:val="24"/>
          <w:szCs w:val="20"/>
        </w:rPr>
        <w:t>代理人无转委托权。</w:t>
      </w:r>
      <w:r>
        <w:rPr>
          <w:rFonts w:hint="eastAsia" w:ascii="宋体" w:hAnsi="宋体" w:cs="宋体"/>
          <w:sz w:val="24"/>
          <w:szCs w:val="20"/>
        </w:rPr>
        <w:cr/>
      </w:r>
    </w:p>
    <w:p>
      <w:pPr>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w:t>
      </w:r>
    </w:p>
    <w:p>
      <w:pPr>
        <w:spacing w:line="360" w:lineRule="auto"/>
        <w:rPr>
          <w:rFonts w:ascii="宋体" w:hAnsi="宋体" w:cs="宋体"/>
          <w:sz w:val="24"/>
          <w:szCs w:val="20"/>
        </w:rPr>
      </w:pPr>
      <w:r>
        <w:rPr>
          <w:rFonts w:hint="eastAsia" w:ascii="宋体" w:hAnsi="宋体" w:cs="宋体"/>
          <w:sz w:val="24"/>
          <w:szCs w:val="20"/>
        </w:rPr>
        <w:t>法定代表人（单位负责人）（签字</w:t>
      </w:r>
      <w:r>
        <w:rPr>
          <w:rFonts w:hint="eastAsia" w:ascii="宋体" w:hAnsi="宋体" w:cs="宋体"/>
          <w:sz w:val="24"/>
        </w:rPr>
        <w:t>或</w:t>
      </w:r>
      <w:r>
        <w:rPr>
          <w:rFonts w:hint="eastAsia" w:ascii="宋体" w:hAnsi="宋体" w:cs="宋体"/>
          <w:sz w:val="24"/>
          <w:szCs w:val="20"/>
        </w:rPr>
        <w:t>盖章）：</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委托代理人（签字或签章）：</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日期：年月日</w:t>
      </w:r>
    </w:p>
    <w:p>
      <w:pPr>
        <w:tabs>
          <w:tab w:val="left" w:pos="5580"/>
        </w:tabs>
        <w:spacing w:line="360" w:lineRule="auto"/>
        <w:ind w:firstLine="480" w:firstLineChars="200"/>
        <w:rPr>
          <w:rFonts w:ascii="宋体" w:hAnsi="宋体" w:cs="宋体"/>
          <w:sz w:val="24"/>
          <w:szCs w:val="20"/>
        </w:rPr>
      </w:pPr>
    </w:p>
    <w:p>
      <w:pPr>
        <w:tabs>
          <w:tab w:val="left" w:pos="5580"/>
        </w:tabs>
        <w:spacing w:line="360" w:lineRule="auto"/>
        <w:jc w:val="left"/>
        <w:rPr>
          <w:rFonts w:ascii="宋体" w:hAnsi="宋体" w:cs="宋体"/>
          <w:sz w:val="24"/>
          <w:szCs w:val="20"/>
        </w:rPr>
      </w:pPr>
      <w:r>
        <w:rPr>
          <w:rFonts w:hint="eastAsia" w:ascii="宋体" w:hAnsi="宋体" w:cs="宋体"/>
          <w:sz w:val="24"/>
          <w:szCs w:val="20"/>
        </w:rPr>
        <w:t>法定代表人（单位负责人）有效期内的身份证</w:t>
      </w:r>
      <w:r>
        <w:rPr>
          <w:rFonts w:hint="eastAsia" w:ascii="宋体" w:hAnsi="宋体" w:cs="宋体"/>
          <w:b/>
          <w:sz w:val="24"/>
          <w:szCs w:val="20"/>
        </w:rPr>
        <w:t>正反面</w:t>
      </w:r>
      <w:r>
        <w:rPr>
          <w:rFonts w:hint="eastAsia" w:ascii="宋体" w:hAnsi="宋体" w:cs="宋体"/>
          <w:sz w:val="24"/>
          <w:szCs w:val="20"/>
        </w:rPr>
        <w:t>复印件：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c>
          <w:tcPr>
            <w:tcW w:w="3799"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tabs>
          <w:tab w:val="left" w:pos="5580"/>
        </w:tabs>
        <w:spacing w:line="360" w:lineRule="auto"/>
        <w:jc w:val="left"/>
        <w:rPr>
          <w:rFonts w:ascii="宋体" w:hAnsi="宋体" w:cs="宋体"/>
          <w:sz w:val="24"/>
          <w:szCs w:val="20"/>
        </w:rPr>
      </w:pPr>
      <w:r>
        <w:rPr>
          <w:rFonts w:hint="eastAsia" w:ascii="宋体" w:hAnsi="宋体" w:cs="宋体"/>
          <w:sz w:val="24"/>
          <w:szCs w:val="20"/>
        </w:rPr>
        <w:t>委托代理人有效期内的身份证</w:t>
      </w:r>
      <w:r>
        <w:rPr>
          <w:rFonts w:hint="eastAsia" w:ascii="宋体" w:hAnsi="宋体" w:cs="宋体"/>
          <w:b/>
          <w:sz w:val="24"/>
          <w:szCs w:val="20"/>
        </w:rPr>
        <w:t>正反面</w:t>
      </w:r>
      <w:r>
        <w:rPr>
          <w:rFonts w:hint="eastAsia" w:ascii="宋体" w:hAnsi="宋体" w:cs="宋体"/>
          <w:sz w:val="24"/>
          <w:szCs w:val="20"/>
        </w:rPr>
        <w:t>复印件：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c>
          <w:tcPr>
            <w:tcW w:w="3799"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tabs>
          <w:tab w:val="left" w:pos="5580"/>
        </w:tabs>
        <w:spacing w:line="360" w:lineRule="auto"/>
        <w:jc w:val="left"/>
        <w:rPr>
          <w:rFonts w:ascii="宋体" w:hAnsi="宋体" w:cs="宋体"/>
          <w:sz w:val="24"/>
          <w:szCs w:val="20"/>
        </w:rPr>
      </w:pPr>
      <w:r>
        <w:rPr>
          <w:rFonts w:hint="eastAsia" w:ascii="宋体" w:hAnsi="宋体" w:cs="宋体"/>
          <w:sz w:val="24"/>
          <w:szCs w:val="20"/>
        </w:rPr>
        <w:t>说明：</w:t>
      </w:r>
    </w:p>
    <w:p>
      <w:pPr>
        <w:tabs>
          <w:tab w:val="left" w:pos="5580"/>
        </w:tabs>
        <w:spacing w:line="360" w:lineRule="auto"/>
        <w:jc w:val="left"/>
        <w:rPr>
          <w:rFonts w:ascii="宋体" w:hAnsi="宋体" w:cs="宋体"/>
          <w:sz w:val="24"/>
          <w:szCs w:val="20"/>
        </w:rPr>
      </w:pPr>
      <w:r>
        <w:rPr>
          <w:rFonts w:hint="eastAsia" w:ascii="宋体" w:hAnsi="宋体" w:cs="宋体"/>
          <w:sz w:val="24"/>
          <w:szCs w:val="20"/>
        </w:rPr>
        <w:t>1.若投标人为事业单位或其他组织或分支机构（仅当招标文件注明允许分支机构投标的），则法定代表人（单位负责人）处的签署人可为单位负责人。</w:t>
      </w:r>
    </w:p>
    <w:p>
      <w:pPr>
        <w:tabs>
          <w:tab w:val="left" w:pos="5580"/>
        </w:tabs>
        <w:spacing w:line="360" w:lineRule="auto"/>
        <w:jc w:val="left"/>
        <w:rPr>
          <w:rFonts w:ascii="宋体" w:hAnsi="宋体" w:cs="宋体"/>
          <w:sz w:val="24"/>
          <w:szCs w:val="20"/>
        </w:rPr>
      </w:pPr>
      <w:r>
        <w:rPr>
          <w:rFonts w:hint="eastAsia" w:ascii="宋体" w:hAnsi="宋体" w:cs="宋体"/>
          <w:sz w:val="24"/>
          <w:szCs w:val="20"/>
        </w:rPr>
        <w:t>2.若投标文件中签字之处均为法定代表人（单位负责人）本人签署，则可不提供本《授权委托书》，但须提供《法定代表人（单位负责人）身份证明》（实质性格式）。</w:t>
      </w:r>
    </w:p>
    <w:p>
      <w:pPr>
        <w:spacing w:line="360" w:lineRule="auto"/>
        <w:rPr>
          <w:rFonts w:ascii="宋体" w:hAnsi="宋体" w:cs="宋体"/>
          <w:sz w:val="24"/>
          <w:szCs w:val="20"/>
        </w:rPr>
      </w:pPr>
      <w:r>
        <w:rPr>
          <w:rFonts w:hint="eastAsia" w:ascii="宋体" w:hAnsi="宋体" w:cs="宋体"/>
          <w:sz w:val="24"/>
          <w:szCs w:val="20"/>
        </w:rPr>
        <w:t>3.投标人为自然人的情形，可不提供本《授权委托书》。</w:t>
      </w:r>
      <w:r>
        <w:rPr>
          <w:rFonts w:hint="eastAsia" w:ascii="宋体" w:hAnsi="宋体" w:cs="宋体"/>
        </w:rPr>
        <w:br w:type="page"/>
      </w:r>
    </w:p>
    <w:p>
      <w:pPr>
        <w:pStyle w:val="4"/>
        <w:spacing w:line="360" w:lineRule="auto"/>
        <w:ind w:firstLine="482"/>
        <w:rPr>
          <w:rFonts w:ascii="宋体" w:hAnsi="宋体" w:cs="宋体"/>
          <w:b/>
          <w:bCs/>
          <w:sz w:val="24"/>
          <w:szCs w:val="24"/>
        </w:rPr>
      </w:pPr>
      <w:bookmarkStart w:id="590" w:name="_Toc100786161"/>
      <w:r>
        <w:rPr>
          <w:rFonts w:hint="eastAsia" w:ascii="宋体" w:hAnsi="宋体" w:cs="宋体"/>
          <w:b/>
          <w:bCs/>
          <w:sz w:val="24"/>
          <w:szCs w:val="24"/>
        </w:rPr>
        <w:t>附：法定代表人（单位负责人）身份证明</w:t>
      </w:r>
      <w:bookmarkEnd w:id="590"/>
    </w:p>
    <w:p>
      <w:pPr>
        <w:tabs>
          <w:tab w:val="left" w:pos="5580"/>
        </w:tabs>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（采购人或采购代理机构）</w:t>
      </w:r>
    </w:p>
    <w:p>
      <w:pPr>
        <w:pStyle w:val="2"/>
      </w:pPr>
      <w:r>
        <w:rPr>
          <w:rFonts w:hint="eastAsia"/>
        </w:rPr>
        <w:t>兹证明，</w:t>
      </w:r>
    </w:p>
    <w:p>
      <w:pPr>
        <w:pStyle w:val="2"/>
      </w:pPr>
      <w:r>
        <w:rPr>
          <w:rFonts w:hint="eastAsia"/>
        </w:rPr>
        <w:t>姓名：____性别：____年龄：____职务：____</w:t>
      </w:r>
    </w:p>
    <w:p>
      <w:pPr>
        <w:pStyle w:val="2"/>
      </w:pPr>
    </w:p>
    <w:p>
      <w:pPr>
        <w:pStyle w:val="2"/>
      </w:pPr>
      <w:r>
        <w:rPr>
          <w:rFonts w:hint="eastAsia"/>
        </w:rPr>
        <w:t>系</w:t>
      </w:r>
      <w:r>
        <w:rPr>
          <w:rFonts w:hint="eastAsia"/>
          <w:u w:val="single"/>
        </w:rPr>
        <w:tab/>
      </w:r>
      <w:r>
        <w:rPr>
          <w:rFonts w:hint="eastAsia"/>
        </w:rPr>
        <w:t>（投标人名称）的法定代表人（单位负责人）。</w:t>
      </w:r>
    </w:p>
    <w:p>
      <w:pPr>
        <w:pStyle w:val="2"/>
      </w:pPr>
    </w:p>
    <w:p>
      <w:pPr>
        <w:pStyle w:val="2"/>
      </w:pPr>
    </w:p>
    <w:p>
      <w:pPr>
        <w:pStyle w:val="2"/>
      </w:pPr>
    </w:p>
    <w:p>
      <w:pPr>
        <w:pStyle w:val="2"/>
      </w:pPr>
      <w:r>
        <w:rPr>
          <w:rFonts w:hint="eastAsia"/>
        </w:rPr>
        <w:t>附：法定代表人（单位负责人）有效期内的身份证正反面复印件。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c>
          <w:tcPr>
            <w:tcW w:w="3799"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pStyle w:val="2"/>
      </w:pPr>
    </w:p>
    <w:p>
      <w:pPr>
        <w:pStyle w:val="2"/>
      </w:pP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法定代表人（单位负责人）（签字或盖章）：</w:t>
      </w:r>
    </w:p>
    <w:p>
      <w:pPr>
        <w:autoSpaceDE w:val="0"/>
        <w:autoSpaceDN w:val="0"/>
        <w:adjustRightInd w:val="0"/>
        <w:snapToGrid w:val="0"/>
        <w:spacing w:line="360" w:lineRule="auto"/>
        <w:rPr>
          <w:rFonts w:ascii="宋体" w:hAnsi="宋体" w:cs="宋体"/>
          <w:sz w:val="24"/>
        </w:rPr>
      </w:pPr>
    </w:p>
    <w:p>
      <w:pPr>
        <w:spacing w:line="360" w:lineRule="auto"/>
        <w:rPr>
          <w:rFonts w:ascii="宋体" w:hAnsi="宋体" w:cs="宋体"/>
          <w:sz w:val="24"/>
          <w:szCs w:val="24"/>
        </w:rPr>
      </w:pPr>
      <w:r>
        <w:rPr>
          <w:rFonts w:hint="eastAsia" w:ascii="宋体" w:hAnsi="宋体" w:cs="宋体"/>
          <w:sz w:val="24"/>
        </w:rPr>
        <w:t>日期：</w:t>
      </w:r>
      <w:r>
        <w:rPr>
          <w:rFonts w:hint="eastAsia" w:ascii="宋体" w:hAnsi="宋体" w:cs="宋体"/>
          <w:sz w:val="24"/>
          <w:szCs w:val="24"/>
        </w:rPr>
        <w:t>____</w:t>
      </w:r>
      <w:r>
        <w:rPr>
          <w:rFonts w:hint="eastAsia" w:ascii="宋体" w:hAnsi="宋体" w:cs="宋体"/>
          <w:sz w:val="24"/>
        </w:rPr>
        <w:t>年</w:t>
      </w:r>
      <w:r>
        <w:rPr>
          <w:rFonts w:hint="eastAsia" w:ascii="宋体" w:hAnsi="宋体" w:cs="宋体"/>
          <w:sz w:val="24"/>
          <w:szCs w:val="24"/>
        </w:rPr>
        <w:t>____</w:t>
      </w:r>
      <w:r>
        <w:rPr>
          <w:rFonts w:hint="eastAsia" w:ascii="宋体" w:hAnsi="宋体" w:cs="宋体"/>
          <w:sz w:val="24"/>
        </w:rPr>
        <w:t>月</w:t>
      </w:r>
      <w:r>
        <w:rPr>
          <w:rFonts w:hint="eastAsia" w:ascii="宋体" w:hAnsi="宋体" w:cs="宋体"/>
          <w:sz w:val="24"/>
          <w:szCs w:val="24"/>
        </w:rPr>
        <w:t>____</w:t>
      </w:r>
      <w:r>
        <w:rPr>
          <w:rFonts w:hint="eastAsia" w:ascii="宋体" w:hAnsi="宋体" w:cs="宋体"/>
          <w:sz w:val="24"/>
        </w:rPr>
        <w:t>日</w:t>
      </w:r>
      <w:bookmarkEnd w:id="373"/>
    </w:p>
    <w:p>
      <w:pPr>
        <w:pStyle w:val="16"/>
        <w:snapToGrid w:val="0"/>
        <w:spacing w:line="360" w:lineRule="auto"/>
        <w:ind w:firstLine="480"/>
        <w:rPr>
          <w:rFonts w:ascii="宋体" w:hAnsi="宋体" w:cs="宋体"/>
          <w:sz w:val="24"/>
        </w:rPr>
      </w:pPr>
    </w:p>
    <w:p>
      <w:pPr>
        <w:ind w:firstLine="420"/>
        <w:rPr>
          <w:rFonts w:ascii="宋体" w:hAnsi="宋体" w:cs="宋体"/>
        </w:rPr>
        <w:sectPr>
          <w:pgSz w:w="11906" w:h="16838"/>
          <w:pgMar w:top="1440" w:right="1800" w:bottom="1440" w:left="1800" w:header="851" w:footer="992" w:gutter="0"/>
          <w:cols w:space="720" w:num="1"/>
          <w:docGrid w:linePitch="286" w:charSpace="0"/>
        </w:sectPr>
      </w:pPr>
      <w:bookmarkStart w:id="591" w:name="_Toc6883"/>
      <w:bookmarkEnd w:id="591"/>
      <w:bookmarkStart w:id="592" w:name="_Toc29594"/>
      <w:bookmarkEnd w:id="592"/>
      <w:bookmarkStart w:id="593" w:name="_Toc669"/>
      <w:bookmarkEnd w:id="593"/>
      <w:bookmarkStart w:id="594" w:name="_Toc486431026"/>
      <w:bookmarkEnd w:id="594"/>
      <w:bookmarkStart w:id="595" w:name="_Toc31553"/>
      <w:bookmarkEnd w:id="595"/>
      <w:bookmarkStart w:id="596" w:name="_Toc496291400"/>
      <w:bookmarkEnd w:id="596"/>
      <w:bookmarkStart w:id="597" w:name="_Toc486431300"/>
      <w:bookmarkEnd w:id="597"/>
      <w:bookmarkStart w:id="598" w:name="_Toc15435060"/>
      <w:bookmarkEnd w:id="598"/>
      <w:bookmarkStart w:id="599" w:name="_Toc9501"/>
      <w:bookmarkEnd w:id="599"/>
      <w:bookmarkStart w:id="600" w:name="_Toc8999343"/>
      <w:bookmarkEnd w:id="600"/>
      <w:bookmarkStart w:id="601" w:name="_Toc24831"/>
      <w:bookmarkEnd w:id="601"/>
      <w:bookmarkStart w:id="602" w:name="_Toc27666"/>
      <w:bookmarkEnd w:id="602"/>
    </w:p>
    <w:p>
      <w:pPr>
        <w:pStyle w:val="4"/>
        <w:spacing w:line="360" w:lineRule="auto"/>
        <w:ind w:firstLine="482"/>
        <w:rPr>
          <w:rFonts w:ascii="宋体" w:hAnsi="宋体" w:cs="宋体"/>
          <w:b/>
          <w:bCs/>
          <w:sz w:val="24"/>
          <w:szCs w:val="24"/>
        </w:rPr>
      </w:pPr>
      <w:bookmarkStart w:id="603" w:name="_Toc92789324"/>
      <w:bookmarkStart w:id="604" w:name="_Toc100786162"/>
      <w:bookmarkStart w:id="605" w:name="_Toc50760949"/>
      <w:bookmarkStart w:id="606" w:name="_Toc9133"/>
      <w:bookmarkStart w:id="607" w:name="_Toc2280"/>
      <w:bookmarkStart w:id="608" w:name="_Toc22311"/>
      <w:bookmarkStart w:id="609" w:name="_Toc15435064"/>
      <w:bookmarkStart w:id="610" w:name="_Toc8999348"/>
      <w:bookmarkStart w:id="611" w:name="_Toc85461420"/>
      <w:bookmarkStart w:id="612" w:name="_Toc496291407"/>
      <w:bookmarkStart w:id="613" w:name="_Toc22337"/>
      <w:bookmarkStart w:id="614" w:name="_Toc24482"/>
      <w:bookmarkStart w:id="615" w:name="_Toc83722613"/>
      <w:bookmarkStart w:id="616" w:name="_Toc10550"/>
      <w:bookmarkStart w:id="617" w:name="_Toc1928"/>
      <w:r>
        <w:rPr>
          <w:rFonts w:hint="eastAsia" w:ascii="宋体" w:hAnsi="宋体" w:cs="宋体"/>
          <w:b/>
          <w:bCs/>
          <w:sz w:val="24"/>
          <w:szCs w:val="24"/>
        </w:rPr>
        <w:t>附件6-5  招标文件要求的其他证明材料</w:t>
      </w:r>
      <w:bookmarkEnd w:id="603"/>
      <w:bookmarkEnd w:id="604"/>
    </w:p>
    <w:p>
      <w:pPr>
        <w:pStyle w:val="4"/>
        <w:spacing w:line="360" w:lineRule="auto"/>
        <w:ind w:firstLine="482"/>
        <w:rPr>
          <w:rFonts w:ascii="宋体" w:hAnsi="宋体" w:cs="宋体"/>
          <w:b/>
          <w:sz w:val="24"/>
        </w:rPr>
      </w:pPr>
      <w:bookmarkStart w:id="618" w:name="_Toc100786163"/>
      <w:r>
        <w:rPr>
          <w:rFonts w:hint="eastAsia" w:ascii="宋体" w:hAnsi="宋体" w:cs="宋体"/>
          <w:b/>
          <w:bCs/>
          <w:sz w:val="24"/>
          <w:szCs w:val="24"/>
        </w:rPr>
        <w:t>6-5-1  拟分包情况说明（类型二）（本项目不适用）</w:t>
      </w:r>
      <w:bookmarkEnd w:id="618"/>
    </w:p>
    <w:p>
      <w:pPr>
        <w:autoSpaceDE w:val="0"/>
        <w:autoSpaceDN w:val="0"/>
        <w:adjustRightInd w:val="0"/>
        <w:ind w:firstLine="600"/>
        <w:jc w:val="center"/>
        <w:rPr>
          <w:rFonts w:ascii="宋体" w:hAnsi="宋体" w:cs="宋体"/>
          <w:sz w:val="30"/>
          <w:szCs w:val="30"/>
        </w:rPr>
      </w:pPr>
    </w:p>
    <w:p>
      <w:pPr>
        <w:spacing w:line="360" w:lineRule="auto"/>
        <w:ind w:firstLine="506" w:firstLineChars="200"/>
        <w:jc w:val="center"/>
        <w:rPr>
          <w:rFonts w:ascii="宋体" w:hAnsi="宋体" w:cs="宋体"/>
          <w:b/>
          <w:bCs/>
          <w:spacing w:val="6"/>
          <w:sz w:val="24"/>
          <w:szCs w:val="24"/>
        </w:rPr>
      </w:pPr>
      <w:r>
        <w:rPr>
          <w:rFonts w:hint="eastAsia" w:ascii="宋体" w:hAnsi="宋体" w:cs="宋体"/>
          <w:b/>
          <w:bCs/>
          <w:spacing w:val="6"/>
          <w:sz w:val="24"/>
          <w:szCs w:val="24"/>
        </w:rPr>
        <w:t>拟分包情况说明</w:t>
      </w: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pPr>
              <w:pStyle w:val="255"/>
              <w:jc w:val="center"/>
              <w:rPr>
                <w:sz w:val="24"/>
                <w:lang w:eastAsia="en-US"/>
              </w:rPr>
            </w:pPr>
            <w:r>
              <w:rPr>
                <w:rFonts w:hint="eastAsia"/>
                <w:sz w:val="24"/>
                <w:lang w:eastAsia="en-US"/>
              </w:rPr>
              <w:t>序号</w:t>
            </w:r>
          </w:p>
        </w:tc>
        <w:tc>
          <w:tcPr>
            <w:tcW w:w="1287" w:type="dxa"/>
            <w:shd w:val="clear" w:color="auto" w:fill="auto"/>
            <w:vAlign w:val="center"/>
          </w:tcPr>
          <w:p>
            <w:pPr>
              <w:pStyle w:val="255"/>
              <w:jc w:val="center"/>
              <w:rPr>
                <w:sz w:val="24"/>
                <w:lang w:eastAsia="en-US"/>
              </w:rPr>
            </w:pPr>
            <w:r>
              <w:rPr>
                <w:rFonts w:hint="eastAsia"/>
                <w:sz w:val="24"/>
                <w:lang w:eastAsia="en-US"/>
              </w:rPr>
              <w:t>分包承担</w:t>
            </w:r>
          </w:p>
          <w:p>
            <w:pPr>
              <w:pStyle w:val="255"/>
              <w:jc w:val="center"/>
              <w:rPr>
                <w:sz w:val="24"/>
                <w:lang w:eastAsia="en-US"/>
              </w:rPr>
            </w:pPr>
            <w:r>
              <w:rPr>
                <w:rFonts w:hint="eastAsia"/>
                <w:sz w:val="24"/>
                <w:lang w:eastAsia="en-US"/>
              </w:rPr>
              <w:t>主体名称</w:t>
            </w:r>
          </w:p>
        </w:tc>
        <w:tc>
          <w:tcPr>
            <w:tcW w:w="1513" w:type="dxa"/>
            <w:shd w:val="clear" w:color="auto" w:fill="auto"/>
            <w:vAlign w:val="center"/>
          </w:tcPr>
          <w:p>
            <w:pPr>
              <w:pStyle w:val="255"/>
              <w:jc w:val="center"/>
              <w:rPr>
                <w:sz w:val="24"/>
              </w:rPr>
            </w:pPr>
            <w:r>
              <w:rPr>
                <w:rFonts w:hint="eastAsia"/>
                <w:sz w:val="24"/>
              </w:rPr>
              <w:t>分包承担</w:t>
            </w:r>
          </w:p>
          <w:p>
            <w:pPr>
              <w:pStyle w:val="255"/>
              <w:jc w:val="center"/>
              <w:rPr>
                <w:sz w:val="24"/>
              </w:rPr>
            </w:pPr>
            <w:r>
              <w:rPr>
                <w:rFonts w:hint="eastAsia"/>
                <w:sz w:val="24"/>
              </w:rPr>
              <w:t>主体类型</w:t>
            </w:r>
          </w:p>
          <w:p>
            <w:pPr>
              <w:pStyle w:val="255"/>
              <w:jc w:val="center"/>
              <w:rPr>
                <w:sz w:val="24"/>
              </w:rPr>
            </w:pPr>
            <w:r>
              <w:rPr>
                <w:rFonts w:hint="eastAsia"/>
                <w:sz w:val="24"/>
              </w:rPr>
              <w:t>（勾选）</w:t>
            </w:r>
          </w:p>
        </w:tc>
        <w:tc>
          <w:tcPr>
            <w:tcW w:w="1125" w:type="dxa"/>
            <w:shd w:val="clear" w:color="auto" w:fill="auto"/>
            <w:vAlign w:val="center"/>
          </w:tcPr>
          <w:p>
            <w:pPr>
              <w:pStyle w:val="255"/>
              <w:jc w:val="center"/>
              <w:rPr>
                <w:sz w:val="24"/>
                <w:lang w:eastAsia="en-US"/>
              </w:rPr>
            </w:pPr>
            <w:r>
              <w:rPr>
                <w:rFonts w:hint="eastAsia"/>
                <w:sz w:val="24"/>
                <w:lang w:eastAsia="en-US"/>
              </w:rPr>
              <w:t>资质等级</w:t>
            </w:r>
          </w:p>
        </w:tc>
        <w:tc>
          <w:tcPr>
            <w:tcW w:w="1558" w:type="dxa"/>
            <w:shd w:val="clear" w:color="auto" w:fill="auto"/>
            <w:vAlign w:val="center"/>
          </w:tcPr>
          <w:p>
            <w:pPr>
              <w:pStyle w:val="255"/>
              <w:jc w:val="center"/>
              <w:rPr>
                <w:sz w:val="24"/>
                <w:lang w:eastAsia="en-US"/>
              </w:rPr>
            </w:pPr>
            <w:r>
              <w:rPr>
                <w:rFonts w:hint="eastAsia"/>
                <w:sz w:val="24"/>
                <w:lang w:eastAsia="en-US"/>
              </w:rPr>
              <w:t>拟分包</w:t>
            </w:r>
          </w:p>
          <w:p>
            <w:pPr>
              <w:pStyle w:val="255"/>
              <w:jc w:val="center"/>
              <w:rPr>
                <w:sz w:val="24"/>
                <w:lang w:eastAsia="en-US"/>
              </w:rPr>
            </w:pPr>
            <w:r>
              <w:rPr>
                <w:rFonts w:hint="eastAsia"/>
                <w:sz w:val="24"/>
                <w:lang w:eastAsia="en-US"/>
              </w:rPr>
              <w:t>合同内容</w:t>
            </w:r>
          </w:p>
        </w:tc>
        <w:tc>
          <w:tcPr>
            <w:tcW w:w="1498" w:type="dxa"/>
            <w:shd w:val="clear" w:color="auto" w:fill="auto"/>
            <w:vAlign w:val="center"/>
          </w:tcPr>
          <w:p>
            <w:pPr>
              <w:pStyle w:val="255"/>
              <w:jc w:val="center"/>
              <w:rPr>
                <w:sz w:val="24"/>
              </w:rPr>
            </w:pPr>
            <w:r>
              <w:rPr>
                <w:rFonts w:hint="eastAsia"/>
                <w:sz w:val="24"/>
              </w:rPr>
              <w:t>拟分包</w:t>
            </w:r>
          </w:p>
          <w:p>
            <w:pPr>
              <w:pStyle w:val="255"/>
              <w:jc w:val="center"/>
              <w:rPr>
                <w:sz w:val="24"/>
              </w:rPr>
            </w:pPr>
            <w:r>
              <w:rPr>
                <w:rFonts w:hint="eastAsia"/>
                <w:sz w:val="24"/>
              </w:rPr>
              <w:t>合同金额</w:t>
            </w:r>
          </w:p>
          <w:p>
            <w:pPr>
              <w:pStyle w:val="255"/>
              <w:jc w:val="center"/>
              <w:rPr>
                <w:sz w:val="24"/>
              </w:rPr>
            </w:pPr>
            <w:r>
              <w:rPr>
                <w:rFonts w:hint="eastAsia"/>
                <w:sz w:val="24"/>
              </w:rPr>
              <w:t>（人民币元）</w:t>
            </w:r>
          </w:p>
        </w:tc>
        <w:tc>
          <w:tcPr>
            <w:tcW w:w="1564" w:type="dxa"/>
            <w:shd w:val="clear" w:color="auto" w:fill="auto"/>
            <w:vAlign w:val="center"/>
          </w:tcPr>
          <w:p>
            <w:pPr>
              <w:pStyle w:val="255"/>
              <w:ind w:firstLine="482"/>
              <w:jc w:val="center"/>
              <w:rPr>
                <w:b/>
                <w:sz w:val="24"/>
              </w:rPr>
            </w:pPr>
            <w:r>
              <w:rPr>
                <w:rFonts w:hint="eastAsia"/>
                <w:b/>
                <w:sz w:val="24"/>
              </w:rPr>
              <w:t>占投标报价的比例（%）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5"/>
              <w:ind w:firstLine="480"/>
              <w:jc w:val="center"/>
              <w:rPr>
                <w:sz w:val="24"/>
                <w:lang w:eastAsia="en-US"/>
              </w:rPr>
            </w:pPr>
            <w:r>
              <w:rPr>
                <w:rFonts w:hint="eastAsia"/>
                <w:sz w:val="24"/>
                <w:lang w:eastAsia="en-US"/>
              </w:rPr>
              <w:t>1</w:t>
            </w:r>
          </w:p>
        </w:tc>
        <w:tc>
          <w:tcPr>
            <w:tcW w:w="1287" w:type="dxa"/>
            <w:shd w:val="clear" w:color="auto" w:fill="auto"/>
            <w:vAlign w:val="center"/>
          </w:tcPr>
          <w:p>
            <w:pPr>
              <w:pStyle w:val="255"/>
              <w:ind w:firstLine="600"/>
              <w:jc w:val="center"/>
              <w:rPr>
                <w:sz w:val="30"/>
                <w:lang w:eastAsia="en-US"/>
              </w:rPr>
            </w:pPr>
          </w:p>
        </w:tc>
        <w:tc>
          <w:tcPr>
            <w:tcW w:w="1513" w:type="dxa"/>
            <w:shd w:val="clear" w:color="auto" w:fill="auto"/>
            <w:vAlign w:val="center"/>
          </w:tcPr>
          <w:p>
            <w:pPr>
              <w:pStyle w:val="255"/>
              <w:tabs>
                <w:tab w:val="left" w:pos="235"/>
              </w:tabs>
              <w:ind w:left="1" w:leftChars="-43" w:hanging="91" w:hangingChars="38"/>
              <w:jc w:val="center"/>
              <w:rPr>
                <w:sz w:val="24"/>
              </w:rPr>
            </w:pPr>
            <w:r>
              <w:rPr>
                <w:rFonts w:hint="eastAsia"/>
                <w:sz w:val="24"/>
              </w:rPr>
              <w:t>□小微企业</w:t>
            </w:r>
          </w:p>
          <w:p>
            <w:pPr>
              <w:pStyle w:val="255"/>
              <w:tabs>
                <w:tab w:val="left" w:pos="235"/>
              </w:tabs>
              <w:ind w:left="1" w:leftChars="-43" w:hanging="91" w:hangingChars="38"/>
              <w:jc w:val="center"/>
              <w:rPr>
                <w:sz w:val="24"/>
              </w:rPr>
            </w:pPr>
            <w:r>
              <w:rPr>
                <w:rFonts w:hint="eastAsia"/>
                <w:sz w:val="24"/>
              </w:rPr>
              <w:t>□其他类型</w:t>
            </w:r>
          </w:p>
        </w:tc>
        <w:tc>
          <w:tcPr>
            <w:tcW w:w="1125" w:type="dxa"/>
            <w:shd w:val="clear" w:color="auto" w:fill="auto"/>
            <w:vAlign w:val="center"/>
          </w:tcPr>
          <w:p>
            <w:pPr>
              <w:pStyle w:val="255"/>
              <w:ind w:firstLine="600"/>
              <w:jc w:val="center"/>
              <w:rPr>
                <w:sz w:val="30"/>
              </w:rPr>
            </w:pPr>
          </w:p>
        </w:tc>
        <w:tc>
          <w:tcPr>
            <w:tcW w:w="1558" w:type="dxa"/>
            <w:shd w:val="clear" w:color="auto" w:fill="auto"/>
            <w:vAlign w:val="center"/>
          </w:tcPr>
          <w:p>
            <w:pPr>
              <w:pStyle w:val="255"/>
              <w:ind w:firstLine="600"/>
              <w:jc w:val="center"/>
              <w:rPr>
                <w:sz w:val="30"/>
              </w:rPr>
            </w:pPr>
          </w:p>
        </w:tc>
        <w:tc>
          <w:tcPr>
            <w:tcW w:w="1498" w:type="dxa"/>
            <w:shd w:val="clear" w:color="auto" w:fill="auto"/>
            <w:vAlign w:val="center"/>
          </w:tcPr>
          <w:p>
            <w:pPr>
              <w:pStyle w:val="255"/>
              <w:ind w:firstLine="600"/>
              <w:jc w:val="center"/>
              <w:rPr>
                <w:sz w:val="30"/>
              </w:rPr>
            </w:pPr>
          </w:p>
        </w:tc>
        <w:tc>
          <w:tcPr>
            <w:tcW w:w="1564" w:type="dxa"/>
            <w:shd w:val="clear" w:color="auto" w:fill="auto"/>
            <w:vAlign w:val="center"/>
          </w:tcPr>
          <w:p>
            <w:pPr>
              <w:pStyle w:val="255"/>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5"/>
              <w:ind w:firstLine="480"/>
              <w:jc w:val="center"/>
              <w:rPr>
                <w:sz w:val="24"/>
                <w:lang w:eastAsia="en-US"/>
              </w:rPr>
            </w:pPr>
            <w:r>
              <w:rPr>
                <w:rFonts w:hint="eastAsia"/>
                <w:sz w:val="24"/>
                <w:lang w:eastAsia="en-US"/>
              </w:rPr>
              <w:t>2</w:t>
            </w:r>
          </w:p>
        </w:tc>
        <w:tc>
          <w:tcPr>
            <w:tcW w:w="1287" w:type="dxa"/>
            <w:shd w:val="clear" w:color="auto" w:fill="auto"/>
            <w:vAlign w:val="center"/>
          </w:tcPr>
          <w:p>
            <w:pPr>
              <w:pStyle w:val="255"/>
              <w:ind w:firstLine="600"/>
              <w:jc w:val="center"/>
              <w:rPr>
                <w:sz w:val="30"/>
                <w:lang w:eastAsia="en-US"/>
              </w:rPr>
            </w:pPr>
          </w:p>
        </w:tc>
        <w:tc>
          <w:tcPr>
            <w:tcW w:w="1513" w:type="dxa"/>
            <w:shd w:val="clear" w:color="auto" w:fill="auto"/>
            <w:vAlign w:val="center"/>
          </w:tcPr>
          <w:p>
            <w:pPr>
              <w:pStyle w:val="255"/>
              <w:tabs>
                <w:tab w:val="left" w:pos="235"/>
              </w:tabs>
              <w:ind w:left="1" w:leftChars="-43" w:hanging="91" w:hangingChars="38"/>
              <w:jc w:val="center"/>
              <w:rPr>
                <w:sz w:val="24"/>
              </w:rPr>
            </w:pPr>
            <w:r>
              <w:rPr>
                <w:rFonts w:hint="eastAsia"/>
                <w:sz w:val="24"/>
              </w:rPr>
              <w:t>□小微企业</w:t>
            </w:r>
          </w:p>
          <w:p>
            <w:pPr>
              <w:pStyle w:val="255"/>
              <w:tabs>
                <w:tab w:val="left" w:pos="235"/>
              </w:tabs>
              <w:ind w:left="1" w:leftChars="-43" w:hanging="91" w:hangingChars="38"/>
              <w:jc w:val="center"/>
              <w:rPr>
                <w:sz w:val="24"/>
              </w:rPr>
            </w:pPr>
            <w:r>
              <w:rPr>
                <w:rFonts w:hint="eastAsia"/>
                <w:sz w:val="24"/>
              </w:rPr>
              <w:t>□其他类型</w:t>
            </w:r>
          </w:p>
        </w:tc>
        <w:tc>
          <w:tcPr>
            <w:tcW w:w="1125" w:type="dxa"/>
            <w:shd w:val="clear" w:color="auto" w:fill="auto"/>
            <w:vAlign w:val="center"/>
          </w:tcPr>
          <w:p>
            <w:pPr>
              <w:pStyle w:val="255"/>
              <w:ind w:firstLine="600"/>
              <w:jc w:val="center"/>
              <w:rPr>
                <w:sz w:val="30"/>
              </w:rPr>
            </w:pPr>
          </w:p>
        </w:tc>
        <w:tc>
          <w:tcPr>
            <w:tcW w:w="1558" w:type="dxa"/>
            <w:shd w:val="clear" w:color="auto" w:fill="auto"/>
            <w:vAlign w:val="center"/>
          </w:tcPr>
          <w:p>
            <w:pPr>
              <w:pStyle w:val="255"/>
              <w:ind w:firstLine="600"/>
              <w:jc w:val="center"/>
              <w:rPr>
                <w:sz w:val="30"/>
              </w:rPr>
            </w:pPr>
          </w:p>
        </w:tc>
        <w:tc>
          <w:tcPr>
            <w:tcW w:w="1498" w:type="dxa"/>
            <w:shd w:val="clear" w:color="auto" w:fill="auto"/>
            <w:vAlign w:val="center"/>
          </w:tcPr>
          <w:p>
            <w:pPr>
              <w:pStyle w:val="255"/>
              <w:ind w:firstLine="600"/>
              <w:jc w:val="center"/>
              <w:rPr>
                <w:sz w:val="30"/>
              </w:rPr>
            </w:pPr>
          </w:p>
        </w:tc>
        <w:tc>
          <w:tcPr>
            <w:tcW w:w="1564" w:type="dxa"/>
            <w:shd w:val="clear" w:color="auto" w:fill="auto"/>
            <w:vAlign w:val="center"/>
          </w:tcPr>
          <w:p>
            <w:pPr>
              <w:pStyle w:val="255"/>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5"/>
              <w:ind w:firstLine="480"/>
              <w:jc w:val="center"/>
              <w:rPr>
                <w:sz w:val="24"/>
                <w:lang w:eastAsia="en-US"/>
              </w:rPr>
            </w:pPr>
            <w:r>
              <w:rPr>
                <w:rFonts w:hint="eastAsia"/>
                <w:sz w:val="24"/>
                <w:lang w:eastAsia="en-US"/>
              </w:rPr>
              <w:t>…</w:t>
            </w:r>
          </w:p>
        </w:tc>
        <w:tc>
          <w:tcPr>
            <w:tcW w:w="1287" w:type="dxa"/>
            <w:shd w:val="clear" w:color="auto" w:fill="auto"/>
            <w:vAlign w:val="center"/>
          </w:tcPr>
          <w:p>
            <w:pPr>
              <w:pStyle w:val="255"/>
              <w:ind w:firstLine="600"/>
              <w:jc w:val="center"/>
              <w:rPr>
                <w:sz w:val="30"/>
                <w:lang w:eastAsia="en-US"/>
              </w:rPr>
            </w:pPr>
          </w:p>
        </w:tc>
        <w:tc>
          <w:tcPr>
            <w:tcW w:w="1513" w:type="dxa"/>
            <w:shd w:val="clear" w:color="auto" w:fill="auto"/>
            <w:vAlign w:val="center"/>
          </w:tcPr>
          <w:p>
            <w:pPr>
              <w:pStyle w:val="255"/>
              <w:tabs>
                <w:tab w:val="left" w:pos="235"/>
              </w:tabs>
              <w:ind w:firstLine="480"/>
              <w:jc w:val="center"/>
              <w:rPr>
                <w:sz w:val="24"/>
                <w:lang w:eastAsia="en-US"/>
              </w:rPr>
            </w:pPr>
          </w:p>
        </w:tc>
        <w:tc>
          <w:tcPr>
            <w:tcW w:w="1125" w:type="dxa"/>
            <w:shd w:val="clear" w:color="auto" w:fill="auto"/>
            <w:vAlign w:val="center"/>
          </w:tcPr>
          <w:p>
            <w:pPr>
              <w:pStyle w:val="255"/>
              <w:ind w:firstLine="600"/>
              <w:jc w:val="center"/>
              <w:rPr>
                <w:sz w:val="30"/>
                <w:lang w:eastAsia="en-US"/>
              </w:rPr>
            </w:pPr>
          </w:p>
        </w:tc>
        <w:tc>
          <w:tcPr>
            <w:tcW w:w="1558" w:type="dxa"/>
            <w:shd w:val="clear" w:color="auto" w:fill="auto"/>
            <w:vAlign w:val="center"/>
          </w:tcPr>
          <w:p>
            <w:pPr>
              <w:pStyle w:val="255"/>
              <w:ind w:firstLine="600"/>
              <w:jc w:val="center"/>
              <w:rPr>
                <w:sz w:val="30"/>
                <w:lang w:eastAsia="en-US"/>
              </w:rPr>
            </w:pPr>
          </w:p>
        </w:tc>
        <w:tc>
          <w:tcPr>
            <w:tcW w:w="1498" w:type="dxa"/>
            <w:shd w:val="clear" w:color="auto" w:fill="auto"/>
            <w:vAlign w:val="center"/>
          </w:tcPr>
          <w:p>
            <w:pPr>
              <w:pStyle w:val="255"/>
              <w:ind w:firstLine="600"/>
              <w:jc w:val="center"/>
              <w:rPr>
                <w:sz w:val="30"/>
                <w:lang w:eastAsia="en-US"/>
              </w:rPr>
            </w:pPr>
          </w:p>
        </w:tc>
        <w:tc>
          <w:tcPr>
            <w:tcW w:w="1564" w:type="dxa"/>
            <w:shd w:val="clear" w:color="auto" w:fill="auto"/>
            <w:vAlign w:val="center"/>
          </w:tcPr>
          <w:p>
            <w:pPr>
              <w:pStyle w:val="255"/>
              <w:ind w:firstLine="600"/>
              <w:jc w:val="center"/>
              <w:rPr>
                <w:sz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pPr>
              <w:pStyle w:val="255"/>
              <w:ind w:right="57" w:rightChars="27" w:firstLine="480"/>
              <w:jc w:val="right"/>
              <w:rPr>
                <w:sz w:val="24"/>
                <w:lang w:eastAsia="en-US"/>
              </w:rPr>
            </w:pPr>
            <w:r>
              <w:rPr>
                <w:rFonts w:hint="eastAsia"/>
                <w:sz w:val="24"/>
                <w:lang w:eastAsia="en-US"/>
              </w:rPr>
              <w:t>合计：</w:t>
            </w:r>
          </w:p>
        </w:tc>
        <w:tc>
          <w:tcPr>
            <w:tcW w:w="1498" w:type="dxa"/>
            <w:shd w:val="clear" w:color="auto" w:fill="auto"/>
            <w:vAlign w:val="center"/>
          </w:tcPr>
          <w:p>
            <w:pPr>
              <w:pStyle w:val="255"/>
              <w:ind w:firstLine="600"/>
              <w:jc w:val="center"/>
              <w:rPr>
                <w:sz w:val="30"/>
                <w:lang w:eastAsia="en-US"/>
              </w:rPr>
            </w:pPr>
          </w:p>
        </w:tc>
        <w:tc>
          <w:tcPr>
            <w:tcW w:w="1564" w:type="dxa"/>
            <w:shd w:val="clear" w:color="auto" w:fill="auto"/>
            <w:vAlign w:val="center"/>
          </w:tcPr>
          <w:p>
            <w:pPr>
              <w:pStyle w:val="255"/>
              <w:ind w:firstLine="600"/>
              <w:jc w:val="center"/>
              <w:rPr>
                <w:sz w:val="30"/>
                <w:lang w:eastAsia="en-US"/>
              </w:rPr>
            </w:pPr>
          </w:p>
        </w:tc>
      </w:tr>
    </w:tbl>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jc w:val="left"/>
        <w:rPr>
          <w:rFonts w:ascii="宋体" w:hAnsi="宋体" w:cs="宋体"/>
          <w:sz w:val="24"/>
        </w:rPr>
      </w:pPr>
      <w:r>
        <w:rPr>
          <w:rFonts w:hint="eastAsia" w:ascii="宋体" w:hAnsi="宋体" w:cs="宋体"/>
          <w:sz w:val="24"/>
        </w:rPr>
        <w:t xml:space="preserve">注： </w:t>
      </w:r>
    </w:p>
    <w:p>
      <w:pPr>
        <w:adjustRightInd w:val="0"/>
        <w:snapToGrid w:val="0"/>
        <w:spacing w:line="360" w:lineRule="auto"/>
        <w:jc w:val="left"/>
        <w:rPr>
          <w:rFonts w:ascii="宋体" w:hAnsi="宋体" w:cs="宋体"/>
          <w:sz w:val="24"/>
        </w:rPr>
      </w:pPr>
      <w:r>
        <w:rPr>
          <w:rFonts w:hint="eastAsia" w:ascii="宋体" w:hAnsi="宋体" w:cs="宋体"/>
          <w:sz w:val="24"/>
        </w:rPr>
        <w:t>1.本表仅在投标人非因“为落实政府采购政策”而分包时填写；投标人“为落实政府采购政策”而向中小企业分包时请按照《</w:t>
      </w:r>
      <w:r>
        <w:rPr>
          <w:rFonts w:hint="eastAsia" w:ascii="宋体" w:hAnsi="宋体" w:cs="宋体"/>
          <w:sz w:val="24"/>
          <w:szCs w:val="20"/>
        </w:rPr>
        <w:t>拟分包情况说明及分包意向协议</w:t>
      </w:r>
      <w:r>
        <w:rPr>
          <w:rFonts w:hint="eastAsia" w:ascii="宋体" w:hAnsi="宋体" w:cs="宋体"/>
          <w:sz w:val="24"/>
        </w:rPr>
        <w:t>》（类型一）要求填写。</w:t>
      </w:r>
    </w:p>
    <w:p>
      <w:pPr>
        <w:adjustRightInd w:val="0"/>
        <w:snapToGrid w:val="0"/>
        <w:spacing w:line="360" w:lineRule="auto"/>
        <w:jc w:val="left"/>
        <w:rPr>
          <w:rFonts w:ascii="宋体" w:hAnsi="宋体" w:cs="宋体"/>
          <w:sz w:val="24"/>
        </w:rPr>
      </w:pPr>
      <w:r>
        <w:rPr>
          <w:rFonts w:hint="eastAsia" w:ascii="宋体" w:hAnsi="宋体" w:cs="宋体"/>
          <w:sz w:val="24"/>
        </w:rPr>
        <w:t>2.如本招标文件《投标人须知资料表》载明本项目分包承担主体应具备的相应资质条件，则投标人须在本表中列明分包承担主体的资质等级，并后附资质证书复印件加盖投标人公章，否则</w:t>
      </w:r>
      <w:r>
        <w:rPr>
          <w:rFonts w:hint="eastAsia" w:ascii="宋体" w:hAnsi="宋体" w:cs="宋体"/>
          <w:b/>
          <w:sz w:val="24"/>
        </w:rPr>
        <w:t>投标无效</w:t>
      </w:r>
      <w:r>
        <w:rPr>
          <w:rFonts w:hint="eastAsia" w:ascii="宋体" w:hAnsi="宋体" w:cs="宋体"/>
          <w:sz w:val="24"/>
        </w:rPr>
        <w:t>。</w:t>
      </w:r>
    </w:p>
    <w:p>
      <w:pPr>
        <w:adjustRightInd w:val="0"/>
        <w:snapToGrid w:val="0"/>
        <w:spacing w:line="360" w:lineRule="auto"/>
        <w:jc w:val="left"/>
        <w:rPr>
          <w:rFonts w:ascii="宋体" w:hAnsi="宋体" w:cs="宋体"/>
          <w:sz w:val="24"/>
        </w:rPr>
      </w:pPr>
    </w:p>
    <w:p>
      <w:pPr>
        <w:adjustRightInd w:val="0"/>
        <w:snapToGrid w:val="0"/>
        <w:spacing w:line="360" w:lineRule="auto"/>
        <w:ind w:right="480" w:firstLine="480" w:firstLineChars="200"/>
        <w:jc w:val="right"/>
        <w:rPr>
          <w:rFonts w:ascii="宋体" w:hAnsi="宋体" w:cs="宋体"/>
          <w:sz w:val="24"/>
        </w:rPr>
      </w:pPr>
      <w:r>
        <w:rPr>
          <w:rFonts w:hint="eastAsia" w:ascii="宋体" w:hAnsi="宋体" w:cs="宋体"/>
          <w:sz w:val="24"/>
        </w:rPr>
        <w:t>投标人名称（盖章）：______</w:t>
      </w:r>
    </w:p>
    <w:p>
      <w:pPr>
        <w:tabs>
          <w:tab w:val="left" w:pos="4962"/>
        </w:tabs>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日期：_____年______月______日</w:t>
      </w:r>
      <w:r>
        <w:rPr>
          <w:rFonts w:hint="eastAsia" w:ascii="宋体" w:hAnsi="宋体" w:cs="宋体"/>
        </w:rPr>
        <w:br w:type="page"/>
      </w:r>
    </w:p>
    <w:p>
      <w:pPr>
        <w:pStyle w:val="4"/>
        <w:spacing w:line="360" w:lineRule="auto"/>
        <w:ind w:firstLine="482"/>
        <w:rPr>
          <w:rFonts w:ascii="宋体" w:hAnsi="宋体" w:cs="宋体"/>
          <w:b/>
          <w:bCs/>
          <w:sz w:val="24"/>
          <w:szCs w:val="24"/>
        </w:rPr>
      </w:pPr>
      <w:bookmarkStart w:id="619" w:name="_Toc100786164"/>
      <w:r>
        <w:rPr>
          <w:rFonts w:hint="eastAsia" w:ascii="宋体" w:hAnsi="宋体" w:cs="宋体"/>
          <w:b/>
          <w:bCs/>
          <w:sz w:val="24"/>
          <w:szCs w:val="24"/>
        </w:rPr>
        <w:t xml:space="preserve">6-5-2  </w:t>
      </w:r>
      <w:r>
        <w:rPr>
          <w:rFonts w:hint="eastAsia" w:ascii="宋体" w:hAnsi="宋体" w:cs="宋体"/>
          <w:b/>
          <w:bCs/>
          <w:sz w:val="24"/>
          <w:szCs w:val="24"/>
          <w:lang w:val="en-US"/>
        </w:rPr>
        <w:t>联合协议（如有）（实质性格式）</w:t>
      </w:r>
      <w:bookmarkEnd w:id="619"/>
      <w:r>
        <w:rPr>
          <w:rFonts w:hint="eastAsia" w:ascii="宋体" w:hAnsi="宋体" w:cs="宋体"/>
          <w:b/>
          <w:bCs/>
          <w:sz w:val="24"/>
          <w:szCs w:val="24"/>
        </w:rPr>
        <w:t>（本项目不适用）</w:t>
      </w:r>
    </w:p>
    <w:p>
      <w:pPr>
        <w:autoSpaceDE w:val="0"/>
        <w:autoSpaceDN w:val="0"/>
        <w:adjustRightInd w:val="0"/>
        <w:spacing w:line="360" w:lineRule="auto"/>
        <w:ind w:firstLine="482"/>
        <w:jc w:val="center"/>
        <w:rPr>
          <w:rFonts w:ascii="宋体" w:hAnsi="宋体" w:cs="宋体"/>
          <w:b/>
          <w:sz w:val="24"/>
          <w:szCs w:val="24"/>
        </w:rPr>
      </w:pPr>
      <w:r>
        <w:rPr>
          <w:rFonts w:hint="eastAsia" w:ascii="宋体" w:hAnsi="宋体" w:cs="宋体"/>
          <w:b/>
          <w:sz w:val="24"/>
          <w:szCs w:val="24"/>
        </w:rPr>
        <w:t>联合协议</w:t>
      </w:r>
    </w:p>
    <w:p>
      <w:pPr>
        <w:spacing w:line="360" w:lineRule="auto"/>
        <w:ind w:firstLine="828" w:firstLineChars="345"/>
        <w:rPr>
          <w:rFonts w:ascii="宋体" w:hAnsi="宋体" w:cs="宋体"/>
          <w:bCs/>
        </w:rPr>
      </w:pPr>
      <w:r>
        <w:rPr>
          <w:rFonts w:hint="eastAsia" w:ascii="宋体" w:hAnsi="宋体" w:cs="宋体"/>
          <w:bCs/>
          <w:sz w:val="24"/>
        </w:rPr>
        <w:t>______、_____及_____就“________（项目名称）”</w:t>
      </w:r>
      <w:r>
        <w:rPr>
          <w:rFonts w:hint="eastAsia" w:ascii="宋体" w:hAnsi="宋体" w:cs="宋体"/>
          <w:sz w:val="24"/>
        </w:rPr>
        <w:t>____包</w:t>
      </w:r>
      <w:r>
        <w:rPr>
          <w:rFonts w:hint="eastAsia" w:ascii="宋体" w:hAnsi="宋体" w:cs="宋体"/>
          <w:bCs/>
          <w:sz w:val="24"/>
        </w:rPr>
        <w:t>招标项目的投标事宜，经各方充分协商一致，达成如下协议：</w:t>
      </w:r>
    </w:p>
    <w:p>
      <w:pPr>
        <w:numPr>
          <w:ilvl w:val="0"/>
          <w:numId w:val="8"/>
        </w:numPr>
        <w:spacing w:line="360" w:lineRule="auto"/>
        <w:ind w:firstLine="480"/>
        <w:rPr>
          <w:rFonts w:ascii="宋体" w:hAnsi="宋体" w:cs="宋体"/>
          <w:bCs/>
          <w:sz w:val="24"/>
        </w:rPr>
      </w:pPr>
      <w:r>
        <w:rPr>
          <w:rFonts w:hint="eastAsia" w:ascii="宋体" w:hAnsi="宋体" w:cs="宋体"/>
          <w:bCs/>
          <w:sz w:val="24"/>
        </w:rPr>
        <w:t>由_________牵头，_________、__________参加，组成联合体共同进行招标项目的投标工作。</w:t>
      </w:r>
    </w:p>
    <w:p>
      <w:pPr>
        <w:numPr>
          <w:ilvl w:val="0"/>
          <w:numId w:val="8"/>
        </w:numPr>
        <w:spacing w:line="360" w:lineRule="auto"/>
        <w:ind w:firstLine="480"/>
        <w:rPr>
          <w:rFonts w:ascii="宋体" w:hAnsi="宋体" w:cs="宋体"/>
          <w:bCs/>
          <w:sz w:val="24"/>
        </w:rPr>
      </w:pPr>
      <w:r>
        <w:rPr>
          <w:rFonts w:hint="eastAsia" w:ascii="宋体" w:hAnsi="宋体" w:cs="宋体"/>
          <w:bCs/>
          <w:sz w:val="24"/>
        </w:rPr>
        <w:t>______为本次投标的牵头人，联合体以牵头人的名义参加投标，联合体中标后，联合体各方共同与采购人签订合同，就采购合同约定的事项对采购人承担连带责任。</w:t>
      </w:r>
    </w:p>
    <w:p>
      <w:pPr>
        <w:numPr>
          <w:ilvl w:val="0"/>
          <w:numId w:val="8"/>
        </w:numPr>
        <w:spacing w:line="360" w:lineRule="auto"/>
        <w:ind w:firstLine="480"/>
        <w:rPr>
          <w:rFonts w:ascii="宋体" w:hAnsi="宋体" w:cs="宋体"/>
          <w:bCs/>
          <w:sz w:val="24"/>
        </w:rPr>
      </w:pPr>
      <w:r>
        <w:rPr>
          <w:rFonts w:hint="eastAsia" w:ascii="宋体" w:hAnsi="宋体" w:cs="宋体"/>
          <w:bCs/>
          <w:sz w:val="24"/>
        </w:rPr>
        <w:t>联合体各方均同意由牵头人代表其他联合体成员单位按招标文件要求出具《授权委托书》。</w:t>
      </w:r>
    </w:p>
    <w:p>
      <w:pPr>
        <w:numPr>
          <w:ilvl w:val="0"/>
          <w:numId w:val="8"/>
        </w:numPr>
        <w:spacing w:line="360" w:lineRule="auto"/>
        <w:ind w:firstLine="480"/>
        <w:rPr>
          <w:rFonts w:ascii="宋体" w:hAnsi="宋体" w:cs="宋体"/>
          <w:bCs/>
          <w:sz w:val="24"/>
        </w:rPr>
      </w:pPr>
      <w:r>
        <w:rPr>
          <w:rFonts w:hint="eastAsia" w:ascii="宋体" w:hAnsi="宋体" w:cs="宋体"/>
          <w:bCs/>
          <w:sz w:val="24"/>
        </w:rPr>
        <w:t>牵头人为项目的总负责单位；组织各参加方进行项目实施工作。</w:t>
      </w:r>
    </w:p>
    <w:p>
      <w:pPr>
        <w:numPr>
          <w:ilvl w:val="0"/>
          <w:numId w:val="8"/>
        </w:numPr>
        <w:spacing w:line="360" w:lineRule="auto"/>
        <w:ind w:firstLine="480"/>
        <w:rPr>
          <w:rFonts w:ascii="宋体" w:hAnsi="宋体" w:cs="宋体"/>
          <w:bCs/>
          <w:sz w:val="24"/>
        </w:rPr>
      </w:pPr>
      <w:r>
        <w:rPr>
          <w:rFonts w:hint="eastAsia" w:ascii="宋体" w:hAnsi="宋体" w:cs="宋体"/>
          <w:bCs/>
          <w:sz w:val="24"/>
        </w:rPr>
        <w:t>______负责_____，具体工作范围、内容以投标文件及合同为准。</w:t>
      </w:r>
    </w:p>
    <w:p>
      <w:pPr>
        <w:numPr>
          <w:ilvl w:val="0"/>
          <w:numId w:val="8"/>
        </w:numPr>
        <w:spacing w:line="360" w:lineRule="auto"/>
        <w:ind w:firstLine="480"/>
        <w:rPr>
          <w:rFonts w:ascii="宋体" w:hAnsi="宋体" w:cs="宋体"/>
          <w:bCs/>
          <w:sz w:val="24"/>
        </w:rPr>
      </w:pPr>
      <w:r>
        <w:rPr>
          <w:rFonts w:hint="eastAsia" w:ascii="宋体" w:hAnsi="宋体" w:cs="宋体"/>
          <w:bCs/>
          <w:sz w:val="24"/>
        </w:rPr>
        <w:t>______负责_____，具体工作范围、内容以投标文件及合同为准。</w:t>
      </w:r>
    </w:p>
    <w:p>
      <w:pPr>
        <w:numPr>
          <w:ilvl w:val="0"/>
          <w:numId w:val="8"/>
        </w:numPr>
        <w:spacing w:line="360" w:lineRule="auto"/>
        <w:ind w:firstLine="480"/>
        <w:rPr>
          <w:rFonts w:ascii="宋体" w:hAnsi="宋体" w:cs="宋体"/>
          <w:bCs/>
          <w:sz w:val="24"/>
        </w:rPr>
      </w:pPr>
      <w:r>
        <w:rPr>
          <w:rFonts w:hint="eastAsia" w:ascii="宋体" w:hAnsi="宋体" w:cs="宋体"/>
          <w:bCs/>
          <w:sz w:val="24"/>
        </w:rPr>
        <w:t>______负责_____（如有），具体工作范围、内容以投标文件及合同为准。</w:t>
      </w:r>
    </w:p>
    <w:p>
      <w:pPr>
        <w:numPr>
          <w:ilvl w:val="0"/>
          <w:numId w:val="8"/>
        </w:numPr>
        <w:spacing w:line="360" w:lineRule="auto"/>
        <w:ind w:firstLine="480"/>
        <w:rPr>
          <w:rFonts w:ascii="宋体" w:hAnsi="宋体" w:cs="宋体"/>
          <w:sz w:val="24"/>
        </w:rPr>
      </w:pPr>
      <w:r>
        <w:rPr>
          <w:rFonts w:hint="eastAsia" w:ascii="宋体" w:hAnsi="宋体" w:cs="宋体"/>
          <w:sz w:val="24"/>
        </w:rPr>
        <w:t>本项目联合协议合同总额为________元，联合体各成员按照如下比例分摊（按联合体成员分别列明）：</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（1）</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（2）</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numPr>
          <w:ilvl w:val="0"/>
          <w:numId w:val="8"/>
        </w:numPr>
        <w:tabs>
          <w:tab w:val="left" w:pos="993"/>
        </w:tabs>
        <w:spacing w:line="360" w:lineRule="auto"/>
        <w:ind w:firstLine="480"/>
        <w:rPr>
          <w:rFonts w:ascii="宋体" w:hAnsi="宋体" w:cs="宋体"/>
          <w:bCs/>
          <w:sz w:val="24"/>
        </w:rPr>
      </w:pPr>
      <w:r>
        <w:rPr>
          <w:rFonts w:hint="eastAsia" w:ascii="宋体" w:hAnsi="宋体" w:cs="宋体"/>
          <w:bCs/>
          <w:sz w:val="24"/>
        </w:rPr>
        <w:t>以联合体形式参加政府采购活动的，联合体各方不得再单独参加或者与其他供应商另外组成联合体参加同一合同项下的政府采购活动。</w:t>
      </w:r>
    </w:p>
    <w:p>
      <w:pPr>
        <w:numPr>
          <w:ilvl w:val="0"/>
          <w:numId w:val="8"/>
        </w:numPr>
        <w:spacing w:line="360" w:lineRule="auto"/>
        <w:ind w:firstLine="480"/>
        <w:rPr>
          <w:rFonts w:ascii="宋体" w:hAnsi="宋体" w:cs="宋体"/>
          <w:bCs/>
          <w:sz w:val="24"/>
        </w:rPr>
      </w:pPr>
      <w:r>
        <w:rPr>
          <w:rFonts w:hint="eastAsia" w:ascii="宋体" w:hAnsi="宋体" w:cs="宋体"/>
          <w:bCs/>
          <w:sz w:val="24"/>
        </w:rPr>
        <w:t>其他约定（如有）：_______。</w:t>
      </w:r>
    </w:p>
    <w:p>
      <w:pPr>
        <w:tabs>
          <w:tab w:val="left" w:pos="780"/>
        </w:tabs>
        <w:spacing w:line="360" w:lineRule="auto"/>
        <w:ind w:firstLine="480" w:firstLineChars="200"/>
        <w:rPr>
          <w:rFonts w:ascii="宋体" w:hAnsi="宋体" w:cs="宋体"/>
          <w:sz w:val="24"/>
        </w:rPr>
      </w:pPr>
      <w:r>
        <w:rPr>
          <w:rFonts w:hint="eastAsia" w:ascii="宋体" w:hAnsi="宋体" w:cs="宋体"/>
          <w:bCs/>
          <w:sz w:val="24"/>
        </w:rPr>
        <w:t>本协议自各方盖章后生效，采购合同履行完毕后自动失效。如未中标，本协议自动终止。</w:t>
      </w:r>
      <w:r>
        <w:rPr>
          <w:rFonts w:hint="eastAsia" w:ascii="宋体" w:hAnsi="宋体" w:cs="宋体"/>
          <w:sz w:val="24"/>
        </w:rPr>
        <w:br w:type="page"/>
      </w:r>
    </w:p>
    <w:p>
      <w:pPr>
        <w:spacing w:line="360" w:lineRule="auto"/>
        <w:ind w:firstLine="480"/>
        <w:rPr>
          <w:rFonts w:ascii="宋体" w:hAnsi="宋体" w:cs="宋体"/>
          <w:sz w:val="24"/>
        </w:rPr>
      </w:pPr>
      <w:r>
        <w:rPr>
          <w:rFonts w:hint="eastAsia" w:ascii="宋体" w:hAnsi="宋体" w:cs="宋体"/>
          <w:sz w:val="24"/>
        </w:rPr>
        <w:t>联合体牵头人名称：</w:t>
      </w:r>
      <w:r>
        <w:rPr>
          <w:rFonts w:hint="eastAsia" w:ascii="宋体" w:hAnsi="宋体" w:cs="宋体"/>
          <w:sz w:val="24"/>
          <w:szCs w:val="20"/>
        </w:rPr>
        <w:t>______</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联合体成员名称：</w:t>
      </w:r>
      <w:r>
        <w:rPr>
          <w:rFonts w:hint="eastAsia" w:ascii="宋体" w:hAnsi="宋体" w:cs="宋体"/>
          <w:sz w:val="24"/>
          <w:szCs w:val="20"/>
        </w:rPr>
        <w:t>______</w:t>
      </w:r>
    </w:p>
    <w:p>
      <w:pPr>
        <w:spacing w:line="360" w:lineRule="auto"/>
        <w:ind w:firstLine="480"/>
        <w:rPr>
          <w:rFonts w:ascii="宋体" w:hAnsi="宋体" w:cs="宋体"/>
          <w:sz w:val="24"/>
        </w:rPr>
      </w:pPr>
      <w:r>
        <w:rPr>
          <w:rFonts w:hint="eastAsia" w:ascii="宋体" w:hAnsi="宋体" w:cs="宋体"/>
          <w:sz w:val="24"/>
        </w:rPr>
        <w:t>盖章：</w:t>
      </w:r>
      <w:r>
        <w:rPr>
          <w:rFonts w:hint="eastAsia" w:ascii="宋体" w:hAnsi="宋体" w:cs="宋体"/>
          <w:sz w:val="24"/>
          <w:szCs w:val="20"/>
        </w:rPr>
        <w:t>______</w:t>
      </w:r>
      <w:r>
        <w:rPr>
          <w:rFonts w:hint="eastAsia" w:ascii="宋体" w:hAnsi="宋体" w:cs="宋体"/>
          <w:sz w:val="24"/>
        </w:rPr>
        <w:t xml:space="preserve">                           盖章：</w:t>
      </w:r>
      <w:r>
        <w:rPr>
          <w:rFonts w:hint="eastAsia" w:ascii="宋体" w:hAnsi="宋体" w:cs="宋体"/>
          <w:sz w:val="24"/>
          <w:szCs w:val="20"/>
        </w:rPr>
        <w:t>______</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联合体成员名称：</w:t>
      </w:r>
      <w:r>
        <w:rPr>
          <w:rFonts w:hint="eastAsia" w:ascii="宋体" w:hAnsi="宋体" w:cs="宋体"/>
          <w:sz w:val="24"/>
          <w:szCs w:val="20"/>
        </w:rPr>
        <w:t>______</w:t>
      </w:r>
    </w:p>
    <w:p>
      <w:pPr>
        <w:spacing w:line="360" w:lineRule="auto"/>
        <w:ind w:firstLine="480"/>
        <w:rPr>
          <w:rFonts w:ascii="宋体" w:hAnsi="宋体" w:cs="宋体"/>
          <w:sz w:val="24"/>
        </w:rPr>
      </w:pPr>
      <w:r>
        <w:rPr>
          <w:rFonts w:hint="eastAsia" w:ascii="宋体" w:hAnsi="宋体" w:cs="宋体"/>
          <w:sz w:val="24"/>
        </w:rPr>
        <w:t>盖章：</w:t>
      </w:r>
      <w:r>
        <w:rPr>
          <w:rFonts w:hint="eastAsia" w:ascii="宋体" w:hAnsi="宋体" w:cs="宋体"/>
          <w:sz w:val="24"/>
          <w:szCs w:val="20"/>
        </w:rPr>
        <w:t>______</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left="480"/>
        <w:jc w:val="right"/>
        <w:rPr>
          <w:rFonts w:ascii="宋体" w:hAnsi="宋体" w:cs="宋体"/>
          <w:sz w:val="24"/>
        </w:rPr>
      </w:pPr>
    </w:p>
    <w:p>
      <w:pPr>
        <w:spacing w:line="360" w:lineRule="auto"/>
        <w:ind w:left="480"/>
        <w:jc w:val="right"/>
        <w:rPr>
          <w:rFonts w:ascii="宋体" w:hAnsi="宋体" w:cs="宋体"/>
          <w:sz w:val="24"/>
        </w:rPr>
      </w:pPr>
      <w:r>
        <w:rPr>
          <w:rFonts w:hint="eastAsia" w:ascii="宋体" w:hAnsi="宋体" w:cs="宋体"/>
          <w:sz w:val="24"/>
          <w:szCs w:val="20"/>
        </w:rPr>
        <w:t>日期：_____年______月______日</w:t>
      </w:r>
    </w:p>
    <w:p>
      <w:pPr>
        <w:spacing w:line="360" w:lineRule="auto"/>
        <w:ind w:left="480" w:firstLine="482"/>
        <w:jc w:val="right"/>
        <w:rPr>
          <w:rFonts w:ascii="宋体" w:hAnsi="宋体" w:cs="宋体"/>
          <w:b/>
          <w:sz w:val="24"/>
        </w:rPr>
      </w:pPr>
    </w:p>
    <w:p>
      <w:pPr>
        <w:tabs>
          <w:tab w:val="left" w:pos="8280"/>
        </w:tabs>
        <w:spacing w:line="360" w:lineRule="auto"/>
        <w:ind w:firstLine="480"/>
        <w:rPr>
          <w:rFonts w:ascii="宋体" w:hAnsi="宋体" w:cs="宋体"/>
          <w:sz w:val="24"/>
        </w:rPr>
      </w:pPr>
    </w:p>
    <w:p>
      <w:pPr>
        <w:tabs>
          <w:tab w:val="left" w:pos="8280"/>
        </w:tabs>
        <w:spacing w:line="360" w:lineRule="auto"/>
        <w:ind w:firstLine="480"/>
        <w:rPr>
          <w:rFonts w:ascii="宋体" w:hAnsi="宋体" w:cs="宋体"/>
          <w:sz w:val="24"/>
        </w:rPr>
      </w:pPr>
    </w:p>
    <w:p>
      <w:pPr>
        <w:spacing w:line="360" w:lineRule="auto"/>
        <w:ind w:left="719" w:leftChars="228" w:hanging="240" w:hangingChars="100"/>
        <w:rPr>
          <w:rFonts w:ascii="宋体" w:hAnsi="宋体" w:cs="宋体"/>
          <w:sz w:val="24"/>
        </w:rPr>
      </w:pPr>
      <w:r>
        <w:rPr>
          <w:rFonts w:hint="eastAsia" w:ascii="宋体" w:hAnsi="宋体" w:cs="宋体"/>
          <w:sz w:val="24"/>
        </w:rPr>
        <w:t>注：联合体各方成员应在本协议上共同盖章，不得分别签署协议书。</w:t>
      </w:r>
    </w:p>
    <w:p>
      <w:pPr>
        <w:spacing w:line="360" w:lineRule="auto"/>
        <w:ind w:left="719" w:leftChars="228" w:hanging="240" w:hangingChars="100"/>
        <w:rPr>
          <w:rFonts w:ascii="宋体" w:hAnsi="宋体" w:cs="宋体"/>
          <w:sz w:val="24"/>
        </w:rPr>
      </w:pPr>
      <w:r>
        <w:rPr>
          <w:rFonts w:hint="eastAsia" w:ascii="宋体" w:hAnsi="宋体" w:cs="宋体"/>
          <w:sz w:val="24"/>
        </w:rPr>
        <w:br w:type="page"/>
      </w:r>
    </w:p>
    <w:p>
      <w:pPr>
        <w:pStyle w:val="4"/>
        <w:spacing w:line="360" w:lineRule="auto"/>
        <w:ind w:firstLine="482"/>
        <w:rPr>
          <w:rFonts w:ascii="宋体" w:hAnsi="宋体" w:cs="宋体"/>
          <w:b/>
          <w:bCs/>
          <w:sz w:val="24"/>
          <w:szCs w:val="24"/>
        </w:rPr>
      </w:pPr>
      <w:bookmarkStart w:id="620" w:name="_Toc100786165"/>
      <w:r>
        <w:rPr>
          <w:rFonts w:hint="eastAsia" w:ascii="宋体" w:hAnsi="宋体" w:cs="宋体"/>
          <w:b/>
          <w:bCs/>
          <w:sz w:val="24"/>
          <w:szCs w:val="24"/>
        </w:rPr>
        <w:t>6-5-3  其他特定资格要求</w:t>
      </w:r>
      <w:bookmarkEnd w:id="620"/>
      <w:r>
        <w:rPr>
          <w:rFonts w:hint="eastAsia" w:ascii="宋体" w:hAnsi="宋体" w:cs="宋体"/>
          <w:b/>
          <w:bCs/>
          <w:sz w:val="24"/>
          <w:szCs w:val="24"/>
        </w:rPr>
        <w:t>（</w:t>
      </w:r>
      <w:r>
        <w:rPr>
          <w:rFonts w:hint="eastAsia" w:ascii="宋体" w:hAnsi="宋体" w:cs="宋体"/>
          <w:b/>
          <w:bCs/>
          <w:sz w:val="24"/>
          <w:szCs w:val="24"/>
          <w:lang w:val="en-US"/>
        </w:rPr>
        <w:t>如有</w:t>
      </w:r>
      <w:r>
        <w:rPr>
          <w:rFonts w:hint="eastAsia" w:ascii="宋体" w:hAnsi="宋体" w:cs="宋体"/>
          <w:b/>
          <w:bCs/>
          <w:sz w:val="24"/>
          <w:szCs w:val="24"/>
        </w:rPr>
        <w:t>）</w:t>
      </w:r>
    </w:p>
    <w:p>
      <w:pPr>
        <w:ind w:firstLine="420"/>
        <w:rPr>
          <w:rFonts w:ascii="宋体" w:hAnsi="宋体" w:cs="宋体"/>
        </w:rPr>
      </w:pPr>
      <w:r>
        <w:rPr>
          <w:rFonts w:hint="eastAsia" w:ascii="宋体" w:hAnsi="宋体" w:cs="宋体"/>
        </w:rPr>
        <w:br w:type="page"/>
      </w:r>
    </w:p>
    <w:p>
      <w:pPr>
        <w:pStyle w:val="4"/>
        <w:spacing w:line="360" w:lineRule="auto"/>
        <w:ind w:firstLine="482"/>
        <w:rPr>
          <w:rFonts w:ascii="宋体" w:hAnsi="宋体" w:cs="宋体"/>
          <w:sz w:val="24"/>
        </w:rPr>
      </w:pPr>
      <w:r>
        <w:rPr>
          <w:rFonts w:hint="eastAsia" w:ascii="宋体" w:hAnsi="宋体" w:cs="宋体"/>
          <w:b/>
          <w:bCs/>
          <w:sz w:val="24"/>
          <w:szCs w:val="24"/>
        </w:rPr>
        <w:t>6-5-4  投标保证金凭证/交款单据电子件</w:t>
      </w:r>
      <w:bookmarkEnd w:id="605"/>
      <w:bookmarkEnd w:id="606"/>
      <w:bookmarkEnd w:id="607"/>
      <w:bookmarkEnd w:id="608"/>
      <w:bookmarkEnd w:id="609"/>
      <w:bookmarkEnd w:id="610"/>
      <w:bookmarkEnd w:id="611"/>
      <w:bookmarkEnd w:id="612"/>
      <w:bookmarkEnd w:id="613"/>
      <w:bookmarkEnd w:id="614"/>
      <w:bookmarkEnd w:id="615"/>
      <w:bookmarkEnd w:id="616"/>
      <w:bookmarkEnd w:id="617"/>
    </w:p>
    <w:p>
      <w:pPr>
        <w:ind w:firstLine="420"/>
        <w:rPr>
          <w:rFonts w:ascii="宋体" w:hAnsi="宋体" w:cs="宋体"/>
          <w:szCs w:val="28"/>
        </w:rPr>
      </w:pPr>
      <w:bookmarkStart w:id="621" w:name="_Toc12968"/>
      <w:bookmarkStart w:id="622" w:name="_Toc100786166"/>
      <w:r>
        <w:rPr>
          <w:rFonts w:hint="eastAsia" w:ascii="宋体" w:hAnsi="宋体" w:cs="宋体"/>
          <w:szCs w:val="28"/>
        </w:rPr>
        <w:br w:type="page"/>
      </w:r>
    </w:p>
    <w:p>
      <w:pPr>
        <w:pStyle w:val="3"/>
        <w:spacing w:line="360" w:lineRule="auto"/>
        <w:ind w:left="0" w:firstLine="562"/>
        <w:rPr>
          <w:rFonts w:ascii="宋体" w:hAnsi="宋体"/>
          <w:szCs w:val="28"/>
        </w:rPr>
      </w:pPr>
      <w:r>
        <w:rPr>
          <w:rFonts w:hint="eastAsia" w:ascii="宋体" w:hAnsi="宋体"/>
          <w:szCs w:val="28"/>
        </w:rPr>
        <w:t>附件7  政府采购投标担保函</w:t>
      </w:r>
      <w:bookmarkEnd w:id="621"/>
      <w:bookmarkEnd w:id="622"/>
    </w:p>
    <w:p>
      <w:pPr>
        <w:spacing w:line="360" w:lineRule="auto"/>
        <w:ind w:firstLine="482"/>
        <w:jc w:val="center"/>
        <w:rPr>
          <w:rFonts w:ascii="宋体" w:hAnsi="宋体" w:cs="宋体"/>
          <w:b/>
          <w:sz w:val="24"/>
          <w:szCs w:val="24"/>
          <w:lang w:val="zh-CN"/>
        </w:rPr>
      </w:pPr>
    </w:p>
    <w:p>
      <w:pPr>
        <w:spacing w:line="360" w:lineRule="auto"/>
        <w:ind w:firstLine="482"/>
        <w:jc w:val="center"/>
        <w:rPr>
          <w:rFonts w:ascii="宋体" w:hAnsi="宋体" w:cs="宋体"/>
          <w:b/>
          <w:sz w:val="24"/>
          <w:szCs w:val="24"/>
        </w:rPr>
      </w:pPr>
      <w:r>
        <w:rPr>
          <w:rFonts w:hint="eastAsia" w:ascii="宋体" w:hAnsi="宋体" w:cs="宋体"/>
          <w:b/>
          <w:sz w:val="24"/>
          <w:szCs w:val="24"/>
        </w:rPr>
        <w:t>政府采购投标担保函（项目用）</w:t>
      </w:r>
    </w:p>
    <w:p>
      <w:pPr>
        <w:spacing w:line="360" w:lineRule="auto"/>
        <w:jc w:val="right"/>
        <w:rPr>
          <w:rFonts w:ascii="宋体" w:hAnsi="宋体" w:cs="宋体"/>
          <w:sz w:val="24"/>
          <w:szCs w:val="24"/>
        </w:rPr>
      </w:pPr>
      <w:r>
        <w:rPr>
          <w:rFonts w:hint="eastAsia" w:ascii="宋体" w:hAnsi="宋体" w:cs="宋体"/>
          <w:sz w:val="24"/>
          <w:szCs w:val="24"/>
        </w:rPr>
        <w:t>编号：</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（采购人或采购代理机构）：</w:t>
      </w: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u w:val="single"/>
        </w:rPr>
      </w:pPr>
      <w:r>
        <w:rPr>
          <w:rFonts w:hint="eastAsia" w:ascii="宋体" w:hAnsi="宋体" w:cs="宋体"/>
          <w:sz w:val="24"/>
          <w:szCs w:val="24"/>
        </w:rPr>
        <w:t>鉴于（以下简称“投标人”）拟参加编号为</w:t>
      </w:r>
    </w:p>
    <w:p>
      <w:pPr>
        <w:spacing w:line="360" w:lineRule="auto"/>
        <w:rPr>
          <w:rFonts w:ascii="宋体" w:hAnsi="宋体" w:cs="宋体"/>
          <w:sz w:val="24"/>
          <w:szCs w:val="24"/>
        </w:rPr>
      </w:pPr>
      <w:r>
        <w:rPr>
          <w:rFonts w:hint="eastAsia" w:ascii="宋体" w:hAnsi="宋体" w:cs="宋体"/>
          <w:sz w:val="24"/>
          <w:szCs w:val="24"/>
        </w:rPr>
        <w:t>的项目（以下简称“本项目”）投标，根据本项目招标文件，投标人参加投标时应向你方交纳投标保证金，且可以投标担保函的形式交纳投标保证金。应投标人的申请，我方以保证的方式向你方提供如下投标保证金担保：</w:t>
      </w:r>
    </w:p>
    <w:p>
      <w:pPr>
        <w:spacing w:line="360" w:lineRule="auto"/>
        <w:ind w:firstLine="480" w:firstLineChars="200"/>
        <w:rPr>
          <w:rFonts w:ascii="宋体" w:hAnsi="宋体" w:cs="宋体"/>
          <w:sz w:val="24"/>
          <w:szCs w:val="24"/>
        </w:rPr>
      </w:pPr>
      <w:r>
        <w:rPr>
          <w:rFonts w:hint="eastAsia" w:ascii="宋体" w:hAnsi="宋体" w:cs="宋体"/>
          <w:sz w:val="24"/>
          <w:szCs w:val="24"/>
        </w:rPr>
        <w:t>一、保证责任的情形及保证金额</w:t>
      </w:r>
    </w:p>
    <w:p>
      <w:pPr>
        <w:spacing w:line="360" w:lineRule="auto"/>
        <w:ind w:firstLine="240" w:firstLineChars="100"/>
        <w:rPr>
          <w:rFonts w:ascii="宋体" w:hAnsi="宋体" w:cs="宋体"/>
          <w:sz w:val="24"/>
          <w:szCs w:val="24"/>
        </w:rPr>
      </w:pPr>
      <w:r>
        <w:rPr>
          <w:rFonts w:hint="eastAsia" w:ascii="宋体" w:hAnsi="宋体" w:cs="宋体"/>
          <w:sz w:val="24"/>
          <w:szCs w:val="24"/>
        </w:rPr>
        <w:t>（一）在投标人出现下列情形之一时，我方承担保证责任：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1．中标后投标人无正当理由不与采购人或者采购代理机构签订《政府采购合同》；</w:t>
      </w:r>
    </w:p>
    <w:p>
      <w:pPr>
        <w:spacing w:line="360" w:lineRule="auto"/>
        <w:ind w:firstLine="480" w:firstLineChars="200"/>
        <w:rPr>
          <w:rFonts w:ascii="宋体" w:hAnsi="宋体" w:cs="宋体"/>
          <w:sz w:val="24"/>
          <w:szCs w:val="24"/>
        </w:rPr>
      </w:pPr>
      <w:r>
        <w:rPr>
          <w:rFonts w:hint="eastAsia" w:ascii="宋体" w:hAnsi="宋体" w:cs="宋体"/>
          <w:sz w:val="24"/>
          <w:szCs w:val="24"/>
        </w:rPr>
        <w:t>2．招标文件规定的投标人应当缴纳保证金的其他情形。</w:t>
      </w:r>
    </w:p>
    <w:p>
      <w:pPr>
        <w:spacing w:line="360" w:lineRule="auto"/>
        <w:ind w:firstLine="240" w:firstLineChars="100"/>
        <w:rPr>
          <w:rFonts w:ascii="宋体" w:hAnsi="宋体" w:cs="宋体"/>
          <w:sz w:val="24"/>
          <w:szCs w:val="24"/>
        </w:rPr>
      </w:pPr>
      <w:r>
        <w:rPr>
          <w:rFonts w:hint="eastAsia" w:ascii="宋体" w:hAnsi="宋体" w:cs="宋体"/>
          <w:sz w:val="24"/>
          <w:szCs w:val="24"/>
        </w:rPr>
        <w:t>（二）我方承担保证责任的最高金额为人民币元（大写），即本项目的投标保证金金额。</w:t>
      </w:r>
    </w:p>
    <w:p>
      <w:pPr>
        <w:spacing w:line="360" w:lineRule="auto"/>
        <w:ind w:firstLine="480" w:firstLineChars="200"/>
        <w:rPr>
          <w:rFonts w:ascii="宋体" w:hAnsi="宋体" w:cs="宋体"/>
          <w:sz w:val="24"/>
          <w:szCs w:val="24"/>
        </w:rPr>
      </w:pPr>
      <w:r>
        <w:rPr>
          <w:rFonts w:hint="eastAsia" w:ascii="宋体" w:hAnsi="宋体" w:cs="宋体"/>
          <w:sz w:val="24"/>
          <w:szCs w:val="24"/>
        </w:rPr>
        <w:t>二、保证的方式及保证期间</w:t>
      </w:r>
    </w:p>
    <w:p>
      <w:pPr>
        <w:spacing w:line="360" w:lineRule="auto"/>
        <w:ind w:firstLine="480" w:firstLineChars="200"/>
        <w:rPr>
          <w:rFonts w:ascii="宋体" w:hAnsi="宋体" w:cs="宋体"/>
          <w:sz w:val="24"/>
          <w:szCs w:val="24"/>
        </w:rPr>
      </w:pPr>
      <w:r>
        <w:rPr>
          <w:rFonts w:hint="eastAsia" w:ascii="宋体" w:hAnsi="宋体" w:cs="宋体"/>
          <w:sz w:val="24"/>
          <w:szCs w:val="24"/>
        </w:rPr>
        <w:t>我方保证的方式为：连带责任保证。</w:t>
      </w:r>
    </w:p>
    <w:p>
      <w:pPr>
        <w:spacing w:line="360" w:lineRule="auto"/>
        <w:ind w:firstLine="480" w:firstLineChars="200"/>
        <w:rPr>
          <w:rFonts w:ascii="宋体" w:hAnsi="宋体" w:cs="宋体"/>
          <w:sz w:val="24"/>
          <w:szCs w:val="24"/>
        </w:rPr>
      </w:pPr>
      <w:r>
        <w:rPr>
          <w:rFonts w:hint="eastAsia" w:ascii="宋体" w:hAnsi="宋体" w:cs="宋体"/>
          <w:sz w:val="24"/>
          <w:szCs w:val="24"/>
        </w:rPr>
        <w:t>我方的保证期间为：自本保函生效之日起个月止。</w:t>
      </w:r>
    </w:p>
    <w:p>
      <w:pPr>
        <w:spacing w:line="360" w:lineRule="auto"/>
        <w:ind w:firstLine="480" w:firstLineChars="200"/>
        <w:rPr>
          <w:rFonts w:ascii="宋体" w:hAnsi="宋体" w:cs="宋体"/>
          <w:sz w:val="24"/>
          <w:szCs w:val="24"/>
        </w:rPr>
      </w:pPr>
      <w:r>
        <w:rPr>
          <w:rFonts w:hint="eastAsia" w:ascii="宋体" w:hAnsi="宋体" w:cs="宋体"/>
          <w:sz w:val="24"/>
          <w:szCs w:val="24"/>
        </w:rPr>
        <w:t>三、承担保证责任的程序</w:t>
      </w:r>
    </w:p>
    <w:p>
      <w:pPr>
        <w:spacing w:line="360" w:lineRule="auto"/>
        <w:ind w:firstLine="480" w:firstLineChars="200"/>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80" w:firstLineChars="200"/>
        <w:rPr>
          <w:rFonts w:ascii="宋体" w:hAnsi="宋体" w:cs="宋体"/>
          <w:sz w:val="24"/>
          <w:szCs w:val="24"/>
        </w:rPr>
      </w:pPr>
      <w:r>
        <w:rPr>
          <w:rFonts w:hint="eastAsia" w:ascii="宋体" w:hAnsi="宋体" w:cs="宋体"/>
          <w:sz w:val="24"/>
          <w:szCs w:val="24"/>
        </w:rPr>
        <w:t>2．我方在收到索赔通知及相关证明材料后，在</w:t>
      </w:r>
      <w:r>
        <w:rPr>
          <w:rFonts w:hint="eastAsia" w:ascii="宋体" w:hAnsi="宋体" w:cs="宋体"/>
          <w:sz w:val="24"/>
          <w:szCs w:val="24"/>
          <w:u w:val="single"/>
        </w:rPr>
        <w:t>　　　</w:t>
      </w:r>
      <w:r>
        <w:rPr>
          <w:rFonts w:hint="eastAsia" w:ascii="宋体" w:hAnsi="宋体" w:cs="宋体"/>
          <w:sz w:val="24"/>
          <w:szCs w:val="24"/>
        </w:rPr>
        <w:t>个工作日内进行审查，符合应承担保证责任情形的，我方应按照你方的要求代投标人向你方支付投标保证金。</w:t>
      </w:r>
    </w:p>
    <w:p>
      <w:pPr>
        <w:spacing w:line="360" w:lineRule="auto"/>
        <w:ind w:firstLine="480" w:firstLineChars="200"/>
        <w:rPr>
          <w:rFonts w:ascii="宋体" w:hAnsi="宋体" w:cs="宋体"/>
          <w:sz w:val="24"/>
          <w:szCs w:val="24"/>
        </w:rPr>
      </w:pPr>
      <w:r>
        <w:rPr>
          <w:rFonts w:hint="eastAsia" w:ascii="宋体" w:hAnsi="宋体" w:cs="宋体"/>
          <w:sz w:val="24"/>
          <w:szCs w:val="24"/>
        </w:rPr>
        <w:t>四、保证责任的终止</w:t>
      </w:r>
    </w:p>
    <w:p>
      <w:pPr>
        <w:spacing w:line="360" w:lineRule="auto"/>
        <w:ind w:firstLine="480" w:firstLineChars="200"/>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w:t>
      </w:r>
    </w:p>
    <w:p>
      <w:pPr>
        <w:spacing w:line="360" w:lineRule="auto"/>
        <w:ind w:firstLine="480" w:firstLineChars="200"/>
        <w:rPr>
          <w:rFonts w:ascii="宋体" w:hAnsi="宋体" w:cs="宋体"/>
          <w:sz w:val="24"/>
          <w:szCs w:val="24"/>
        </w:rPr>
      </w:pPr>
      <w:r>
        <w:rPr>
          <w:rFonts w:hint="eastAsia" w:ascii="宋体" w:hAnsi="宋体" w:cs="宋体"/>
          <w:sz w:val="24"/>
          <w:szCs w:val="24"/>
        </w:rPr>
        <w:t>2．我方按照本保函向你贵方履行了保证责任后，自我方向你贵方支付款项（支付款项从我方账户划出）之日起，保证责任终止。</w:t>
      </w:r>
    </w:p>
    <w:p>
      <w:pPr>
        <w:spacing w:line="360" w:lineRule="auto"/>
        <w:ind w:firstLine="480" w:firstLineChars="200"/>
        <w:rPr>
          <w:rFonts w:ascii="宋体" w:hAnsi="宋体" w:cs="宋体"/>
          <w:sz w:val="24"/>
          <w:szCs w:val="24"/>
        </w:rPr>
      </w:pPr>
      <w:r>
        <w:rPr>
          <w:rFonts w:hint="eastAsia" w:ascii="宋体" w:hAnsi="宋体" w:cs="宋体"/>
          <w:sz w:val="24"/>
          <w:szCs w:val="24"/>
        </w:rPr>
        <w:t>3．按照法律法规的规定或出现我方保证责任终止的其它情形的，我方在本保函项下的保证责任亦终止。</w:t>
      </w:r>
    </w:p>
    <w:p>
      <w:pPr>
        <w:spacing w:line="360" w:lineRule="auto"/>
        <w:ind w:firstLine="480" w:firstLineChars="200"/>
        <w:rPr>
          <w:rFonts w:ascii="宋体" w:hAnsi="宋体" w:cs="宋体"/>
          <w:sz w:val="24"/>
          <w:szCs w:val="24"/>
        </w:rPr>
      </w:pPr>
      <w:r>
        <w:rPr>
          <w:rFonts w:hint="eastAsia" w:ascii="宋体" w:hAnsi="宋体" w:cs="宋体"/>
          <w:sz w:val="24"/>
          <w:szCs w:val="24"/>
        </w:rPr>
        <w:t>五、免责条款</w:t>
      </w:r>
    </w:p>
    <w:p>
      <w:pPr>
        <w:spacing w:line="360" w:lineRule="auto"/>
        <w:ind w:firstLine="480" w:firstLineChars="200"/>
        <w:rPr>
          <w:rFonts w:ascii="宋体" w:hAnsi="宋体" w:cs="宋体"/>
          <w:sz w:val="24"/>
          <w:szCs w:val="24"/>
        </w:rPr>
      </w:pPr>
      <w:r>
        <w:rPr>
          <w:rFonts w:hint="eastAsia" w:ascii="宋体" w:hAnsi="宋体" w:cs="宋体"/>
          <w:sz w:val="24"/>
          <w:szCs w:val="24"/>
        </w:rPr>
        <w:t>1．依照法律规定或你方与投标人的另行约定，全部或者部分免除投标人投标保证金义务时，我方亦免除相应的保证责任。</w:t>
      </w:r>
    </w:p>
    <w:p>
      <w:pPr>
        <w:spacing w:line="360" w:lineRule="auto"/>
        <w:ind w:firstLine="480" w:firstLineChars="200"/>
        <w:rPr>
          <w:rFonts w:ascii="宋体" w:hAnsi="宋体" w:cs="宋体"/>
          <w:sz w:val="24"/>
          <w:szCs w:val="24"/>
        </w:rPr>
      </w:pPr>
      <w:r>
        <w:rPr>
          <w:rFonts w:hint="eastAsia" w:ascii="宋体" w:hAnsi="宋体" w:cs="宋体"/>
          <w:sz w:val="24"/>
          <w:szCs w:val="24"/>
        </w:rPr>
        <w:t>2．因你方原因致使投标人发生本保函第一条第（一）款约定情形的，我方不承担保证责任。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3．因不可抗力造成投标人发生本保函第一条约定情形的，我方不承担保证责任。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4．你方或其他有权机关对招标文件进行任何澄清或修改，加重我方保证责任的，我方对加重部分不承担保证责任，但该澄清或修改经我方事先书面同意的除外。</w:t>
      </w:r>
    </w:p>
    <w:p>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pPr>
        <w:spacing w:line="360" w:lineRule="auto"/>
        <w:ind w:firstLine="480" w:firstLineChars="200"/>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pPr>
        <w:spacing w:line="360" w:lineRule="auto"/>
        <w:ind w:firstLine="480" w:firstLineChars="200"/>
        <w:rPr>
          <w:rFonts w:ascii="宋体" w:hAnsi="宋体" w:cs="宋体"/>
          <w:sz w:val="24"/>
          <w:szCs w:val="24"/>
        </w:rPr>
      </w:pPr>
      <w:r>
        <w:rPr>
          <w:rFonts w:hint="eastAsia" w:ascii="宋体" w:hAnsi="宋体" w:cs="宋体"/>
          <w:sz w:val="24"/>
          <w:szCs w:val="24"/>
        </w:rPr>
        <w:t>七、保函的生效</w:t>
      </w:r>
    </w:p>
    <w:p>
      <w:pPr>
        <w:spacing w:line="360" w:lineRule="auto"/>
        <w:ind w:firstLine="480" w:firstLineChars="200"/>
        <w:rPr>
          <w:rFonts w:ascii="宋体" w:hAnsi="宋体" w:cs="宋体"/>
          <w:sz w:val="24"/>
          <w:szCs w:val="24"/>
        </w:rPr>
      </w:pPr>
      <w:r>
        <w:rPr>
          <w:rFonts w:hint="eastAsia" w:ascii="宋体" w:hAnsi="宋体" w:cs="宋体"/>
          <w:sz w:val="24"/>
          <w:szCs w:val="24"/>
        </w:rPr>
        <w:t>本保函自我方加盖公章之日起生效。</w:t>
      </w:r>
    </w:p>
    <w:p>
      <w:pPr>
        <w:spacing w:line="360" w:lineRule="auto"/>
        <w:rPr>
          <w:rFonts w:ascii="宋体" w:hAnsi="宋体" w:cs="宋体"/>
          <w:sz w:val="24"/>
          <w:szCs w:val="24"/>
        </w:rPr>
      </w:pPr>
    </w:p>
    <w:p>
      <w:pPr>
        <w:spacing w:line="360" w:lineRule="auto"/>
        <w:ind w:firstLine="3840" w:firstLineChars="1600"/>
        <w:rPr>
          <w:rFonts w:ascii="宋体" w:hAnsi="宋体" w:cs="宋体"/>
          <w:sz w:val="24"/>
          <w:szCs w:val="24"/>
        </w:rPr>
      </w:pPr>
      <w:r>
        <w:rPr>
          <w:rFonts w:hint="eastAsia" w:ascii="宋体" w:hAnsi="宋体" w:cs="宋体"/>
          <w:sz w:val="24"/>
          <w:szCs w:val="24"/>
        </w:rPr>
        <w:t>保证人：（公章）</w:t>
      </w:r>
    </w:p>
    <w:p>
      <w:pPr>
        <w:spacing w:line="360" w:lineRule="auto"/>
        <w:ind w:firstLine="6600" w:firstLineChars="2750"/>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 xml:space="preserve">                                   年    月    日</w:t>
      </w:r>
    </w:p>
    <w:p>
      <w:pPr>
        <w:tabs>
          <w:tab w:val="left" w:pos="5580"/>
        </w:tabs>
        <w:adjustRightInd w:val="0"/>
        <w:snapToGrid w:val="0"/>
        <w:spacing w:line="360" w:lineRule="auto"/>
        <w:ind w:firstLine="1850" w:firstLineChars="771"/>
        <w:rPr>
          <w:rFonts w:ascii="宋体" w:hAnsi="宋体" w:cs="宋体"/>
          <w:bCs/>
          <w:sz w:val="24"/>
          <w:szCs w:val="24"/>
        </w:rPr>
      </w:pPr>
    </w:p>
    <w:p>
      <w:pPr>
        <w:pStyle w:val="3"/>
        <w:spacing w:line="360" w:lineRule="auto"/>
        <w:ind w:left="0" w:firstLine="482"/>
        <w:rPr>
          <w:rFonts w:ascii="宋体" w:hAnsi="宋体"/>
          <w:b w:val="0"/>
          <w:sz w:val="24"/>
          <w:szCs w:val="24"/>
        </w:rPr>
      </w:pPr>
      <w:r>
        <w:rPr>
          <w:rFonts w:hint="eastAsia" w:ascii="宋体" w:hAnsi="宋体"/>
          <w:sz w:val="24"/>
          <w:szCs w:val="24"/>
        </w:rPr>
        <w:br w:type="page"/>
      </w:r>
      <w:bookmarkStart w:id="623" w:name="_Toc4276"/>
      <w:bookmarkStart w:id="624" w:name="_Toc100786167"/>
      <w:r>
        <w:rPr>
          <w:rFonts w:hint="eastAsia" w:ascii="宋体" w:hAnsi="宋体"/>
          <w:szCs w:val="28"/>
        </w:rPr>
        <w:t>附件8  履约保证金保函格式</w:t>
      </w:r>
      <w:bookmarkEnd w:id="623"/>
      <w:r>
        <w:rPr>
          <w:rFonts w:hint="eastAsia" w:ascii="宋体" w:hAnsi="宋体"/>
          <w:szCs w:val="28"/>
        </w:rPr>
        <w:t>（本项目不适用）</w:t>
      </w:r>
      <w:bookmarkEnd w:id="624"/>
    </w:p>
    <w:p>
      <w:pPr>
        <w:spacing w:line="360" w:lineRule="auto"/>
        <w:ind w:firstLine="482"/>
        <w:jc w:val="center"/>
        <w:rPr>
          <w:rFonts w:ascii="宋体" w:hAnsi="宋体" w:cs="宋体"/>
          <w:b/>
          <w:sz w:val="24"/>
          <w:szCs w:val="24"/>
        </w:rPr>
      </w:pPr>
      <w:r>
        <w:rPr>
          <w:rFonts w:hint="eastAsia" w:ascii="宋体" w:hAnsi="宋体" w:cs="宋体"/>
          <w:b/>
          <w:sz w:val="24"/>
          <w:szCs w:val="24"/>
        </w:rPr>
        <w:t>政府采购履约担保函（项目用）</w:t>
      </w:r>
    </w:p>
    <w:p>
      <w:pPr>
        <w:spacing w:line="360" w:lineRule="auto"/>
        <w:rPr>
          <w:rFonts w:ascii="宋体" w:hAnsi="宋体" w:cs="宋体"/>
          <w:sz w:val="24"/>
          <w:szCs w:val="24"/>
        </w:rPr>
      </w:pPr>
      <w:r>
        <w:rPr>
          <w:rFonts w:hint="eastAsia" w:ascii="宋体" w:hAnsi="宋体" w:cs="宋体"/>
          <w:sz w:val="24"/>
          <w:szCs w:val="24"/>
        </w:rPr>
        <w:t xml:space="preserve">                                                 编号：</w:t>
      </w:r>
    </w:p>
    <w:p>
      <w:pPr>
        <w:spacing w:line="360" w:lineRule="auto"/>
        <w:rPr>
          <w:rFonts w:ascii="宋体" w:hAnsi="宋体" w:cs="宋体"/>
          <w:sz w:val="24"/>
          <w:szCs w:val="24"/>
        </w:rPr>
      </w:pPr>
      <w:r>
        <w:rPr>
          <w:rFonts w:hint="eastAsia" w:ascii="宋体" w:hAnsi="宋体" w:cs="宋体"/>
          <w:sz w:val="24"/>
          <w:szCs w:val="24"/>
        </w:rPr>
        <w:t>（采购人）：</w:t>
      </w:r>
    </w:p>
    <w:p>
      <w:pPr>
        <w:spacing w:line="360" w:lineRule="auto"/>
        <w:ind w:firstLine="480" w:firstLineChars="200"/>
        <w:rPr>
          <w:rFonts w:ascii="宋体" w:hAnsi="宋体" w:cs="宋体"/>
          <w:sz w:val="24"/>
          <w:szCs w:val="24"/>
        </w:rPr>
      </w:pPr>
      <w:r>
        <w:rPr>
          <w:rFonts w:hint="eastAsia" w:ascii="宋体" w:hAnsi="宋体" w:cs="宋体"/>
          <w:sz w:val="24"/>
          <w:szCs w:val="24"/>
        </w:rPr>
        <w:t>鉴于你方与（以下简称供应商）于年月日签定编号为的《政府采购合同》（以下简称主合同），且依据该合同的约定，供应商应在年月日前向你方交纳履约保证金，且可以履约担保函的形式交纳履约保证金。应投标人的申请，我方以保证的方式向你方提供如下履约保证金担保：</w:t>
      </w:r>
    </w:p>
    <w:p>
      <w:pPr>
        <w:spacing w:line="360" w:lineRule="auto"/>
        <w:ind w:firstLine="480" w:firstLineChars="200"/>
        <w:rPr>
          <w:rFonts w:ascii="宋体" w:hAnsi="宋体" w:cs="宋体"/>
          <w:sz w:val="24"/>
          <w:szCs w:val="24"/>
        </w:rPr>
      </w:pPr>
      <w:r>
        <w:rPr>
          <w:rFonts w:hint="eastAsia" w:ascii="宋体" w:hAnsi="宋体" w:cs="宋体"/>
          <w:sz w:val="24"/>
          <w:szCs w:val="24"/>
        </w:rPr>
        <w:t>一、保证责任的情形及保证金额</w:t>
      </w:r>
    </w:p>
    <w:p>
      <w:pPr>
        <w:spacing w:line="360" w:lineRule="auto"/>
        <w:ind w:firstLine="480" w:firstLineChars="200"/>
        <w:rPr>
          <w:rFonts w:ascii="宋体" w:hAnsi="宋体" w:cs="宋体"/>
          <w:sz w:val="24"/>
          <w:szCs w:val="24"/>
        </w:rPr>
      </w:pPr>
      <w:r>
        <w:rPr>
          <w:rFonts w:hint="eastAsia" w:ascii="宋体" w:hAnsi="宋体" w:cs="宋体"/>
          <w:sz w:val="24"/>
          <w:szCs w:val="24"/>
        </w:rPr>
        <w:t>（一）在供应商出现下列情形之一时，我方承担保证责任：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1．将中标项目转让给他人，或者在投标文件中未说明，且未经采购招标机构人同意，将中标项目分包给他人的；</w:t>
      </w:r>
    </w:p>
    <w:p>
      <w:pPr>
        <w:spacing w:line="360" w:lineRule="auto"/>
        <w:rPr>
          <w:rFonts w:ascii="宋体" w:hAnsi="宋体" w:cs="宋体"/>
          <w:sz w:val="24"/>
          <w:szCs w:val="24"/>
        </w:rPr>
      </w:pPr>
      <w:r>
        <w:rPr>
          <w:rFonts w:hint="eastAsia" w:ascii="宋体" w:hAnsi="宋体" w:cs="宋体"/>
          <w:sz w:val="24"/>
          <w:szCs w:val="24"/>
        </w:rPr>
        <w:t xml:space="preserve">　　2．主合同约定的应当缴纳履约保证金的情形: </w:t>
      </w:r>
    </w:p>
    <w:p>
      <w:pPr>
        <w:spacing w:line="360" w:lineRule="auto"/>
        <w:ind w:firstLine="480" w:firstLineChars="200"/>
        <w:rPr>
          <w:rFonts w:ascii="宋体" w:hAnsi="宋体" w:cs="宋体"/>
          <w:sz w:val="24"/>
          <w:szCs w:val="24"/>
        </w:rPr>
      </w:pPr>
      <w:r>
        <w:rPr>
          <w:rFonts w:hint="eastAsia" w:ascii="宋体" w:hAnsi="宋体" w:cs="宋体"/>
          <w:sz w:val="24"/>
          <w:szCs w:val="24"/>
        </w:rPr>
        <w:t>（1）未按主合同约定的质量、数量和期限提供货物/服务/完成工程的；</w:t>
      </w:r>
    </w:p>
    <w:p>
      <w:pPr>
        <w:spacing w:line="360" w:lineRule="auto"/>
        <w:ind w:left="210" w:leftChars="100" w:firstLine="240" w:firstLineChars="100"/>
        <w:rPr>
          <w:rFonts w:ascii="宋体" w:hAnsi="宋体" w:cs="宋体"/>
          <w:sz w:val="24"/>
          <w:szCs w:val="24"/>
        </w:rPr>
      </w:pPr>
      <w:r>
        <w:rPr>
          <w:rFonts w:hint="eastAsia" w:ascii="宋体" w:hAnsi="宋体" w:cs="宋体"/>
          <w:sz w:val="24"/>
          <w:szCs w:val="24"/>
        </w:rPr>
        <w:t>（2）。</w:t>
      </w:r>
    </w:p>
    <w:p>
      <w:pPr>
        <w:spacing w:line="360" w:lineRule="auto"/>
        <w:ind w:firstLine="480" w:firstLineChars="200"/>
        <w:rPr>
          <w:rFonts w:ascii="宋体" w:hAnsi="宋体" w:cs="宋体"/>
          <w:sz w:val="24"/>
          <w:szCs w:val="24"/>
        </w:rPr>
      </w:pPr>
      <w:r>
        <w:rPr>
          <w:rFonts w:hint="eastAsia" w:ascii="宋体" w:hAnsi="宋体" w:cs="宋体"/>
          <w:sz w:val="24"/>
          <w:szCs w:val="24"/>
        </w:rPr>
        <w:t>（二）我方的保证范围是主合同约定的合同价款总额的 %数额为元（大写），币种为。（即主合同履约保证金金额）</w:t>
      </w:r>
    </w:p>
    <w:p>
      <w:pPr>
        <w:spacing w:line="360" w:lineRule="auto"/>
        <w:ind w:firstLine="480" w:firstLineChars="200"/>
        <w:rPr>
          <w:rFonts w:ascii="宋体" w:hAnsi="宋体" w:cs="宋体"/>
          <w:sz w:val="24"/>
          <w:szCs w:val="24"/>
        </w:rPr>
      </w:pPr>
      <w:r>
        <w:rPr>
          <w:rFonts w:hint="eastAsia" w:ascii="宋体" w:hAnsi="宋体" w:cs="宋体"/>
          <w:sz w:val="24"/>
          <w:szCs w:val="24"/>
        </w:rPr>
        <w:t>二、保证的方式及保证期间</w:t>
      </w:r>
    </w:p>
    <w:p>
      <w:pPr>
        <w:spacing w:line="360" w:lineRule="auto"/>
        <w:ind w:firstLine="480" w:firstLineChars="200"/>
        <w:rPr>
          <w:rFonts w:ascii="宋体" w:hAnsi="宋体" w:cs="宋体"/>
          <w:sz w:val="24"/>
          <w:szCs w:val="24"/>
        </w:rPr>
      </w:pPr>
      <w:r>
        <w:rPr>
          <w:rFonts w:hint="eastAsia" w:ascii="宋体" w:hAnsi="宋体" w:cs="宋体"/>
          <w:sz w:val="24"/>
          <w:szCs w:val="24"/>
        </w:rPr>
        <w:t>我方保证的方式为：连带责任保证。</w:t>
      </w:r>
    </w:p>
    <w:p>
      <w:pPr>
        <w:spacing w:line="360" w:lineRule="auto"/>
        <w:ind w:firstLine="480" w:firstLineChars="200"/>
        <w:rPr>
          <w:rFonts w:ascii="宋体" w:hAnsi="宋体" w:cs="宋体"/>
          <w:sz w:val="24"/>
          <w:szCs w:val="24"/>
        </w:rPr>
      </w:pPr>
      <w:r>
        <w:rPr>
          <w:rFonts w:hint="eastAsia" w:ascii="宋体" w:hAnsi="宋体" w:cs="宋体"/>
          <w:sz w:val="24"/>
          <w:szCs w:val="24"/>
        </w:rPr>
        <w:t>我方保证的期间为：自本合同生效之日起至供应商按照主合同约定的服务/完工期限届满后日内。</w:t>
      </w:r>
    </w:p>
    <w:p>
      <w:pPr>
        <w:spacing w:line="360" w:lineRule="auto"/>
        <w:ind w:firstLine="480" w:firstLineChars="200"/>
        <w:rPr>
          <w:rFonts w:ascii="宋体" w:hAnsi="宋体" w:cs="宋体"/>
          <w:sz w:val="24"/>
          <w:szCs w:val="24"/>
        </w:rPr>
      </w:pPr>
      <w:r>
        <w:rPr>
          <w:rFonts w:hint="eastAsia" w:ascii="宋体" w:hAnsi="宋体" w:cs="宋体"/>
          <w:sz w:val="24"/>
          <w:szCs w:val="24"/>
        </w:rPr>
        <w:t>如果供应商未按主合同约定向贵方提供货物/服务/完成工程的，由我方在保证金额内向你方支付上述款项。</w:t>
      </w:r>
    </w:p>
    <w:p>
      <w:pPr>
        <w:spacing w:line="360" w:lineRule="auto"/>
        <w:ind w:firstLine="480" w:firstLineChars="200"/>
        <w:rPr>
          <w:rFonts w:ascii="宋体" w:hAnsi="宋体" w:cs="宋体"/>
          <w:sz w:val="24"/>
          <w:szCs w:val="24"/>
        </w:rPr>
      </w:pPr>
      <w:r>
        <w:rPr>
          <w:rFonts w:hint="eastAsia" w:ascii="宋体" w:hAnsi="宋体" w:cs="宋体"/>
          <w:sz w:val="24"/>
          <w:szCs w:val="24"/>
        </w:rPr>
        <w:t>三、承担保证责任的程序</w:t>
      </w:r>
    </w:p>
    <w:p>
      <w:pPr>
        <w:spacing w:line="360" w:lineRule="auto"/>
        <w:ind w:firstLine="480" w:firstLineChars="200"/>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ind w:firstLine="480" w:firstLineChars="200"/>
        <w:rPr>
          <w:rFonts w:ascii="宋体" w:hAnsi="宋体" w:cs="宋体"/>
          <w:sz w:val="24"/>
          <w:szCs w:val="24"/>
        </w:rPr>
      </w:pPr>
      <w:r>
        <w:rPr>
          <w:rFonts w:hint="eastAsia" w:ascii="宋体" w:hAnsi="宋体" w:cs="宋体"/>
          <w:sz w:val="24"/>
          <w:szCs w:val="24"/>
        </w:rPr>
        <w:t>如果你方与供应商因服务问题产生争议，你方还需同时提供部门出具的质量检测报告，或经诉讼（仲裁）程序裁决后的裁决书、调解书，本保证人即按照检测结果或裁决书、调解书决定是否承担保证责任。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2． 我方收到你方的书面索赔通知及相应证明材料，在工作日内进行核定后按照本保函的承诺承担保证责任。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四、保证责任的终止</w:t>
      </w:r>
    </w:p>
    <w:p>
      <w:pPr>
        <w:spacing w:line="360" w:lineRule="auto"/>
        <w:ind w:firstLine="480" w:firstLineChars="200"/>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1．保证期间届满你方未向我方书面主张保证责任的，自保证期间届满次日起，我方保证责任自动终止。保证期间届满前，主合同约定的工程\服务\货物全部验收合格的，自验收合格日起，我方保证责任自动终止。</w:t>
      </w:r>
    </w:p>
    <w:p>
      <w:pPr>
        <w:spacing w:line="360" w:lineRule="auto"/>
        <w:ind w:firstLine="480" w:firstLineChars="200"/>
        <w:rPr>
          <w:rFonts w:ascii="宋体" w:hAnsi="宋体" w:cs="宋体"/>
          <w:sz w:val="24"/>
          <w:szCs w:val="24"/>
        </w:rPr>
      </w:pPr>
      <w:r>
        <w:rPr>
          <w:rFonts w:hint="eastAsia" w:ascii="宋体" w:hAnsi="宋体" w:cs="宋体"/>
          <w:sz w:val="24"/>
          <w:szCs w:val="24"/>
        </w:rPr>
        <w:t>2．我方按照本保函向你方履行了保证责任后，自我方向你方支付款项（支付款项从我方账户划出）之日起，保证责任即终止。</w:t>
      </w:r>
    </w:p>
    <w:p>
      <w:pPr>
        <w:spacing w:line="360" w:lineRule="auto"/>
        <w:ind w:firstLine="480" w:firstLineChars="200"/>
        <w:rPr>
          <w:rFonts w:ascii="宋体" w:hAnsi="宋体" w:cs="宋体"/>
          <w:sz w:val="24"/>
          <w:szCs w:val="24"/>
        </w:rPr>
      </w:pPr>
      <w:r>
        <w:rPr>
          <w:rFonts w:hint="eastAsia" w:ascii="宋体" w:hAnsi="宋体" w:cs="宋体"/>
          <w:sz w:val="24"/>
          <w:szCs w:val="24"/>
        </w:rPr>
        <w:t>3．按照法律法规的规定或出现应终止我方保证责任的其它情形的，我方在本保函项下的保证责任亦终止。</w:t>
      </w:r>
    </w:p>
    <w:p>
      <w:pPr>
        <w:spacing w:line="360" w:lineRule="auto"/>
        <w:ind w:firstLine="480" w:firstLineChars="200"/>
        <w:rPr>
          <w:rFonts w:ascii="宋体" w:hAnsi="宋体" w:cs="宋体"/>
          <w:sz w:val="24"/>
          <w:szCs w:val="24"/>
        </w:rPr>
      </w:pPr>
      <w:r>
        <w:rPr>
          <w:rFonts w:hint="eastAsia" w:ascii="宋体" w:hAnsi="宋体" w:cs="宋体"/>
          <w:sz w:val="24"/>
          <w:szCs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0" w:firstLineChars="200"/>
        <w:rPr>
          <w:rFonts w:ascii="宋体" w:hAnsi="宋体" w:cs="宋体"/>
          <w:sz w:val="24"/>
          <w:szCs w:val="24"/>
        </w:rPr>
      </w:pPr>
      <w:r>
        <w:rPr>
          <w:rFonts w:hint="eastAsia" w:ascii="宋体" w:hAnsi="宋体" w:cs="宋体"/>
          <w:sz w:val="24"/>
          <w:szCs w:val="24"/>
        </w:rPr>
        <w:t>五、免责条款</w:t>
      </w:r>
    </w:p>
    <w:p>
      <w:pPr>
        <w:spacing w:line="360" w:lineRule="auto"/>
        <w:ind w:firstLine="456" w:firstLineChars="200"/>
        <w:rPr>
          <w:rFonts w:ascii="宋体" w:hAnsi="宋体" w:cs="宋体"/>
          <w:snapToGrid w:val="0"/>
          <w:spacing w:val="-6"/>
          <w:kern w:val="0"/>
          <w:sz w:val="24"/>
          <w:szCs w:val="24"/>
        </w:rPr>
      </w:pPr>
      <w:r>
        <w:rPr>
          <w:rFonts w:hint="eastAsia" w:ascii="宋体" w:hAnsi="宋体" w:cs="宋体"/>
          <w:snapToGrid w:val="0"/>
          <w:spacing w:val="-6"/>
          <w:kern w:val="0"/>
          <w:sz w:val="24"/>
          <w:szCs w:val="24"/>
        </w:rPr>
        <w:t>1．因你方违反主合同约定致使供应商不能履行义务的，我方不承担保证责任。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2．依照法律法规的规定或你方与供应商的另行约定，全部或者部分免除供应商应缴纳的保证金义务的，我方亦免除相应的保证责任。</w:t>
      </w:r>
    </w:p>
    <w:p>
      <w:pPr>
        <w:spacing w:line="360" w:lineRule="auto"/>
        <w:ind w:firstLine="480" w:firstLineChars="200"/>
        <w:rPr>
          <w:rFonts w:ascii="宋体" w:hAnsi="宋体" w:cs="宋体"/>
          <w:sz w:val="24"/>
          <w:szCs w:val="24"/>
        </w:rPr>
      </w:pPr>
      <w:r>
        <w:rPr>
          <w:rFonts w:hint="eastAsia" w:ascii="宋体" w:hAnsi="宋体" w:cs="宋体"/>
          <w:sz w:val="24"/>
          <w:szCs w:val="24"/>
        </w:rPr>
        <w:t>3．因不可抗力造成供应商不能履行服务义务的，我方不承担保证责任。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pPr>
        <w:spacing w:line="360" w:lineRule="auto"/>
        <w:ind w:firstLine="480" w:firstLineChars="200"/>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pPr>
        <w:spacing w:line="360" w:lineRule="auto"/>
        <w:ind w:firstLine="480" w:firstLineChars="200"/>
        <w:rPr>
          <w:rFonts w:ascii="宋体" w:hAnsi="宋体" w:cs="宋体"/>
          <w:sz w:val="24"/>
          <w:szCs w:val="24"/>
        </w:rPr>
      </w:pPr>
      <w:r>
        <w:rPr>
          <w:rFonts w:hint="eastAsia" w:ascii="宋体" w:hAnsi="宋体" w:cs="宋体"/>
          <w:sz w:val="24"/>
          <w:szCs w:val="24"/>
        </w:rPr>
        <w:t>七、保函的生效</w:t>
      </w:r>
    </w:p>
    <w:p>
      <w:pPr>
        <w:tabs>
          <w:tab w:val="center" w:pos="4153"/>
        </w:tabs>
        <w:spacing w:line="360" w:lineRule="auto"/>
        <w:ind w:firstLine="480" w:firstLineChars="200"/>
        <w:rPr>
          <w:rFonts w:ascii="宋体" w:hAnsi="宋体" w:cs="宋体"/>
          <w:sz w:val="24"/>
          <w:szCs w:val="24"/>
        </w:rPr>
      </w:pPr>
      <w:r>
        <w:rPr>
          <w:rFonts w:hint="eastAsia" w:ascii="宋体" w:hAnsi="宋体" w:cs="宋体"/>
          <w:sz w:val="24"/>
          <w:szCs w:val="24"/>
        </w:rPr>
        <w:t>本保函自我方加盖公章之日起生效。</w:t>
      </w:r>
      <w:r>
        <w:rPr>
          <w:rFonts w:hint="eastAsia" w:ascii="宋体" w:hAnsi="宋体" w:cs="宋体"/>
          <w:sz w:val="24"/>
          <w:szCs w:val="24"/>
        </w:rPr>
        <w:tab/>
      </w:r>
    </w:p>
    <w:p>
      <w:pPr>
        <w:spacing w:line="360" w:lineRule="auto"/>
        <w:ind w:firstLine="4320" w:firstLineChars="1800"/>
        <w:rPr>
          <w:rFonts w:ascii="宋体" w:hAnsi="宋体" w:cs="宋体"/>
          <w:sz w:val="24"/>
          <w:szCs w:val="24"/>
        </w:rPr>
      </w:pPr>
      <w:r>
        <w:rPr>
          <w:rFonts w:hint="eastAsia" w:ascii="宋体" w:hAnsi="宋体" w:cs="宋体"/>
          <w:sz w:val="24"/>
          <w:szCs w:val="24"/>
        </w:rPr>
        <w:t>保证人：（公章）</w:t>
      </w:r>
    </w:p>
    <w:p>
      <w:pPr>
        <w:spacing w:line="360" w:lineRule="auto"/>
        <w:jc w:val="right"/>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年     月     日</w:t>
      </w:r>
    </w:p>
    <w:p>
      <w:pPr>
        <w:widowControl/>
        <w:spacing w:line="360" w:lineRule="auto"/>
        <w:ind w:firstLine="420"/>
        <w:jc w:val="left"/>
        <w:rPr>
          <w:rFonts w:ascii="宋体" w:hAnsi="宋体" w:cs="宋体"/>
          <w:b/>
          <w:kern w:val="0"/>
          <w:sz w:val="28"/>
          <w:szCs w:val="28"/>
          <w:lang w:val="zh-CN"/>
        </w:rPr>
      </w:pPr>
      <w:bookmarkStart w:id="625" w:name="_Toc12018"/>
      <w:r>
        <w:rPr>
          <w:rFonts w:hint="eastAsia" w:ascii="宋体" w:hAnsi="宋体" w:cs="宋体"/>
          <w:szCs w:val="28"/>
        </w:rPr>
        <w:br w:type="page"/>
      </w:r>
    </w:p>
    <w:p>
      <w:pPr>
        <w:pStyle w:val="3"/>
        <w:spacing w:line="360" w:lineRule="auto"/>
        <w:ind w:left="0" w:firstLine="562"/>
        <w:rPr>
          <w:rFonts w:ascii="宋体" w:hAnsi="宋体"/>
          <w:szCs w:val="28"/>
        </w:rPr>
      </w:pPr>
      <w:bookmarkStart w:id="626" w:name="_Toc100786168"/>
      <w:r>
        <w:rPr>
          <w:rFonts w:hint="eastAsia" w:ascii="宋体" w:hAnsi="宋体"/>
          <w:szCs w:val="28"/>
        </w:rPr>
        <w:t>附件9  节能产品、环境标志产品的证明材料</w:t>
      </w:r>
      <w:bookmarkEnd w:id="625"/>
      <w:r>
        <w:rPr>
          <w:rFonts w:hint="eastAsia" w:ascii="宋体" w:hAnsi="宋体"/>
          <w:szCs w:val="28"/>
        </w:rPr>
        <w:t>（如有）</w:t>
      </w:r>
      <w:bookmarkEnd w:id="626"/>
    </w:p>
    <w:p>
      <w:pPr>
        <w:spacing w:line="360" w:lineRule="auto"/>
        <w:ind w:firstLine="482"/>
        <w:rPr>
          <w:rFonts w:ascii="宋体" w:hAnsi="宋体" w:cs="宋体"/>
          <w:b/>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在技术、服务等指标满足采购需求的前提下，本项目优先采购节能产品，对部分节能效果、性能等达到要求的产品，实行强制采购。</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拟采购产品属于节能产品政府采购品目清单范围内规定必须强制采购的为：</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依据财政部、发展改革委、生态环境部等部门发布的品目清单和认证证书实施政府优先采购和强制采购。本项目采购人拟采购的产品属于品目清单范围的，需响应人提供国家确定的认证机构出具的、处于有效期之内的节能产品、环境标志产品认证证书（加盖投标人公章）。</w:t>
      </w:r>
    </w:p>
    <w:p>
      <w:pPr>
        <w:spacing w:line="360" w:lineRule="auto"/>
        <w:ind w:firstLine="480" w:firstLineChars="200"/>
        <w:rPr>
          <w:rFonts w:ascii="宋体" w:hAnsi="宋体" w:cs="宋体"/>
          <w:sz w:val="24"/>
          <w:szCs w:val="24"/>
        </w:rPr>
      </w:pPr>
      <w:r>
        <w:rPr>
          <w:rFonts w:hint="eastAsia" w:ascii="宋体" w:hAnsi="宋体" w:cs="宋体"/>
          <w:sz w:val="24"/>
          <w:szCs w:val="24"/>
        </w:rPr>
        <w:t>发布认证机构和获证产品信息，依据市场监管总局组织建立的节能产品、环境标志产品认证结果信息发布平台，公布相关认证机构和获证产品信息。同时中国政府采购网(www.ccgp.gov.cn)建立与认证结果信息发布平台的链接。（17家认证机构可参与实施不同品目的政府采购节能产品认证，4家认证机构可参与实施政府采购环境标志产品认证，</w:t>
      </w:r>
      <w:r>
        <w:rPr>
          <w:rFonts w:hint="eastAsia" w:ascii="宋体" w:hAnsi="宋体" w:cs="宋体"/>
          <w:b/>
          <w:bCs/>
          <w:sz w:val="24"/>
          <w:szCs w:val="24"/>
        </w:rPr>
        <w:t>具体详见附录4</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对所投产品为节能产品、环保标志产品的优惠幅度，以及评审标准和方法详见第六章《</w:t>
      </w:r>
      <w:r>
        <w:rPr>
          <w:rFonts w:hint="eastAsia" w:ascii="宋体" w:hAnsi="宋体" w:cs="宋体"/>
          <w:sz w:val="24"/>
        </w:rPr>
        <w:t>评标程序、评标方法和评标标准</w:t>
      </w:r>
      <w:r>
        <w:rPr>
          <w:rFonts w:hint="eastAsia" w:ascii="宋体" w:hAnsi="宋体" w:cs="宋体"/>
          <w:sz w:val="24"/>
          <w:szCs w:val="24"/>
        </w:rPr>
        <w:t>》。</w:t>
      </w: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注：</w:t>
      </w:r>
    </w:p>
    <w:p>
      <w:pPr>
        <w:spacing w:line="360" w:lineRule="auto"/>
        <w:rPr>
          <w:rFonts w:ascii="宋体" w:hAnsi="宋体" w:cs="宋体"/>
          <w:sz w:val="24"/>
          <w:szCs w:val="24"/>
        </w:rPr>
      </w:pPr>
      <w:r>
        <w:rPr>
          <w:rFonts w:hint="eastAsia" w:ascii="宋体" w:hAnsi="宋体" w:cs="宋体"/>
          <w:sz w:val="24"/>
          <w:szCs w:val="24"/>
        </w:rPr>
        <w:t>1.在本处提供的证明材料如与响应人所投产品内容（品牌、型号、规格等）不符，视为无效。</w:t>
      </w:r>
    </w:p>
    <w:p>
      <w:pPr>
        <w:spacing w:line="360" w:lineRule="auto"/>
        <w:rPr>
          <w:rFonts w:ascii="宋体" w:hAnsi="宋体" w:cs="宋体"/>
          <w:sz w:val="24"/>
          <w:szCs w:val="24"/>
        </w:rPr>
      </w:pPr>
      <w:r>
        <w:rPr>
          <w:rFonts w:hint="eastAsia" w:ascii="宋体" w:hAnsi="宋体" w:cs="宋体"/>
          <w:sz w:val="24"/>
          <w:szCs w:val="24"/>
        </w:rPr>
        <w:t>2.如提供虚假材料，响应人须承担相应法律责任。</w:t>
      </w:r>
    </w:p>
    <w:p>
      <w:pPr>
        <w:spacing w:line="360" w:lineRule="auto"/>
        <w:rPr>
          <w:rFonts w:ascii="宋体" w:hAnsi="宋体" w:cs="宋体"/>
          <w:sz w:val="24"/>
          <w:szCs w:val="24"/>
        </w:rPr>
      </w:pPr>
      <w:r>
        <w:rPr>
          <w:rFonts w:hint="eastAsia" w:ascii="宋体" w:hAnsi="宋体" w:cs="宋体"/>
          <w:bCs/>
          <w:sz w:val="24"/>
          <w:szCs w:val="24"/>
        </w:rPr>
        <w:t>3.节能产品、环境标志产品品目清单登陆中国政府采购网(www.ccgp.gov.cn)查询</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宋体"/>
          <w:bCs/>
          <w:sz w:val="24"/>
          <w:szCs w:val="24"/>
        </w:rPr>
        <w:t>关于印发节能产品政府采购品目清单的通知（财库〔2019〕19号）</w:t>
      </w:r>
      <w:r>
        <w:rPr>
          <w:rFonts w:hint="eastAsia" w:ascii="宋体" w:hAnsi="宋体" w:cs="宋体"/>
          <w:bCs/>
          <w:sz w:val="24"/>
          <w:szCs w:val="24"/>
        </w:rPr>
        <w:fldChar w:fldCharType="end"/>
      </w:r>
      <w:r>
        <w:rPr>
          <w:rFonts w:hint="eastAsia" w:ascii="宋体" w:hAnsi="宋体" w:cs="宋体"/>
          <w:bCs/>
          <w:sz w:val="24"/>
          <w:szCs w:val="24"/>
        </w:rPr>
        <w:t xml:space="preserve"> 、关于印发环境标志产品政府采购品目清单的通知（财库〔2019〕18号）。</w:t>
      </w:r>
    </w:p>
    <w:p>
      <w:pPr>
        <w:pStyle w:val="3"/>
        <w:spacing w:line="360" w:lineRule="auto"/>
        <w:ind w:left="0" w:firstLine="482"/>
        <w:rPr>
          <w:rFonts w:ascii="宋体" w:hAnsi="宋体"/>
          <w:sz w:val="24"/>
          <w:szCs w:val="24"/>
        </w:rPr>
      </w:pPr>
      <w:r>
        <w:rPr>
          <w:rFonts w:hint="eastAsia" w:ascii="宋体" w:hAnsi="宋体"/>
          <w:sz w:val="24"/>
          <w:szCs w:val="24"/>
        </w:rPr>
        <w:br w:type="page"/>
      </w:r>
      <w:bookmarkStart w:id="627" w:name="_Toc6182"/>
      <w:bookmarkStart w:id="628" w:name="_Toc100786169"/>
      <w:r>
        <w:rPr>
          <w:rFonts w:hint="eastAsia" w:ascii="宋体" w:hAnsi="宋体"/>
          <w:szCs w:val="28"/>
        </w:rPr>
        <w:t>附件10  业绩证明材料</w:t>
      </w:r>
      <w:bookmarkEnd w:id="627"/>
      <w:bookmarkEnd w:id="628"/>
    </w:p>
    <w:p>
      <w:pPr>
        <w:spacing w:line="360" w:lineRule="auto"/>
        <w:ind w:right="658"/>
        <w:jc w:val="left"/>
        <w:rPr>
          <w:rFonts w:ascii="宋体" w:hAnsi="宋体" w:cs="宋体"/>
          <w:sz w:val="24"/>
          <w:szCs w:val="24"/>
        </w:rPr>
      </w:pPr>
      <w:r>
        <w:rPr>
          <w:rFonts w:hint="eastAsia" w:ascii="宋体" w:hAnsi="宋体" w:cs="宋体"/>
          <w:sz w:val="24"/>
          <w:szCs w:val="24"/>
        </w:rPr>
        <w:t>项目名称：</w:t>
      </w:r>
    </w:p>
    <w:p>
      <w:pPr>
        <w:spacing w:line="360" w:lineRule="auto"/>
        <w:ind w:right="658"/>
        <w:jc w:val="left"/>
        <w:rPr>
          <w:rFonts w:ascii="宋体" w:hAnsi="宋体" w:cs="宋体"/>
          <w:sz w:val="24"/>
          <w:szCs w:val="24"/>
        </w:rPr>
      </w:pPr>
      <w:r>
        <w:rPr>
          <w:rFonts w:hint="eastAsia" w:ascii="宋体" w:hAnsi="宋体" w:cs="宋体"/>
          <w:sz w:val="24"/>
          <w:szCs w:val="24"/>
        </w:rPr>
        <w:t>招标编号：</w:t>
      </w:r>
    </w:p>
    <w:p>
      <w:pPr>
        <w:spacing w:line="360" w:lineRule="auto"/>
        <w:ind w:right="658"/>
        <w:jc w:val="left"/>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包</w:t>
      </w:r>
    </w:p>
    <w:tbl>
      <w:tblPr>
        <w:tblStyle w:val="4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序号</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合同价</w:t>
            </w: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（金额）</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用户、联系电话、联系人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bl>
    <w:p>
      <w:pPr>
        <w:tabs>
          <w:tab w:val="left" w:pos="5580"/>
        </w:tabs>
        <w:spacing w:line="360" w:lineRule="auto"/>
        <w:ind w:left="1258" w:firstLine="482"/>
        <w:jc w:val="left"/>
        <w:rPr>
          <w:rFonts w:ascii="宋体" w:hAnsi="宋体" w:cs="宋体"/>
          <w:b/>
          <w:sz w:val="24"/>
          <w:szCs w:val="24"/>
        </w:rPr>
      </w:pPr>
    </w:p>
    <w:p>
      <w:pPr>
        <w:pStyle w:val="5"/>
        <w:spacing w:line="360" w:lineRule="auto"/>
        <w:ind w:firstLine="480"/>
        <w:rPr>
          <w:rFonts w:ascii="宋体" w:hAnsi="宋体" w:cs="宋体"/>
          <w:bCs/>
          <w:sz w:val="24"/>
          <w:szCs w:val="24"/>
        </w:rPr>
      </w:pPr>
      <w:r>
        <w:rPr>
          <w:rFonts w:hint="eastAsia" w:ascii="宋体" w:hAnsi="宋体" w:cs="宋体"/>
          <w:bCs/>
          <w:sz w:val="24"/>
          <w:szCs w:val="24"/>
        </w:rPr>
        <w:t>说明：1、</w:t>
      </w:r>
      <w:r>
        <w:rPr>
          <w:rFonts w:hint="eastAsia" w:ascii="宋体" w:hAnsi="宋体" w:cs="宋体"/>
          <w:sz w:val="24"/>
        </w:rPr>
        <w:t>指</w:t>
      </w:r>
      <w:r>
        <w:rPr>
          <w:rFonts w:hint="eastAsia" w:ascii="宋体" w:hAnsi="宋体" w:cs="宋体"/>
          <w:sz w:val="24"/>
          <w:szCs w:val="24"/>
        </w:rPr>
        <w:t>2022年1月起至今</w:t>
      </w:r>
      <w:r>
        <w:rPr>
          <w:rFonts w:hint="eastAsia" w:ascii="宋体" w:hAnsi="宋体" w:cs="宋体"/>
          <w:sz w:val="24"/>
        </w:rPr>
        <w:t>类似服务项目业绩（以合同签约日期为准）</w:t>
      </w:r>
      <w:r>
        <w:rPr>
          <w:rFonts w:hint="eastAsia" w:ascii="宋体" w:hAnsi="宋体" w:cs="宋体"/>
          <w:bCs/>
          <w:sz w:val="24"/>
          <w:szCs w:val="24"/>
        </w:rPr>
        <w:t>。</w:t>
      </w:r>
    </w:p>
    <w:p>
      <w:pPr>
        <w:pStyle w:val="5"/>
        <w:spacing w:line="360" w:lineRule="auto"/>
        <w:ind w:firstLine="720" w:firstLineChars="300"/>
        <w:rPr>
          <w:rFonts w:ascii="宋体" w:hAnsi="宋体" w:cs="宋体"/>
          <w:sz w:val="24"/>
          <w:szCs w:val="24"/>
        </w:rPr>
      </w:pPr>
      <w:r>
        <w:rPr>
          <w:rFonts w:hint="eastAsia" w:ascii="宋体" w:hAnsi="宋体" w:cs="宋体"/>
          <w:sz w:val="24"/>
          <w:szCs w:val="24"/>
        </w:rPr>
        <w:t>2、应提供其证明材料（签订的合同首页、签字盖章页及相关内容页复印件并加盖投标人公章）。</w:t>
      </w:r>
    </w:p>
    <w:p>
      <w:pPr>
        <w:pStyle w:val="5"/>
        <w:spacing w:line="360" w:lineRule="auto"/>
        <w:ind w:firstLine="720" w:firstLineChars="300"/>
        <w:rPr>
          <w:rFonts w:ascii="宋体" w:hAnsi="宋体" w:cs="宋体"/>
          <w:sz w:val="24"/>
          <w:szCs w:val="24"/>
        </w:rPr>
      </w:pPr>
      <w:r>
        <w:rPr>
          <w:rFonts w:hint="eastAsia" w:ascii="宋体" w:hAnsi="宋体" w:cs="宋体"/>
          <w:sz w:val="24"/>
          <w:szCs w:val="24"/>
        </w:rPr>
        <w:t>3、为证明业绩列表中的内容真实和有效，采购人保留审核原件的权利。</w:t>
      </w:r>
    </w:p>
    <w:p>
      <w:pPr>
        <w:pStyle w:val="25"/>
        <w:tabs>
          <w:tab w:val="left" w:pos="5580"/>
        </w:tabs>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pStyle w:val="5"/>
        <w:spacing w:line="360" w:lineRule="auto"/>
        <w:ind w:firstLine="480"/>
        <w:rPr>
          <w:rFonts w:ascii="宋体" w:hAnsi="宋体" w:cs="宋体"/>
          <w:sz w:val="24"/>
          <w:szCs w:val="24"/>
        </w:rPr>
      </w:pPr>
      <w:r>
        <w:rPr>
          <w:rFonts w:hint="eastAsia" w:ascii="宋体" w:hAnsi="宋体" w:cs="宋体"/>
          <w:sz w:val="24"/>
          <w:szCs w:val="24"/>
        </w:rPr>
        <w:t>日期：</w:t>
      </w:r>
    </w:p>
    <w:p>
      <w:pPr>
        <w:spacing w:line="360" w:lineRule="auto"/>
        <w:rPr>
          <w:rFonts w:ascii="宋体" w:hAnsi="宋体" w:cs="宋体"/>
          <w:sz w:val="24"/>
          <w:szCs w:val="24"/>
        </w:rPr>
      </w:pPr>
    </w:p>
    <w:p>
      <w:pPr>
        <w:widowControl/>
        <w:spacing w:line="360" w:lineRule="auto"/>
        <w:ind w:firstLine="482"/>
        <w:jc w:val="left"/>
        <w:rPr>
          <w:rFonts w:ascii="宋体" w:hAnsi="宋体" w:cs="宋体"/>
          <w:b/>
          <w:kern w:val="0"/>
          <w:sz w:val="24"/>
          <w:szCs w:val="24"/>
          <w:lang w:val="zh-CN"/>
        </w:rPr>
      </w:pPr>
      <w:bookmarkStart w:id="629" w:name="_Toc7466"/>
      <w:r>
        <w:rPr>
          <w:rFonts w:hint="eastAsia" w:ascii="宋体" w:hAnsi="宋体" w:cs="宋体"/>
          <w:b/>
          <w:kern w:val="0"/>
          <w:sz w:val="24"/>
          <w:szCs w:val="24"/>
          <w:lang w:val="zh-CN"/>
        </w:rPr>
        <w:br w:type="page"/>
      </w:r>
    </w:p>
    <w:p>
      <w:pPr>
        <w:pStyle w:val="3"/>
        <w:spacing w:line="360" w:lineRule="auto"/>
        <w:ind w:left="0" w:firstLine="562"/>
        <w:rPr>
          <w:rFonts w:ascii="宋体" w:hAnsi="宋体"/>
          <w:szCs w:val="28"/>
        </w:rPr>
      </w:pPr>
      <w:bookmarkStart w:id="630" w:name="_Toc496291415"/>
      <w:bookmarkStart w:id="631" w:name="_Toc100786170"/>
      <w:bookmarkStart w:id="632" w:name="_Toc56786499"/>
      <w:r>
        <w:rPr>
          <w:rFonts w:hint="eastAsia" w:ascii="宋体" w:hAnsi="宋体"/>
          <w:szCs w:val="28"/>
        </w:rPr>
        <w:t xml:space="preserve">附件11  </w:t>
      </w:r>
      <w:bookmarkEnd w:id="630"/>
      <w:r>
        <w:rPr>
          <w:rFonts w:hint="eastAsia" w:ascii="宋体" w:hAnsi="宋体"/>
          <w:szCs w:val="28"/>
        </w:rPr>
        <w:t>拟投入本项目的项目组人员配备情况</w:t>
      </w:r>
      <w:bookmarkEnd w:id="631"/>
      <w:bookmarkEnd w:id="632"/>
    </w:p>
    <w:p>
      <w:pPr>
        <w:spacing w:line="360" w:lineRule="auto"/>
        <w:ind w:left="-359" w:leftChars="-171" w:firstLine="482"/>
        <w:jc w:val="center"/>
        <w:rPr>
          <w:rFonts w:ascii="宋体" w:hAnsi="宋体" w:cs="宋体"/>
          <w:b/>
          <w:sz w:val="24"/>
          <w:szCs w:val="24"/>
        </w:rPr>
      </w:pPr>
      <w:r>
        <w:rPr>
          <w:rFonts w:hint="eastAsia" w:ascii="宋体" w:hAnsi="宋体" w:cs="宋体"/>
          <w:b/>
          <w:sz w:val="24"/>
          <w:szCs w:val="24"/>
        </w:rPr>
        <w:t>（1）拟投入本项目的项目组人员配备情况</w:t>
      </w:r>
    </w:p>
    <w:p>
      <w:pPr>
        <w:spacing w:line="360" w:lineRule="auto"/>
        <w:ind w:left="-19" w:leftChars="-9" w:firstLine="19" w:firstLineChars="8"/>
        <w:rPr>
          <w:rFonts w:ascii="宋体" w:hAnsi="宋体" w:cs="宋体"/>
          <w:sz w:val="24"/>
          <w:szCs w:val="24"/>
        </w:rPr>
      </w:pPr>
    </w:p>
    <w:tbl>
      <w:tblPr>
        <w:tblStyle w:val="48"/>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06"/>
        <w:gridCol w:w="858"/>
        <w:gridCol w:w="764"/>
        <w:gridCol w:w="764"/>
        <w:gridCol w:w="1975"/>
        <w:gridCol w:w="84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3" w:type="dxa"/>
            <w:vAlign w:val="center"/>
          </w:tcPr>
          <w:p>
            <w:pPr>
              <w:adjustRightInd w:val="0"/>
              <w:snapToGrid w:val="0"/>
              <w:jc w:val="center"/>
              <w:rPr>
                <w:rFonts w:ascii="宋体" w:hAnsi="宋体" w:cs="宋体"/>
                <w:sz w:val="24"/>
              </w:rPr>
            </w:pPr>
            <w:bookmarkStart w:id="633" w:name="_Toc53908345"/>
            <w:r>
              <w:rPr>
                <w:rFonts w:hint="eastAsia" w:ascii="宋体" w:hAnsi="宋体" w:cs="宋体"/>
                <w:sz w:val="24"/>
              </w:rPr>
              <w:t>序号</w:t>
            </w:r>
          </w:p>
        </w:tc>
        <w:tc>
          <w:tcPr>
            <w:tcW w:w="1006" w:type="dxa"/>
            <w:vAlign w:val="center"/>
          </w:tcPr>
          <w:p>
            <w:pPr>
              <w:adjustRightInd w:val="0"/>
              <w:snapToGrid w:val="0"/>
              <w:jc w:val="center"/>
              <w:rPr>
                <w:rFonts w:ascii="宋体" w:hAnsi="宋体" w:cs="宋体"/>
                <w:sz w:val="24"/>
              </w:rPr>
            </w:pPr>
            <w:r>
              <w:rPr>
                <w:rFonts w:hint="eastAsia" w:ascii="宋体" w:hAnsi="宋体" w:cs="宋体"/>
                <w:sz w:val="24"/>
              </w:rPr>
              <w:t>姓名</w:t>
            </w:r>
          </w:p>
        </w:tc>
        <w:tc>
          <w:tcPr>
            <w:tcW w:w="858" w:type="dxa"/>
            <w:vAlign w:val="center"/>
          </w:tcPr>
          <w:p>
            <w:pPr>
              <w:adjustRightInd w:val="0"/>
              <w:snapToGrid w:val="0"/>
              <w:jc w:val="center"/>
              <w:rPr>
                <w:rFonts w:ascii="宋体" w:hAnsi="宋体" w:cs="宋体"/>
                <w:sz w:val="24"/>
              </w:rPr>
            </w:pPr>
            <w:r>
              <w:rPr>
                <w:rFonts w:hint="eastAsia" w:ascii="宋体" w:hAnsi="宋体" w:cs="宋体"/>
                <w:sz w:val="24"/>
              </w:rPr>
              <w:t>年龄</w:t>
            </w:r>
          </w:p>
        </w:tc>
        <w:tc>
          <w:tcPr>
            <w:tcW w:w="764" w:type="dxa"/>
            <w:vAlign w:val="center"/>
          </w:tcPr>
          <w:p>
            <w:pPr>
              <w:adjustRightInd w:val="0"/>
              <w:snapToGrid w:val="0"/>
              <w:jc w:val="center"/>
              <w:rPr>
                <w:rFonts w:ascii="宋体" w:hAnsi="宋体" w:cs="宋体"/>
                <w:sz w:val="24"/>
              </w:rPr>
            </w:pPr>
            <w:r>
              <w:rPr>
                <w:rFonts w:hint="eastAsia" w:ascii="宋体" w:hAnsi="宋体" w:cs="宋体"/>
                <w:sz w:val="24"/>
              </w:rPr>
              <w:t>学历</w:t>
            </w:r>
          </w:p>
        </w:tc>
        <w:tc>
          <w:tcPr>
            <w:tcW w:w="764" w:type="dxa"/>
            <w:vAlign w:val="center"/>
          </w:tcPr>
          <w:p>
            <w:pPr>
              <w:adjustRightInd w:val="0"/>
              <w:snapToGrid w:val="0"/>
              <w:jc w:val="center"/>
              <w:rPr>
                <w:rFonts w:ascii="宋体" w:hAnsi="宋体" w:cs="宋体"/>
                <w:sz w:val="24"/>
              </w:rPr>
            </w:pPr>
            <w:r>
              <w:rPr>
                <w:rFonts w:hint="eastAsia" w:ascii="宋体" w:hAnsi="宋体" w:cs="宋体"/>
                <w:sz w:val="24"/>
              </w:rPr>
              <w:t>职称</w:t>
            </w:r>
          </w:p>
        </w:tc>
        <w:tc>
          <w:tcPr>
            <w:tcW w:w="1975" w:type="dxa"/>
            <w:vAlign w:val="center"/>
          </w:tcPr>
          <w:p>
            <w:pPr>
              <w:adjustRightInd w:val="0"/>
              <w:snapToGrid w:val="0"/>
              <w:jc w:val="center"/>
              <w:rPr>
                <w:rFonts w:ascii="宋体" w:hAnsi="宋体" w:cs="宋体"/>
                <w:sz w:val="24"/>
              </w:rPr>
            </w:pPr>
            <w:r>
              <w:rPr>
                <w:rFonts w:hint="eastAsia" w:ascii="宋体" w:hAnsi="宋体" w:cs="宋体"/>
                <w:sz w:val="24"/>
              </w:rPr>
              <w:t>岗位</w:t>
            </w:r>
          </w:p>
        </w:tc>
        <w:tc>
          <w:tcPr>
            <w:tcW w:w="840" w:type="dxa"/>
            <w:vAlign w:val="center"/>
          </w:tcPr>
          <w:p>
            <w:pPr>
              <w:adjustRightInd w:val="0"/>
              <w:snapToGrid w:val="0"/>
              <w:jc w:val="center"/>
              <w:rPr>
                <w:rFonts w:ascii="宋体" w:hAnsi="宋体" w:cs="宋体"/>
                <w:sz w:val="24"/>
              </w:rPr>
            </w:pPr>
            <w:r>
              <w:rPr>
                <w:rFonts w:hint="eastAsia" w:ascii="宋体" w:hAnsi="宋体" w:cs="宋体"/>
                <w:sz w:val="24"/>
              </w:rPr>
              <w:t>工作年限</w:t>
            </w:r>
          </w:p>
        </w:tc>
        <w:tc>
          <w:tcPr>
            <w:tcW w:w="1485" w:type="dxa"/>
            <w:vAlign w:val="center"/>
          </w:tcPr>
          <w:p>
            <w:pPr>
              <w:adjustRightInd w:val="0"/>
              <w:snapToGrid w:val="0"/>
              <w:jc w:val="center"/>
              <w:rPr>
                <w:rFonts w:ascii="宋体" w:hAnsi="宋体" w:cs="宋体"/>
                <w:sz w:val="24"/>
              </w:rPr>
            </w:pPr>
            <w:r>
              <w:rPr>
                <w:rFonts w:hint="eastAsia" w:ascii="宋体" w:hAnsi="宋体" w:cs="宋体"/>
                <w:sz w:val="24"/>
              </w:rPr>
              <w:t>其他需明示资料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ind w:firstLine="562"/>
              <w:jc w:val="center"/>
              <w:rPr>
                <w:rFonts w:ascii="宋体" w:hAnsi="宋体" w:cs="宋体"/>
                <w:b/>
                <w:sz w:val="28"/>
              </w:rPr>
            </w:pPr>
          </w:p>
        </w:tc>
        <w:tc>
          <w:tcPr>
            <w:tcW w:w="1006" w:type="dxa"/>
            <w:vAlign w:val="center"/>
          </w:tcPr>
          <w:p>
            <w:pPr>
              <w:adjustRightInd w:val="0"/>
              <w:snapToGrid w:val="0"/>
              <w:ind w:firstLine="562"/>
              <w:jc w:val="center"/>
              <w:rPr>
                <w:rFonts w:ascii="宋体" w:hAnsi="宋体" w:cs="宋体"/>
                <w:b/>
                <w:sz w:val="28"/>
              </w:rPr>
            </w:pPr>
          </w:p>
        </w:tc>
        <w:tc>
          <w:tcPr>
            <w:tcW w:w="858"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764" w:type="dxa"/>
            <w:vAlign w:val="center"/>
          </w:tcPr>
          <w:p>
            <w:pPr>
              <w:adjustRightInd w:val="0"/>
              <w:snapToGrid w:val="0"/>
              <w:ind w:firstLine="562"/>
              <w:jc w:val="center"/>
              <w:rPr>
                <w:rFonts w:ascii="宋体" w:hAnsi="宋体" w:cs="宋体"/>
                <w:b/>
                <w:sz w:val="28"/>
              </w:rPr>
            </w:pPr>
          </w:p>
        </w:tc>
        <w:tc>
          <w:tcPr>
            <w:tcW w:w="1975" w:type="dxa"/>
            <w:vAlign w:val="center"/>
          </w:tcPr>
          <w:p>
            <w:pPr>
              <w:adjustRightInd w:val="0"/>
              <w:snapToGrid w:val="0"/>
              <w:ind w:firstLine="562"/>
              <w:jc w:val="center"/>
              <w:rPr>
                <w:rFonts w:ascii="宋体" w:hAnsi="宋体" w:cs="宋体"/>
                <w:b/>
                <w:sz w:val="28"/>
              </w:rPr>
            </w:pPr>
          </w:p>
        </w:tc>
        <w:tc>
          <w:tcPr>
            <w:tcW w:w="840" w:type="dxa"/>
            <w:vAlign w:val="center"/>
          </w:tcPr>
          <w:p>
            <w:pPr>
              <w:adjustRightInd w:val="0"/>
              <w:snapToGrid w:val="0"/>
              <w:ind w:firstLine="562"/>
              <w:jc w:val="center"/>
              <w:rPr>
                <w:rFonts w:ascii="宋体" w:hAnsi="宋体" w:cs="宋体"/>
                <w:b/>
                <w:sz w:val="28"/>
              </w:rPr>
            </w:pPr>
          </w:p>
        </w:tc>
        <w:tc>
          <w:tcPr>
            <w:tcW w:w="1485" w:type="dxa"/>
            <w:vAlign w:val="center"/>
          </w:tcPr>
          <w:p>
            <w:pPr>
              <w:adjustRightInd w:val="0"/>
              <w:snapToGrid w:val="0"/>
              <w:ind w:firstLine="562"/>
              <w:jc w:val="center"/>
              <w:rPr>
                <w:rFonts w:ascii="宋体" w:hAnsi="宋体" w:cs="宋体"/>
                <w:b/>
                <w:sz w:val="28"/>
              </w:rPr>
            </w:pPr>
          </w:p>
        </w:tc>
      </w:tr>
    </w:tbl>
    <w:p>
      <w:pPr>
        <w:spacing w:line="360" w:lineRule="auto"/>
        <w:jc w:val="left"/>
        <w:rPr>
          <w:rFonts w:ascii="宋体" w:hAnsi="宋体" w:cs="宋体"/>
          <w:sz w:val="24"/>
        </w:rPr>
      </w:pPr>
      <w:r>
        <w:rPr>
          <w:rFonts w:hint="eastAsia" w:ascii="宋体" w:hAnsi="宋体" w:cs="宋体"/>
          <w:sz w:val="24"/>
        </w:rPr>
        <w:t>附：可根据行业规定附项目组人员的相关证件如：身份证、上岗证、资格证、培训证等复印件。</w:t>
      </w: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spacing w:line="360" w:lineRule="auto"/>
        <w:jc w:val="left"/>
        <w:rPr>
          <w:rFonts w:ascii="宋体" w:hAnsi="宋体" w:cs="宋体"/>
          <w:sz w:val="24"/>
          <w:szCs w:val="24"/>
        </w:rPr>
      </w:pPr>
      <w:r>
        <w:rPr>
          <w:rFonts w:hint="eastAsia" w:ascii="宋体" w:hAnsi="宋体" w:cs="宋体"/>
          <w:sz w:val="24"/>
          <w:szCs w:val="24"/>
        </w:rPr>
        <w:t>日期：</w:t>
      </w:r>
    </w:p>
    <w:p>
      <w:pPr>
        <w:spacing w:line="360" w:lineRule="auto"/>
        <w:jc w:val="center"/>
        <w:rPr>
          <w:rFonts w:ascii="宋体" w:hAnsi="宋体" w:cs="宋体"/>
          <w:b/>
          <w:sz w:val="24"/>
          <w:szCs w:val="24"/>
        </w:rPr>
      </w:pPr>
      <w:r>
        <w:rPr>
          <w:rFonts w:hint="eastAsia" w:ascii="宋体" w:hAnsi="宋体" w:cs="宋体"/>
          <w:sz w:val="24"/>
          <w:szCs w:val="24"/>
        </w:rPr>
        <w:br w:type="page"/>
      </w:r>
      <w:bookmarkEnd w:id="633"/>
      <w:bookmarkStart w:id="634" w:name="_Toc486431029"/>
      <w:bookmarkStart w:id="635" w:name="_Toc486431303"/>
      <w:r>
        <w:rPr>
          <w:rFonts w:hint="eastAsia" w:ascii="宋体" w:hAnsi="宋体" w:cs="宋体"/>
          <w:b/>
          <w:sz w:val="24"/>
          <w:szCs w:val="24"/>
        </w:rPr>
        <w:t>（2）项目负责人简历表</w:t>
      </w:r>
      <w:bookmarkEnd w:id="634"/>
      <w:bookmarkEnd w:id="635"/>
    </w:p>
    <w:p>
      <w:pPr>
        <w:spacing w:line="360" w:lineRule="auto"/>
        <w:ind w:right="658" w:firstLine="120" w:firstLineChars="50"/>
        <w:jc w:val="left"/>
        <w:rPr>
          <w:rFonts w:ascii="宋体" w:hAnsi="宋体" w:cs="宋体"/>
          <w:sz w:val="24"/>
          <w:szCs w:val="24"/>
        </w:rPr>
      </w:pPr>
      <w:r>
        <w:rPr>
          <w:rFonts w:hint="eastAsia" w:ascii="宋体" w:hAnsi="宋体" w:cs="宋体"/>
          <w:sz w:val="24"/>
          <w:szCs w:val="24"/>
        </w:rPr>
        <w:t>项目名称：</w:t>
      </w:r>
    </w:p>
    <w:p>
      <w:pPr>
        <w:spacing w:line="360" w:lineRule="auto"/>
        <w:ind w:right="658" w:firstLine="120" w:firstLineChars="50"/>
        <w:jc w:val="left"/>
        <w:rPr>
          <w:rFonts w:ascii="宋体" w:hAnsi="宋体" w:cs="宋体"/>
          <w:sz w:val="24"/>
          <w:szCs w:val="24"/>
        </w:rPr>
      </w:pPr>
      <w:r>
        <w:rPr>
          <w:rFonts w:hint="eastAsia" w:ascii="宋体" w:hAnsi="宋体" w:cs="宋体"/>
          <w:sz w:val="24"/>
          <w:szCs w:val="24"/>
        </w:rPr>
        <w:t>招标编号：</w:t>
      </w:r>
    </w:p>
    <w:tbl>
      <w:tblPr>
        <w:tblStyle w:val="48"/>
        <w:tblW w:w="8213"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61"/>
        <w:gridCol w:w="1484"/>
        <w:gridCol w:w="1080"/>
        <w:gridCol w:w="403"/>
        <w:gridCol w:w="233"/>
        <w:gridCol w:w="1369"/>
        <w:gridCol w:w="140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姓名</w:t>
            </w:r>
          </w:p>
        </w:tc>
        <w:tc>
          <w:tcPr>
            <w:tcW w:w="2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性别</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年龄</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职务</w:t>
            </w:r>
          </w:p>
        </w:tc>
        <w:tc>
          <w:tcPr>
            <w:tcW w:w="2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职称</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学历</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参加工作时间</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担任项目负责人年限</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1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正在进行和已完成项目情况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用户单位</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项目规模</w:t>
            </w: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服务期</w:t>
            </w: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正在进行或已完成</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验收</w:t>
            </w:r>
          </w:p>
          <w:p>
            <w:pPr>
              <w:spacing w:line="360" w:lineRule="auto"/>
              <w:jc w:val="center"/>
              <w:rPr>
                <w:rFonts w:ascii="宋体" w:hAnsi="宋体" w:cs="宋体"/>
                <w:sz w:val="24"/>
                <w:szCs w:val="24"/>
              </w:rPr>
            </w:pPr>
            <w:r>
              <w:rPr>
                <w:rFonts w:hint="eastAsia" w:ascii="宋体" w:hAnsi="宋体" w:cs="宋体"/>
                <w:sz w:val="24"/>
                <w:szCs w:val="24"/>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bl>
    <w:p>
      <w:pPr>
        <w:pStyle w:val="25"/>
        <w:tabs>
          <w:tab w:val="left" w:pos="5580"/>
        </w:tabs>
        <w:adjustRightInd w:val="0"/>
        <w:snapToGrid w:val="0"/>
        <w:spacing w:line="360" w:lineRule="auto"/>
        <w:rPr>
          <w:rFonts w:hAnsi="宋体" w:cs="宋体"/>
          <w:sz w:val="24"/>
          <w:szCs w:val="24"/>
        </w:rPr>
      </w:pPr>
      <w:r>
        <w:rPr>
          <w:rFonts w:hint="eastAsia" w:hAnsi="宋体" w:cs="宋体"/>
          <w:sz w:val="24"/>
        </w:rPr>
        <w:t>附：可根据行业规定附项目负责人的相关证件如：身份证、健康证、上岗证、资格证、培训证等复印件。</w:t>
      </w: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rPr>
        <w:br w:type="page"/>
      </w:r>
    </w:p>
    <w:p>
      <w:pPr>
        <w:pStyle w:val="3"/>
        <w:spacing w:line="360" w:lineRule="auto"/>
        <w:ind w:firstLine="562"/>
        <w:rPr>
          <w:rStyle w:val="227"/>
          <w:rFonts w:hint="default"/>
          <w:b w:val="0"/>
        </w:rPr>
      </w:pPr>
      <w:bookmarkStart w:id="636" w:name="_Toc100786171"/>
      <w:r>
        <w:rPr>
          <w:rFonts w:hint="eastAsia" w:ascii="宋体" w:hAnsi="宋体"/>
          <w:bCs/>
          <w:szCs w:val="28"/>
        </w:rPr>
        <w:t xml:space="preserve">附件12  </w:t>
      </w:r>
      <w:bookmarkEnd w:id="629"/>
      <w:r>
        <w:rPr>
          <w:rFonts w:hint="eastAsia" w:ascii="宋体" w:hAnsi="宋体"/>
          <w:bCs/>
          <w:szCs w:val="28"/>
          <w:lang w:val="en-US"/>
        </w:rPr>
        <w:t>服务方案</w:t>
      </w:r>
      <w:bookmarkEnd w:id="636"/>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按照《招标文件》第七章“采购需求”中的要求提出项目具体方案（自行编制）。</w:t>
      </w:r>
    </w:p>
    <w:p>
      <w:pPr>
        <w:ind w:firstLine="420"/>
        <w:rPr>
          <w:rFonts w:ascii="宋体" w:hAnsi="宋体" w:cs="宋体"/>
        </w:rPr>
      </w:pPr>
      <w:r>
        <w:rPr>
          <w:rFonts w:hint="eastAsia" w:ascii="宋体" w:hAnsi="宋体" w:cs="宋体"/>
        </w:rPr>
        <w:br w:type="page"/>
      </w:r>
    </w:p>
    <w:p>
      <w:pPr>
        <w:pStyle w:val="3"/>
        <w:spacing w:line="360" w:lineRule="auto"/>
        <w:ind w:firstLine="562"/>
        <w:rPr>
          <w:rFonts w:ascii="宋体" w:hAnsi="宋体"/>
          <w:bCs/>
          <w:szCs w:val="28"/>
        </w:rPr>
      </w:pPr>
      <w:bookmarkStart w:id="637" w:name="_Toc9063"/>
      <w:bookmarkStart w:id="638" w:name="_Toc100786172"/>
      <w:r>
        <w:rPr>
          <w:rFonts w:hint="eastAsia" w:ascii="宋体" w:hAnsi="宋体"/>
          <w:bCs/>
          <w:szCs w:val="28"/>
        </w:rPr>
        <w:t>附件1</w:t>
      </w:r>
      <w:bookmarkEnd w:id="637"/>
      <w:r>
        <w:rPr>
          <w:rFonts w:hint="eastAsia" w:ascii="宋体" w:hAnsi="宋体"/>
          <w:bCs/>
          <w:szCs w:val="28"/>
        </w:rPr>
        <w:t>3  具备履行合同所必需的设备和专业技术能力的证明材料</w:t>
      </w:r>
      <w:bookmarkEnd w:id="638"/>
    </w:p>
    <w:p>
      <w:pPr>
        <w:ind w:firstLine="420"/>
        <w:rPr>
          <w:rFonts w:ascii="宋体" w:hAnsi="宋体" w:cs="宋体"/>
        </w:rPr>
      </w:pPr>
      <w:r>
        <w:rPr>
          <w:rFonts w:hint="eastAsia" w:ascii="宋体" w:hAnsi="宋体" w:cs="宋体"/>
        </w:rPr>
        <w:br w:type="page"/>
      </w:r>
      <w:bookmarkStart w:id="639" w:name="_Toc1932"/>
    </w:p>
    <w:p>
      <w:pPr>
        <w:pStyle w:val="3"/>
        <w:spacing w:line="360" w:lineRule="auto"/>
        <w:ind w:firstLine="562"/>
        <w:rPr>
          <w:rFonts w:ascii="宋体" w:hAnsi="宋体"/>
          <w:bCs/>
          <w:szCs w:val="28"/>
        </w:rPr>
      </w:pPr>
      <w:bookmarkStart w:id="640" w:name="_Toc100786173"/>
      <w:r>
        <w:rPr>
          <w:rFonts w:hint="eastAsia" w:ascii="宋体" w:hAnsi="宋体"/>
          <w:bCs/>
          <w:szCs w:val="28"/>
        </w:rPr>
        <w:t>附件14  招标文件要求提供的其他资料</w:t>
      </w:r>
      <w:bookmarkEnd w:id="639"/>
      <w:bookmarkEnd w:id="640"/>
    </w:p>
    <w:p>
      <w:pPr>
        <w:spacing w:line="360" w:lineRule="auto"/>
        <w:ind w:firstLine="420"/>
        <w:rPr>
          <w:rFonts w:ascii="宋体" w:hAnsi="宋体" w:cs="宋体"/>
        </w:rPr>
      </w:pPr>
      <w:r>
        <w:rPr>
          <w:rFonts w:hint="eastAsia" w:ascii="宋体" w:hAnsi="宋体" w:cs="宋体"/>
        </w:rPr>
        <w:br w:type="page"/>
      </w:r>
      <w:bookmarkStart w:id="641" w:name="_Toc18393"/>
    </w:p>
    <w:p>
      <w:pPr>
        <w:pStyle w:val="3"/>
        <w:spacing w:line="360" w:lineRule="auto"/>
        <w:ind w:firstLine="562"/>
        <w:rPr>
          <w:rFonts w:ascii="宋体" w:hAnsi="宋体"/>
          <w:bCs/>
          <w:szCs w:val="28"/>
        </w:rPr>
      </w:pPr>
      <w:bookmarkStart w:id="642" w:name="_Toc100786174"/>
      <w:r>
        <w:rPr>
          <w:rFonts w:hint="eastAsia" w:ascii="宋体" w:hAnsi="宋体"/>
          <w:bCs/>
          <w:szCs w:val="28"/>
        </w:rPr>
        <w:t>附件15  投标人认为有必要提交的其他文件</w:t>
      </w:r>
      <w:bookmarkEnd w:id="641"/>
      <w:bookmarkEnd w:id="642"/>
    </w:p>
    <w:p>
      <w:pPr>
        <w:pStyle w:val="4"/>
        <w:spacing w:line="360" w:lineRule="auto"/>
        <w:ind w:firstLine="482"/>
        <w:rPr>
          <w:rFonts w:ascii="宋体" w:hAnsi="宋体" w:cs="宋体"/>
          <w:b/>
          <w:bCs/>
          <w:sz w:val="24"/>
          <w:szCs w:val="24"/>
        </w:rPr>
      </w:pPr>
      <w:bookmarkStart w:id="643" w:name="_Toc85461424"/>
      <w:bookmarkStart w:id="644" w:name="_Toc90648659"/>
      <w:bookmarkStart w:id="645" w:name="_Toc100786156"/>
      <w:bookmarkStart w:id="646" w:name="_Toc83722608"/>
      <w:r>
        <w:rPr>
          <w:rFonts w:hint="eastAsia" w:ascii="宋体" w:hAnsi="宋体" w:cs="宋体"/>
          <w:b/>
          <w:bCs/>
          <w:sz w:val="24"/>
          <w:szCs w:val="24"/>
        </w:rPr>
        <w:t>附件</w:t>
      </w:r>
      <w:r>
        <w:rPr>
          <w:rFonts w:hint="eastAsia" w:ascii="宋体" w:hAnsi="宋体" w:cs="宋体"/>
          <w:b/>
          <w:bCs/>
          <w:sz w:val="24"/>
          <w:szCs w:val="24"/>
          <w:lang w:val="en-US"/>
        </w:rPr>
        <w:t>15</w:t>
      </w:r>
      <w:r>
        <w:rPr>
          <w:rFonts w:hint="eastAsia" w:ascii="宋体" w:hAnsi="宋体" w:cs="宋体"/>
          <w:b/>
          <w:bCs/>
          <w:sz w:val="24"/>
          <w:szCs w:val="24"/>
        </w:rPr>
        <w:t>-1  中小企业声明函</w:t>
      </w:r>
      <w:bookmarkEnd w:id="643"/>
      <w:bookmarkEnd w:id="644"/>
      <w:bookmarkEnd w:id="645"/>
      <w:bookmarkEnd w:id="646"/>
      <w:r>
        <w:rPr>
          <w:rFonts w:hint="eastAsia" w:ascii="宋体" w:hAnsi="宋体" w:cs="宋体"/>
          <w:b/>
          <w:bCs/>
          <w:sz w:val="24"/>
          <w:szCs w:val="24"/>
        </w:rPr>
        <w:t>（</w:t>
      </w:r>
      <w:r>
        <w:rPr>
          <w:rFonts w:hint="eastAsia" w:ascii="宋体" w:hAnsi="宋体" w:cs="宋体"/>
          <w:b/>
          <w:bCs/>
          <w:sz w:val="24"/>
          <w:szCs w:val="24"/>
          <w:lang w:val="en-US"/>
        </w:rPr>
        <w:t>第二包如需可适用</w:t>
      </w:r>
      <w:r>
        <w:rPr>
          <w:rFonts w:hint="eastAsia" w:ascii="宋体" w:hAnsi="宋体" w:cs="宋体"/>
          <w:b/>
          <w:bCs/>
          <w:sz w:val="24"/>
          <w:szCs w:val="24"/>
        </w:rPr>
        <w:t>）</w:t>
      </w:r>
    </w:p>
    <w:p>
      <w:pPr>
        <w:pStyle w:val="5"/>
        <w:ind w:firstLine="400"/>
        <w:rPr>
          <w:rFonts w:ascii="宋体" w:hAnsi="宋体" w:cs="宋体"/>
        </w:rPr>
      </w:pPr>
    </w:p>
    <w:p>
      <w:pPr>
        <w:spacing w:line="360" w:lineRule="auto"/>
        <w:ind w:firstLine="506" w:firstLineChars="200"/>
        <w:jc w:val="center"/>
        <w:rPr>
          <w:rFonts w:ascii="宋体" w:hAnsi="宋体" w:cs="宋体"/>
          <w:spacing w:val="6"/>
          <w:sz w:val="24"/>
          <w:szCs w:val="24"/>
        </w:rPr>
      </w:pPr>
      <w:r>
        <w:rPr>
          <w:rFonts w:hint="eastAsia" w:ascii="宋体" w:hAnsi="宋体" w:cs="宋体"/>
          <w:b/>
          <w:bCs/>
          <w:spacing w:val="6"/>
          <w:sz w:val="24"/>
          <w:szCs w:val="24"/>
        </w:rPr>
        <w:t>中小企业声明函（服务）</w:t>
      </w:r>
    </w:p>
    <w:p>
      <w:pPr>
        <w:spacing w:line="360" w:lineRule="auto"/>
        <w:ind w:firstLine="504" w:firstLineChars="200"/>
        <w:jc w:val="center"/>
        <w:rPr>
          <w:rFonts w:ascii="宋体" w:hAnsi="宋体" w:cs="宋体"/>
          <w:spacing w:val="6"/>
          <w:sz w:val="24"/>
          <w:szCs w:val="24"/>
        </w:rPr>
      </w:pP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 号）的规定，本公司（联合体）参加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采购活动，服务全部由符合政策要求的中小企业承接。相关企业（含联合体中的中小企业、签订分包意向协议的中小企业）的具体情况如下：</w:t>
      </w:r>
    </w:p>
    <w:p>
      <w:pPr>
        <w:numPr>
          <w:ilvl w:val="0"/>
          <w:numId w:val="7"/>
        </w:numPr>
        <w:spacing w:line="360" w:lineRule="auto"/>
        <w:ind w:firstLine="480" w:firstLineChars="200"/>
        <w:jc w:val="left"/>
        <w:rPr>
          <w:rFonts w:ascii="宋体" w:hAnsi="宋体" w:cs="宋体"/>
          <w:kern w:val="0"/>
          <w:sz w:val="24"/>
          <w:szCs w:val="24"/>
        </w:rPr>
      </w:pPr>
      <w:bookmarkStart w:id="647" w:name="OLE_LINK2"/>
      <w:r>
        <w:rPr>
          <w:rFonts w:hint="eastAsia" w:ascii="宋体" w:hAnsi="宋体" w:cs="宋体"/>
          <w:kern w:val="0"/>
          <w:sz w:val="24"/>
          <w:szCs w:val="24"/>
          <w:u w:val="single"/>
        </w:rPr>
        <w:t xml:space="preserve">    （标的名称），属于    （采购文件中明确的所属行业）行业</w:t>
      </w:r>
      <w:r>
        <w:rPr>
          <w:rFonts w:hint="eastAsia" w:ascii="宋体" w:hAnsi="宋体" w:cs="宋体"/>
          <w:kern w:val="0"/>
          <w:sz w:val="24"/>
          <w:szCs w:val="24"/>
        </w:rPr>
        <w:t>；承接企业为</w:t>
      </w:r>
      <w:r>
        <w:rPr>
          <w:rFonts w:hint="eastAsia" w:ascii="宋体" w:hAnsi="宋体" w:cs="宋体"/>
          <w:kern w:val="0"/>
          <w:sz w:val="24"/>
          <w:szCs w:val="24"/>
          <w:u w:val="single"/>
        </w:rPr>
        <w:t xml:space="preserve">    （企业名称）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bookmarkEnd w:id="647"/>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 xml:space="preserve">    （标的名称），属于    （采购文件中明确的所属行业）行业</w:t>
      </w:r>
      <w:r>
        <w:rPr>
          <w:rFonts w:hint="eastAsia" w:ascii="宋体" w:hAnsi="宋体" w:cs="宋体"/>
          <w:kern w:val="0"/>
          <w:sz w:val="24"/>
          <w:szCs w:val="24"/>
        </w:rPr>
        <w:t>；承接企业为</w:t>
      </w:r>
      <w:r>
        <w:rPr>
          <w:rFonts w:hint="eastAsia" w:ascii="宋体" w:hAnsi="宋体" w:cs="宋体"/>
          <w:kern w:val="0"/>
          <w:sz w:val="24"/>
          <w:szCs w:val="24"/>
          <w:u w:val="single"/>
        </w:rPr>
        <w:t xml:space="preserve">    （企业名称）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kern w:val="0"/>
          <w:sz w:val="24"/>
          <w:szCs w:val="24"/>
          <w:vertAlign w:val="superscript"/>
        </w:rPr>
      </w:pPr>
      <w:r>
        <w:rPr>
          <w:rFonts w:hint="eastAsia" w:ascii="宋体" w:hAnsi="宋体" w:cs="宋体"/>
          <w:kern w:val="0"/>
          <w:sz w:val="24"/>
          <w:szCs w:val="24"/>
        </w:rPr>
        <w:t>本企业对上述声明内容的真实性负责。如有虚假，将依法承担相应责任。</w:t>
      </w:r>
    </w:p>
    <w:p>
      <w:pPr>
        <w:spacing w:line="360" w:lineRule="auto"/>
        <w:jc w:val="left"/>
        <w:rPr>
          <w:rFonts w:ascii="宋体" w:hAnsi="宋体" w:cs="宋体"/>
          <w:kern w:val="0"/>
          <w:sz w:val="24"/>
          <w:szCs w:val="24"/>
        </w:rPr>
      </w:pPr>
    </w:p>
    <w:p>
      <w:pPr>
        <w:spacing w:line="360" w:lineRule="auto"/>
        <w:jc w:val="left"/>
        <w:rPr>
          <w:rFonts w:ascii="宋体" w:hAnsi="宋体" w:cs="宋体"/>
          <w:kern w:val="0"/>
          <w:sz w:val="24"/>
          <w:szCs w:val="24"/>
        </w:rPr>
      </w:pPr>
      <w:r>
        <w:rPr>
          <w:rFonts w:hint="eastAsia" w:ascii="宋体" w:hAnsi="宋体" w:cs="宋体"/>
          <w:kern w:val="0"/>
          <w:sz w:val="24"/>
          <w:szCs w:val="24"/>
        </w:rPr>
        <w:t xml:space="preserve">                            企业名称（盖章）： </w:t>
      </w:r>
    </w:p>
    <w:p>
      <w:pPr>
        <w:spacing w:line="360" w:lineRule="auto"/>
        <w:ind w:firstLine="3360" w:firstLineChars="1400"/>
        <w:rPr>
          <w:rFonts w:ascii="宋体" w:hAnsi="宋体" w:cs="宋体"/>
          <w:spacing w:val="6"/>
          <w:sz w:val="24"/>
          <w:szCs w:val="24"/>
        </w:rPr>
      </w:pPr>
      <w:r>
        <w:rPr>
          <w:rFonts w:hint="eastAsia" w:ascii="宋体" w:hAnsi="宋体" w:cs="宋体"/>
          <w:kern w:val="0"/>
          <w:sz w:val="24"/>
          <w:szCs w:val="24"/>
        </w:rPr>
        <w:t>日  期：</w:t>
      </w:r>
    </w:p>
    <w:p>
      <w:pPr>
        <w:ind w:firstLine="420"/>
        <w:rPr>
          <w:rFonts w:ascii="宋体" w:hAnsi="宋体" w:cs="宋体"/>
        </w:rPr>
      </w:pPr>
    </w:p>
    <w:p>
      <w:pPr>
        <w:ind w:firstLine="420"/>
        <w:rPr>
          <w:rFonts w:ascii="宋体" w:hAnsi="宋体" w:cs="宋体"/>
        </w:rPr>
      </w:pPr>
    </w:p>
    <w:p>
      <w:pPr>
        <w:adjustRightInd w:val="0"/>
        <w:snapToGrid w:val="0"/>
        <w:jc w:val="left"/>
        <w:rPr>
          <w:rFonts w:ascii="宋体" w:hAnsi="宋体" w:cs="宋体"/>
          <w:sz w:val="24"/>
          <w:szCs w:val="21"/>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ind w:firstLine="420"/>
              <w:jc w:val="left"/>
              <w:rPr>
                <w:rFonts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pPr>
        <w:ind w:firstLine="420"/>
        <w:rPr>
          <w:rFonts w:ascii="宋体" w:hAnsi="宋体" w:cs="宋体"/>
        </w:rPr>
      </w:pPr>
      <w:r>
        <w:rPr>
          <w:rFonts w:hint="eastAsia" w:ascii="宋体" w:hAnsi="宋体" w:cs="宋体"/>
        </w:rPr>
        <w:br w:type="page"/>
      </w:r>
    </w:p>
    <w:p>
      <w:pPr>
        <w:tabs>
          <w:tab w:val="left" w:pos="5580"/>
        </w:tabs>
        <w:spacing w:line="360" w:lineRule="auto"/>
        <w:rPr>
          <w:rFonts w:ascii="宋体" w:hAnsi="宋体" w:cs="宋体"/>
          <w:sz w:val="24"/>
        </w:rPr>
      </w:pPr>
      <w:r>
        <w:rPr>
          <w:rFonts w:hint="eastAsia" w:ascii="宋体" w:hAnsi="宋体" w:cs="宋体"/>
          <w:sz w:val="24"/>
        </w:rPr>
        <w:t>说明：</w:t>
      </w:r>
    </w:p>
    <w:p>
      <w:pPr>
        <w:tabs>
          <w:tab w:val="left" w:pos="5580"/>
        </w:tabs>
        <w:spacing w:line="360" w:lineRule="auto"/>
        <w:rPr>
          <w:rFonts w:ascii="宋体" w:hAnsi="宋体" w:cs="宋体"/>
          <w:sz w:val="24"/>
        </w:rPr>
      </w:pPr>
      <w:r>
        <w:rPr>
          <w:rFonts w:hint="eastAsia" w:ascii="宋体" w:hAnsi="宋体" w:cs="宋体"/>
          <w:sz w:val="24"/>
        </w:rPr>
        <w:t>（1）如本项目（包）不专门面向中小企业预留采购份额，资格证明文件部分无需提供《中小企业声明函》。</w:t>
      </w:r>
    </w:p>
    <w:p>
      <w:pPr>
        <w:tabs>
          <w:tab w:val="left" w:pos="5580"/>
        </w:tabs>
        <w:spacing w:line="360" w:lineRule="auto"/>
        <w:rPr>
          <w:rFonts w:ascii="宋体" w:hAnsi="宋体" w:cs="宋体"/>
          <w:sz w:val="24"/>
        </w:rPr>
      </w:pPr>
      <w:r>
        <w:rPr>
          <w:rFonts w:hint="eastAsia" w:ascii="宋体" w:hAnsi="宋体" w:cs="宋体"/>
          <w:sz w:val="24"/>
        </w:rPr>
        <w:t>（2）如本项目（包）专门面向小微企业采购，须提供《中小企业声明函》</w:t>
      </w:r>
      <w:r>
        <w:rPr>
          <w:rFonts w:hint="eastAsia" w:ascii="宋体" w:hAnsi="宋体" w:cs="宋体"/>
          <w:sz w:val="24"/>
          <w:szCs w:val="20"/>
        </w:rPr>
        <w:t>（实质性格式）</w:t>
      </w:r>
      <w:r>
        <w:rPr>
          <w:rFonts w:hint="eastAsia" w:ascii="宋体" w:hAnsi="宋体" w:cs="宋体"/>
          <w:sz w:val="24"/>
        </w:rPr>
        <w:t>。</w:t>
      </w:r>
    </w:p>
    <w:p>
      <w:pPr>
        <w:tabs>
          <w:tab w:val="left" w:pos="5580"/>
        </w:tabs>
        <w:spacing w:line="360" w:lineRule="auto"/>
        <w:rPr>
          <w:rFonts w:ascii="宋体" w:hAnsi="宋体" w:cs="宋体"/>
          <w:sz w:val="24"/>
        </w:rPr>
      </w:pPr>
      <w:r>
        <w:rPr>
          <w:rFonts w:hint="eastAsia" w:ascii="宋体" w:hAnsi="宋体" w:cs="宋体"/>
          <w:sz w:val="24"/>
        </w:rPr>
        <w:t>（3）如本项目（包）预留部分采购项目预算专门面向中小企业采购，要求投标人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pPr>
        <w:tabs>
          <w:tab w:val="left" w:pos="5580"/>
        </w:tabs>
        <w:spacing w:line="360" w:lineRule="auto"/>
        <w:rPr>
          <w:rFonts w:ascii="宋体" w:hAnsi="宋体" w:cs="宋体"/>
          <w:sz w:val="24"/>
        </w:rPr>
      </w:pPr>
      <w:r>
        <w:rPr>
          <w:rFonts w:hint="eastAsia" w:ascii="宋体" w:hAnsi="宋体" w:cs="宋体"/>
          <w:sz w:val="24"/>
        </w:rPr>
        <w:t>（4）其他</w:t>
      </w:r>
    </w:p>
    <w:p>
      <w:pPr>
        <w:tabs>
          <w:tab w:val="left" w:pos="5580"/>
        </w:tabs>
        <w:spacing w:line="360" w:lineRule="auto"/>
        <w:rPr>
          <w:rFonts w:ascii="宋体" w:hAnsi="宋体" w:cs="宋体"/>
          <w:sz w:val="24"/>
        </w:rPr>
      </w:pPr>
      <w:r>
        <w:rPr>
          <w:rFonts w:hint="eastAsia" w:ascii="宋体" w:hAnsi="宋体" w:cs="宋体"/>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pPr>
        <w:tabs>
          <w:tab w:val="left" w:pos="5580"/>
        </w:tabs>
        <w:spacing w:line="360" w:lineRule="auto"/>
        <w:rPr>
          <w:rFonts w:ascii="宋体" w:hAnsi="宋体" w:cs="宋体"/>
          <w:sz w:val="24"/>
        </w:rPr>
      </w:pPr>
      <w:r>
        <w:rPr>
          <w:rFonts w:hint="eastAsia" w:ascii="宋体" w:hAnsi="宋体" w:cs="宋体"/>
          <w:sz w:val="24"/>
        </w:rPr>
        <w:t>3）对于多标的的采购项目，投标人应充分、准确地了解所投产品制造企业信息。对相关情况了解不清楚的，不建议填报本声明函。</w:t>
      </w:r>
    </w:p>
    <w:p>
      <w:pPr>
        <w:spacing w:line="360" w:lineRule="auto"/>
        <w:rPr>
          <w:rFonts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rPr>
          <w:rFonts w:ascii="宋体" w:hAnsi="宋体" w:cs="宋体"/>
          <w:sz w:val="24"/>
        </w:rPr>
      </w:pPr>
      <w:r>
        <w:rPr>
          <w:rFonts w:hint="eastAsia" w:ascii="宋体" w:hAnsi="宋体" w:cs="宋体"/>
          <w:sz w:val="24"/>
        </w:rPr>
        <w:br w:type="page"/>
      </w:r>
    </w:p>
    <w:p>
      <w:pPr>
        <w:pStyle w:val="4"/>
        <w:spacing w:line="360" w:lineRule="auto"/>
        <w:ind w:firstLine="482"/>
        <w:rPr>
          <w:rFonts w:ascii="宋体" w:hAnsi="宋体" w:cs="宋体"/>
          <w:sz w:val="24"/>
          <w:szCs w:val="24"/>
        </w:rPr>
      </w:pPr>
      <w:bookmarkStart w:id="648" w:name="_Toc90648660"/>
      <w:bookmarkStart w:id="649" w:name="_Toc85461425"/>
      <w:bookmarkStart w:id="650" w:name="_Toc100786157"/>
      <w:r>
        <w:rPr>
          <w:rFonts w:hint="eastAsia" w:ascii="宋体" w:hAnsi="宋体" w:cs="宋体"/>
          <w:b/>
          <w:bCs/>
          <w:sz w:val="24"/>
          <w:szCs w:val="24"/>
        </w:rPr>
        <w:t>附件</w:t>
      </w:r>
      <w:r>
        <w:rPr>
          <w:rFonts w:hint="eastAsia" w:ascii="宋体" w:hAnsi="宋体" w:cs="宋体"/>
          <w:b/>
          <w:bCs/>
          <w:sz w:val="24"/>
          <w:szCs w:val="24"/>
          <w:lang w:val="en-US"/>
        </w:rPr>
        <w:t>15</w:t>
      </w:r>
      <w:r>
        <w:rPr>
          <w:rFonts w:hint="eastAsia" w:ascii="宋体" w:hAnsi="宋体" w:cs="宋体"/>
          <w:b/>
          <w:bCs/>
          <w:sz w:val="24"/>
          <w:szCs w:val="24"/>
        </w:rPr>
        <w:t>-2  监狱企业证明（原件）</w:t>
      </w:r>
      <w:bookmarkEnd w:id="648"/>
      <w:bookmarkEnd w:id="649"/>
      <w:bookmarkEnd w:id="650"/>
    </w:p>
    <w:p>
      <w:pPr>
        <w:spacing w:line="360" w:lineRule="auto"/>
        <w:ind w:firstLine="506" w:firstLineChars="201"/>
        <w:rPr>
          <w:rFonts w:ascii="宋体" w:hAnsi="宋体" w:cs="宋体"/>
          <w:spacing w:val="6"/>
          <w:sz w:val="24"/>
          <w:szCs w:val="24"/>
        </w:rPr>
      </w:pPr>
      <w:r>
        <w:rPr>
          <w:rFonts w:hint="eastAsia" w:ascii="宋体" w:hAnsi="宋体" w:cs="宋体"/>
          <w:spacing w:val="6"/>
          <w:sz w:val="24"/>
          <w:szCs w:val="24"/>
        </w:rPr>
        <w:t>说明：应当提供由省级以上监狱管理局、戒毒管理局(含新疆生产建设兵团)出具的属于监狱企业的证明文件。北京市监狱企业参加政府采购活动时，应当提供市监狱管理局、市教育矫治局出具的监狱企业的证明文件。</w:t>
      </w:r>
    </w:p>
    <w:p>
      <w:pPr>
        <w:pStyle w:val="4"/>
        <w:spacing w:line="360" w:lineRule="auto"/>
        <w:rPr>
          <w:rFonts w:ascii="宋体" w:hAnsi="宋体" w:cs="宋体"/>
          <w:sz w:val="24"/>
          <w:szCs w:val="24"/>
        </w:rPr>
      </w:pPr>
      <w:r>
        <w:rPr>
          <w:rFonts w:hint="eastAsia" w:ascii="宋体" w:hAnsi="宋体" w:cs="宋体"/>
          <w:sz w:val="24"/>
          <w:szCs w:val="24"/>
        </w:rPr>
        <w:br w:type="page"/>
      </w:r>
      <w:bookmarkStart w:id="651" w:name="_Toc100786158"/>
      <w:bookmarkStart w:id="652" w:name="_Toc85461426"/>
      <w:bookmarkStart w:id="653" w:name="_Toc83722610"/>
      <w:bookmarkStart w:id="654" w:name="_Toc90648661"/>
      <w:r>
        <w:rPr>
          <w:rFonts w:hint="eastAsia" w:ascii="宋体" w:hAnsi="宋体" w:cs="宋体"/>
          <w:b/>
          <w:bCs/>
          <w:sz w:val="24"/>
          <w:szCs w:val="24"/>
        </w:rPr>
        <w:t>附件</w:t>
      </w:r>
      <w:r>
        <w:rPr>
          <w:rFonts w:hint="eastAsia" w:ascii="宋体" w:hAnsi="宋体" w:cs="宋体"/>
          <w:b/>
          <w:bCs/>
          <w:sz w:val="24"/>
          <w:szCs w:val="24"/>
          <w:lang w:val="en-US"/>
        </w:rPr>
        <w:t>15</w:t>
      </w:r>
      <w:r>
        <w:rPr>
          <w:rFonts w:hint="eastAsia" w:ascii="宋体" w:hAnsi="宋体" w:cs="宋体"/>
          <w:b/>
          <w:bCs/>
          <w:sz w:val="24"/>
          <w:szCs w:val="24"/>
        </w:rPr>
        <w:t>-3  残疾人福利性单位声明函</w:t>
      </w:r>
      <w:bookmarkEnd w:id="651"/>
      <w:bookmarkEnd w:id="652"/>
      <w:bookmarkEnd w:id="653"/>
      <w:bookmarkEnd w:id="654"/>
      <w:r>
        <w:rPr>
          <w:rFonts w:hint="eastAsia" w:ascii="宋体" w:hAnsi="宋体" w:cs="宋体"/>
          <w:b/>
          <w:bCs/>
          <w:sz w:val="24"/>
          <w:szCs w:val="24"/>
          <w:lang w:val="en-US"/>
        </w:rPr>
        <w:t>（如有）</w:t>
      </w:r>
    </w:p>
    <w:p>
      <w:pPr>
        <w:spacing w:line="360" w:lineRule="auto"/>
        <w:ind w:firstLine="506"/>
        <w:jc w:val="center"/>
        <w:rPr>
          <w:rFonts w:ascii="宋体" w:hAnsi="宋体" w:cs="宋体"/>
          <w:b/>
          <w:spacing w:val="6"/>
          <w:sz w:val="24"/>
          <w:szCs w:val="24"/>
        </w:rPr>
      </w:pPr>
    </w:p>
    <w:p>
      <w:pPr>
        <w:spacing w:line="360" w:lineRule="auto"/>
        <w:ind w:firstLine="506"/>
        <w:jc w:val="center"/>
        <w:rPr>
          <w:rFonts w:ascii="宋体" w:hAnsi="宋体" w:cs="宋体"/>
          <w:b/>
          <w:spacing w:val="6"/>
          <w:sz w:val="24"/>
          <w:szCs w:val="24"/>
        </w:rPr>
      </w:pPr>
      <w:r>
        <w:rPr>
          <w:rFonts w:hint="eastAsia" w:ascii="宋体" w:hAnsi="宋体" w:cs="宋体"/>
          <w:b/>
          <w:spacing w:val="6"/>
          <w:sz w:val="24"/>
          <w:szCs w:val="24"/>
        </w:rPr>
        <w:t>残疾人福利性单位声明函</w:t>
      </w:r>
    </w:p>
    <w:p>
      <w:pPr>
        <w:spacing w:line="360" w:lineRule="auto"/>
        <w:ind w:firstLine="506"/>
        <w:rPr>
          <w:rFonts w:ascii="宋体" w:hAnsi="宋体" w:cs="宋体"/>
          <w:b/>
          <w:spacing w:val="6"/>
          <w:sz w:val="24"/>
          <w:szCs w:val="24"/>
        </w:rPr>
      </w:pPr>
    </w:p>
    <w:p>
      <w:pPr>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pPr>
        <w:spacing w:line="36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36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6" w:firstLineChars="200"/>
        <w:rPr>
          <w:rFonts w:ascii="宋体" w:hAnsi="宋体" w:cs="宋体"/>
          <w:spacing w:val="6"/>
          <w:sz w:val="24"/>
          <w:szCs w:val="24"/>
        </w:rPr>
      </w:pPr>
      <w:r>
        <w:rPr>
          <w:rFonts w:hint="eastAsia" w:ascii="宋体" w:hAnsi="宋体" w:cs="宋体"/>
          <w:b/>
          <w:spacing w:val="6"/>
          <w:sz w:val="24"/>
        </w:rPr>
        <w:t>本单位对上述声明的真实性负责。如有虚假，将依法承担相应责任。</w:t>
      </w:r>
    </w:p>
    <w:p>
      <w:pPr>
        <w:spacing w:line="360" w:lineRule="auto"/>
        <w:ind w:firstLine="504" w:firstLineChars="200"/>
        <w:rPr>
          <w:rFonts w:ascii="宋体" w:hAnsi="宋体" w:cs="宋体"/>
          <w:spacing w:val="6"/>
          <w:sz w:val="24"/>
          <w:szCs w:val="24"/>
        </w:rPr>
      </w:pPr>
    </w:p>
    <w:p>
      <w:pPr>
        <w:spacing w:line="360" w:lineRule="auto"/>
        <w:ind w:firstLine="504" w:firstLineChars="200"/>
        <w:rPr>
          <w:rFonts w:ascii="宋体" w:hAnsi="宋体" w:cs="宋体"/>
          <w:spacing w:val="6"/>
          <w:sz w:val="24"/>
          <w:szCs w:val="24"/>
        </w:rPr>
      </w:pPr>
    </w:p>
    <w:p>
      <w:pPr>
        <w:tabs>
          <w:tab w:val="left" w:pos="4860"/>
        </w:tabs>
        <w:spacing w:line="360" w:lineRule="auto"/>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spacing w:line="360" w:lineRule="auto"/>
        <w:ind w:firstLine="504"/>
        <w:rPr>
          <w:rFonts w:ascii="宋体" w:hAnsi="宋体" w:cs="宋体"/>
          <w:sz w:val="24"/>
          <w:szCs w:val="24"/>
        </w:rPr>
      </w:pPr>
      <w:r>
        <w:rPr>
          <w:rFonts w:hint="eastAsia" w:ascii="宋体" w:hAnsi="宋体" w:cs="宋体"/>
          <w:spacing w:val="6"/>
          <w:sz w:val="24"/>
          <w:szCs w:val="24"/>
        </w:rPr>
        <w:t xml:space="preserve">                           日  期：</w:t>
      </w:r>
    </w:p>
    <w:p>
      <w:pPr>
        <w:spacing w:line="360" w:lineRule="auto"/>
        <w:rPr>
          <w:rFonts w:ascii="宋体" w:hAnsi="宋体" w:cs="宋体"/>
          <w:sz w:val="24"/>
          <w:szCs w:val="24"/>
        </w:rPr>
      </w:pPr>
    </w:p>
    <w:p>
      <w:pPr>
        <w:spacing w:line="360" w:lineRule="auto"/>
        <w:rPr>
          <w:rFonts w:ascii="宋体" w:hAnsi="宋体" w:cs="宋体"/>
          <w:sz w:val="24"/>
          <w:szCs w:val="24"/>
        </w:rPr>
      </w:pPr>
    </w:p>
    <w:p>
      <w:pPr>
        <w:pStyle w:val="45"/>
        <w:spacing w:line="360" w:lineRule="auto"/>
        <w:ind w:firstLine="482"/>
        <w:rPr>
          <w:rFonts w:ascii="宋体" w:hAnsi="宋体" w:eastAsia="宋体" w:cs="宋体"/>
          <w:sz w:val="30"/>
          <w:szCs w:val="30"/>
        </w:rPr>
      </w:pPr>
      <w:r>
        <w:rPr>
          <w:rFonts w:hint="eastAsia" w:ascii="宋体" w:hAnsi="宋体" w:eastAsia="宋体" w:cs="宋体"/>
          <w:sz w:val="24"/>
          <w:szCs w:val="24"/>
        </w:rPr>
        <w:br w:type="page"/>
      </w:r>
      <w:bookmarkStart w:id="655" w:name="_Toc100786175"/>
      <w:bookmarkStart w:id="656" w:name="_Toc22510"/>
      <w:r>
        <w:rPr>
          <w:rFonts w:hint="eastAsia" w:ascii="宋体" w:hAnsi="宋体" w:eastAsia="宋体" w:cs="宋体"/>
          <w:sz w:val="30"/>
          <w:szCs w:val="30"/>
        </w:rPr>
        <w:t>第五章  资格审查</w:t>
      </w:r>
      <w:bookmarkEnd w:id="655"/>
    </w:p>
    <w:p>
      <w:pPr>
        <w:tabs>
          <w:tab w:val="left" w:pos="360"/>
          <w:tab w:val="left" w:pos="900"/>
        </w:tabs>
        <w:snapToGrid w:val="0"/>
        <w:spacing w:line="360" w:lineRule="auto"/>
        <w:ind w:firstLine="482"/>
        <w:jc w:val="left"/>
        <w:outlineLvl w:val="1"/>
        <w:rPr>
          <w:rFonts w:ascii="宋体" w:hAnsi="宋体" w:cs="宋体"/>
          <w:b/>
          <w:sz w:val="24"/>
        </w:rPr>
      </w:pPr>
      <w:bookmarkStart w:id="657" w:name="_Toc100786176"/>
      <w:bookmarkStart w:id="658" w:name="_Toc99301422"/>
      <w:r>
        <w:rPr>
          <w:rFonts w:hint="eastAsia" w:ascii="宋体" w:hAnsi="宋体" w:cs="宋体"/>
          <w:b/>
          <w:sz w:val="24"/>
        </w:rPr>
        <w:t>一、资格审查程序</w:t>
      </w:r>
      <w:bookmarkEnd w:id="657"/>
      <w:bookmarkEnd w:id="658"/>
    </w:p>
    <w:p>
      <w:pPr>
        <w:tabs>
          <w:tab w:val="left" w:pos="426"/>
          <w:tab w:val="left" w:pos="851"/>
        </w:tabs>
        <w:snapToGrid w:val="0"/>
        <w:spacing w:line="360" w:lineRule="auto"/>
        <w:outlineLvl w:val="1"/>
        <w:rPr>
          <w:rFonts w:ascii="宋体" w:hAnsi="宋体" w:cs="宋体"/>
          <w:sz w:val="24"/>
        </w:rPr>
      </w:pPr>
      <w:bookmarkStart w:id="659" w:name="_Toc100786177"/>
      <w:r>
        <w:rPr>
          <w:rFonts w:hint="eastAsia" w:ascii="宋体" w:hAnsi="宋体" w:cs="宋体"/>
          <w:sz w:val="24"/>
        </w:rPr>
        <w:t>1.开标结束后，采购人或采购代理机构将根据《资格审查要求》中的规定，对投标人进行资格审查，并形成资格审查结果。</w:t>
      </w:r>
      <w:bookmarkEnd w:id="659"/>
    </w:p>
    <w:p>
      <w:pPr>
        <w:tabs>
          <w:tab w:val="left" w:pos="426"/>
          <w:tab w:val="left" w:pos="851"/>
        </w:tabs>
        <w:snapToGrid w:val="0"/>
        <w:spacing w:line="360" w:lineRule="auto"/>
        <w:outlineLvl w:val="1"/>
        <w:rPr>
          <w:rFonts w:ascii="宋体" w:hAnsi="宋体" w:cs="宋体"/>
          <w:sz w:val="24"/>
        </w:rPr>
      </w:pPr>
      <w:bookmarkStart w:id="660" w:name="_Toc100786178"/>
      <w:r>
        <w:rPr>
          <w:rFonts w:hint="eastAsia" w:ascii="宋体" w:hAnsi="宋体" w:cs="宋体"/>
          <w:sz w:val="24"/>
        </w:rPr>
        <w:t>2.《资格审查要求》中对格式有要求的，除招标文件另有规定外，均为“实质性格式”文件。</w:t>
      </w:r>
      <w:bookmarkEnd w:id="660"/>
    </w:p>
    <w:p>
      <w:pPr>
        <w:tabs>
          <w:tab w:val="left" w:pos="426"/>
          <w:tab w:val="left" w:pos="851"/>
        </w:tabs>
        <w:snapToGrid w:val="0"/>
        <w:spacing w:line="360" w:lineRule="auto"/>
        <w:outlineLvl w:val="1"/>
        <w:rPr>
          <w:rFonts w:ascii="宋体" w:hAnsi="宋体" w:cs="宋体"/>
          <w:sz w:val="24"/>
        </w:rPr>
      </w:pPr>
      <w:bookmarkStart w:id="661" w:name="_Toc100786179"/>
      <w:r>
        <w:rPr>
          <w:rFonts w:hint="eastAsia" w:ascii="宋体" w:hAnsi="宋体" w:cs="宋体"/>
          <w:sz w:val="24"/>
        </w:rPr>
        <w:t>3.投标人《资格证明文件》有任何一项不符合《资格审查要求》的，资格审查不合格，其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bookmarkEnd w:id="661"/>
    </w:p>
    <w:p>
      <w:pPr>
        <w:tabs>
          <w:tab w:val="left" w:pos="426"/>
          <w:tab w:val="left" w:pos="851"/>
        </w:tabs>
        <w:snapToGrid w:val="0"/>
        <w:spacing w:line="360" w:lineRule="auto"/>
        <w:outlineLvl w:val="1"/>
        <w:rPr>
          <w:rFonts w:ascii="宋体" w:hAnsi="宋体" w:cs="宋体"/>
          <w:sz w:val="24"/>
        </w:rPr>
      </w:pPr>
      <w:bookmarkStart w:id="662" w:name="_Toc100786180"/>
      <w:r>
        <w:rPr>
          <w:rFonts w:hint="eastAsia" w:ascii="宋体" w:hAnsi="宋体" w:cs="宋体"/>
          <w:sz w:val="24"/>
        </w:rPr>
        <w:t>4.资格审查合格的投标人不足3家的，不进行评标。</w:t>
      </w:r>
      <w:bookmarkEnd w:id="662"/>
    </w:p>
    <w:p>
      <w:pPr>
        <w:widowControl/>
        <w:jc w:val="left"/>
        <w:rPr>
          <w:rFonts w:ascii="宋体" w:hAnsi="宋体" w:cs="宋体"/>
          <w:sz w:val="24"/>
        </w:rPr>
      </w:pPr>
    </w:p>
    <w:p>
      <w:pPr>
        <w:tabs>
          <w:tab w:val="left" w:pos="360"/>
          <w:tab w:val="left" w:pos="900"/>
        </w:tabs>
        <w:snapToGrid w:val="0"/>
        <w:spacing w:line="360" w:lineRule="auto"/>
        <w:ind w:firstLine="482"/>
        <w:outlineLvl w:val="1"/>
        <w:rPr>
          <w:rFonts w:ascii="宋体" w:hAnsi="宋体" w:cs="宋体"/>
          <w:b/>
          <w:sz w:val="24"/>
        </w:rPr>
      </w:pPr>
      <w:bookmarkStart w:id="663" w:name="_Toc100786181"/>
      <w:r>
        <w:rPr>
          <w:rFonts w:hint="eastAsia" w:ascii="宋体" w:hAnsi="宋体" w:cs="宋体"/>
          <w:b/>
          <w:sz w:val="24"/>
        </w:rPr>
        <w:t>二、资格审查要求</w:t>
      </w:r>
      <w:bookmarkEnd w:id="663"/>
    </w:p>
    <w:tbl>
      <w:tblPr>
        <w:tblStyle w:val="4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1819"/>
        <w:gridCol w:w="4425"/>
        <w:gridCol w:w="1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rFonts w:ascii="宋体" w:hAnsi="宋体" w:cs="宋体"/>
                <w:b/>
                <w:sz w:val="24"/>
              </w:rPr>
            </w:pPr>
            <w:r>
              <w:rPr>
                <w:rFonts w:hint="eastAsia" w:ascii="宋体" w:hAnsi="宋体" w:cs="宋体"/>
                <w:b/>
                <w:sz w:val="24"/>
              </w:rPr>
              <w:t>序号</w:t>
            </w:r>
          </w:p>
        </w:tc>
        <w:tc>
          <w:tcPr>
            <w:tcW w:w="1067" w:type="pct"/>
            <w:vAlign w:val="center"/>
          </w:tcPr>
          <w:p>
            <w:pPr>
              <w:tabs>
                <w:tab w:val="left" w:pos="1080"/>
              </w:tabs>
              <w:snapToGrid w:val="0"/>
              <w:jc w:val="center"/>
              <w:rPr>
                <w:rFonts w:ascii="宋体" w:hAnsi="宋体" w:cs="宋体"/>
                <w:b/>
                <w:sz w:val="24"/>
              </w:rPr>
            </w:pPr>
            <w:r>
              <w:rPr>
                <w:rFonts w:hint="eastAsia" w:ascii="宋体" w:hAnsi="宋体" w:cs="宋体"/>
                <w:b/>
                <w:sz w:val="24"/>
              </w:rPr>
              <w:t>审查因素</w:t>
            </w:r>
          </w:p>
        </w:tc>
        <w:tc>
          <w:tcPr>
            <w:tcW w:w="2595" w:type="pct"/>
            <w:vAlign w:val="center"/>
          </w:tcPr>
          <w:p>
            <w:pPr>
              <w:tabs>
                <w:tab w:val="left" w:pos="1080"/>
              </w:tabs>
              <w:snapToGrid w:val="0"/>
              <w:jc w:val="center"/>
              <w:rPr>
                <w:rFonts w:ascii="宋体" w:hAnsi="宋体" w:cs="宋体"/>
                <w:b/>
                <w:sz w:val="24"/>
              </w:rPr>
            </w:pPr>
            <w:r>
              <w:rPr>
                <w:rFonts w:hint="eastAsia" w:ascii="宋体" w:hAnsi="宋体" w:cs="宋体"/>
                <w:b/>
                <w:sz w:val="24"/>
              </w:rPr>
              <w:t>审查内容</w:t>
            </w:r>
          </w:p>
        </w:tc>
        <w:tc>
          <w:tcPr>
            <w:tcW w:w="881" w:type="pct"/>
            <w:vAlign w:val="center"/>
          </w:tcPr>
          <w:p>
            <w:pPr>
              <w:tabs>
                <w:tab w:val="left" w:pos="1080"/>
              </w:tabs>
              <w:snapToGrid w:val="0"/>
              <w:jc w:val="center"/>
              <w:rPr>
                <w:rFonts w:ascii="宋体" w:hAnsi="宋体" w:cs="宋体"/>
                <w:b/>
                <w:sz w:val="24"/>
              </w:rPr>
            </w:pPr>
            <w:r>
              <w:rPr>
                <w:rFonts w:hint="eastAsia" w:ascii="宋体" w:hAnsi="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s="宋体"/>
                <w:sz w:val="24"/>
              </w:rPr>
            </w:pPr>
            <w:r>
              <w:rPr>
                <w:rFonts w:hint="eastAsia" w:ascii="宋体" w:hAnsi="宋体" w:cs="宋体"/>
                <w:sz w:val="24"/>
              </w:rPr>
              <w:t>1</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满足《中华人民共和国政府采购法》第二十二条规定及法律法规的其他规定</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具体规定见第一章《投标邀请》</w:t>
            </w:r>
          </w:p>
        </w:tc>
        <w:tc>
          <w:tcPr>
            <w:tcW w:w="881" w:type="pct"/>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s="宋体"/>
                <w:sz w:val="24"/>
              </w:rPr>
            </w:pPr>
            <w:r>
              <w:rPr>
                <w:rFonts w:hint="eastAsia" w:ascii="宋体" w:hAnsi="宋体" w:cs="宋体"/>
                <w:sz w:val="24"/>
              </w:rPr>
              <w:t>1-1</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营业执照等</w:t>
            </w:r>
          </w:p>
          <w:p>
            <w:pPr>
              <w:tabs>
                <w:tab w:val="left" w:pos="1080"/>
              </w:tabs>
              <w:snapToGrid w:val="0"/>
              <w:jc w:val="center"/>
              <w:rPr>
                <w:rFonts w:ascii="宋体" w:hAnsi="宋体" w:cs="宋体"/>
                <w:sz w:val="24"/>
              </w:rPr>
            </w:pPr>
            <w:r>
              <w:rPr>
                <w:rFonts w:hint="eastAsia" w:ascii="宋体" w:hAnsi="宋体" w:cs="宋体"/>
                <w:sz w:val="24"/>
              </w:rPr>
              <w:t>证明文件</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投标人为企业（包括合伙企业）的，应提供有效的“营业执照”；</w:t>
            </w:r>
          </w:p>
          <w:p>
            <w:pPr>
              <w:tabs>
                <w:tab w:val="left" w:pos="1080"/>
              </w:tabs>
              <w:snapToGrid w:val="0"/>
              <w:rPr>
                <w:rFonts w:ascii="宋体" w:hAnsi="宋体" w:cs="宋体"/>
                <w:sz w:val="24"/>
              </w:rPr>
            </w:pPr>
            <w:r>
              <w:rPr>
                <w:rFonts w:hint="eastAsia" w:ascii="宋体" w:hAnsi="宋体" w:cs="宋体"/>
                <w:sz w:val="24"/>
              </w:rPr>
              <w:t>投标人为事业单位的，应提供有效的“事业单位法人证书”；</w:t>
            </w:r>
          </w:p>
          <w:p>
            <w:pPr>
              <w:tabs>
                <w:tab w:val="left" w:pos="1080"/>
              </w:tabs>
              <w:snapToGrid w:val="0"/>
              <w:rPr>
                <w:rFonts w:ascii="宋体" w:hAnsi="宋体" w:cs="宋体"/>
                <w:sz w:val="24"/>
              </w:rPr>
            </w:pPr>
            <w:r>
              <w:rPr>
                <w:rFonts w:hint="eastAsia" w:ascii="宋体" w:hAnsi="宋体" w:cs="宋体"/>
                <w:sz w:val="24"/>
              </w:rPr>
              <w:t>投标人是非企业机构的，应提供有效的“执业许可证”、“登记证书”等证明文件；</w:t>
            </w:r>
          </w:p>
          <w:p>
            <w:pPr>
              <w:tabs>
                <w:tab w:val="left" w:pos="1080"/>
              </w:tabs>
              <w:snapToGrid w:val="0"/>
              <w:rPr>
                <w:rFonts w:ascii="宋体" w:hAnsi="宋体" w:cs="宋体"/>
                <w:sz w:val="24"/>
              </w:rPr>
            </w:pPr>
            <w:r>
              <w:rPr>
                <w:rFonts w:hint="eastAsia" w:ascii="宋体" w:hAnsi="宋体" w:cs="宋体"/>
                <w:sz w:val="24"/>
              </w:rPr>
              <w:t>投标人是个体工商户的，应提供有效的“个体工商户营业执照”；</w:t>
            </w:r>
          </w:p>
          <w:p>
            <w:pPr>
              <w:tabs>
                <w:tab w:val="left" w:pos="1080"/>
              </w:tabs>
              <w:snapToGrid w:val="0"/>
              <w:rPr>
                <w:rFonts w:ascii="宋体" w:hAnsi="宋体" w:cs="宋体"/>
                <w:sz w:val="24"/>
              </w:rPr>
            </w:pPr>
            <w:r>
              <w:rPr>
                <w:rFonts w:hint="eastAsia" w:ascii="宋体" w:hAnsi="宋体" w:cs="宋体"/>
                <w:sz w:val="24"/>
              </w:rPr>
              <w:t>投标人是自然人的，应提供有效的自然人身份证明。</w:t>
            </w:r>
          </w:p>
          <w:p>
            <w:pPr>
              <w:tabs>
                <w:tab w:val="left" w:pos="1080"/>
              </w:tabs>
              <w:snapToGrid w:val="0"/>
              <w:rPr>
                <w:rFonts w:ascii="宋体" w:hAnsi="宋体" w:cs="宋体"/>
                <w:sz w:val="24"/>
              </w:rPr>
            </w:pPr>
            <w:r>
              <w:rPr>
                <w:rFonts w:hint="eastAsia" w:ascii="宋体" w:hAnsi="宋体" w:cs="宋体"/>
                <w:sz w:val="24"/>
              </w:rPr>
              <w:t>若本项目允许分支机构参加投标，则分支机构参加投标的，此处可提供该分支机构或其所属法人或其他组织的相应证明文件。</w:t>
            </w:r>
          </w:p>
        </w:tc>
        <w:tc>
          <w:tcPr>
            <w:tcW w:w="881" w:type="pct"/>
            <w:vAlign w:val="center"/>
          </w:tcPr>
          <w:p>
            <w:pPr>
              <w:tabs>
                <w:tab w:val="left" w:pos="1080"/>
              </w:tabs>
              <w:snapToGrid w:val="0"/>
              <w:rPr>
                <w:rFonts w:ascii="宋体" w:hAnsi="宋体" w:cs="宋体"/>
                <w:sz w:val="24"/>
              </w:rPr>
            </w:pPr>
            <w:r>
              <w:rPr>
                <w:rFonts w:hint="eastAsia" w:ascii="宋体" w:hAnsi="宋体" w:cs="宋体"/>
                <w:sz w:val="24"/>
              </w:rPr>
              <w:t>提供证明文件的复印件加盖投标人公章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s="宋体"/>
                <w:sz w:val="24"/>
              </w:rPr>
            </w:pPr>
            <w:r>
              <w:rPr>
                <w:rFonts w:hint="eastAsia" w:ascii="宋体" w:hAnsi="宋体" w:cs="宋体"/>
                <w:sz w:val="24"/>
              </w:rPr>
              <w:t>1-2</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投标人资格</w:t>
            </w:r>
          </w:p>
          <w:p>
            <w:pPr>
              <w:tabs>
                <w:tab w:val="left" w:pos="1080"/>
              </w:tabs>
              <w:snapToGrid w:val="0"/>
              <w:jc w:val="center"/>
              <w:rPr>
                <w:rFonts w:ascii="宋体" w:hAnsi="宋体" w:cs="宋体"/>
                <w:sz w:val="24"/>
              </w:rPr>
            </w:pPr>
            <w:r>
              <w:rPr>
                <w:rFonts w:hint="eastAsia" w:ascii="宋体" w:hAnsi="宋体" w:cs="宋体"/>
                <w:sz w:val="24"/>
              </w:rPr>
              <w:t>声明书</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提供了符合招标文件要求的《投标人资格声明书》。</w:t>
            </w:r>
          </w:p>
        </w:tc>
        <w:tc>
          <w:tcPr>
            <w:tcW w:w="881" w:type="pct"/>
            <w:vAlign w:val="center"/>
          </w:tcPr>
          <w:p>
            <w:pPr>
              <w:tabs>
                <w:tab w:val="left" w:pos="1080"/>
              </w:tabs>
              <w:snapToGrid w:val="0"/>
              <w:rPr>
                <w:rFonts w:ascii="宋体" w:hAnsi="宋体" w:cs="宋体"/>
                <w:sz w:val="24"/>
              </w:rPr>
            </w:pPr>
            <w:r>
              <w:rPr>
                <w:rFonts w:hint="eastAsia" w:ascii="宋体" w:hAnsi="宋体" w:cs="宋体"/>
                <w:sz w:val="24"/>
              </w:rPr>
              <w:t>格式见附件6-2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s="宋体"/>
                <w:sz w:val="24"/>
              </w:rPr>
            </w:pPr>
            <w:r>
              <w:rPr>
                <w:rFonts w:hint="eastAsia" w:ascii="宋体" w:hAnsi="宋体" w:cs="宋体"/>
                <w:sz w:val="24"/>
              </w:rPr>
              <w:t>1-3</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投标人信用</w:t>
            </w:r>
          </w:p>
          <w:p>
            <w:pPr>
              <w:tabs>
                <w:tab w:val="left" w:pos="1080"/>
              </w:tabs>
              <w:snapToGrid w:val="0"/>
              <w:jc w:val="center"/>
              <w:rPr>
                <w:rFonts w:ascii="宋体" w:hAnsi="宋体" w:cs="宋体"/>
                <w:sz w:val="24"/>
              </w:rPr>
            </w:pPr>
            <w:r>
              <w:rPr>
                <w:rFonts w:hint="eastAsia" w:ascii="宋体" w:hAnsi="宋体" w:cs="宋体"/>
                <w:sz w:val="24"/>
              </w:rPr>
              <w:t>记录</w:t>
            </w:r>
          </w:p>
        </w:tc>
        <w:tc>
          <w:tcPr>
            <w:tcW w:w="2595" w:type="pct"/>
            <w:vAlign w:val="center"/>
          </w:tcPr>
          <w:p>
            <w:pPr>
              <w:tabs>
                <w:tab w:val="left" w:pos="1080"/>
              </w:tabs>
              <w:snapToGrid w:val="0"/>
              <w:jc w:val="left"/>
              <w:rPr>
                <w:rFonts w:ascii="宋体" w:hAnsi="宋体" w:cs="宋体"/>
                <w:sz w:val="24"/>
              </w:rPr>
            </w:pPr>
            <w:r>
              <w:rPr>
                <w:rFonts w:hint="eastAsia" w:ascii="宋体" w:hAnsi="宋体" w:cs="宋体"/>
                <w:sz w:val="24"/>
              </w:rPr>
              <w:t>查询渠道：信用中国网站和中国政府采购网（www.creditchina.gov.cn、www.ccgp.gov.cn）；</w:t>
            </w:r>
          </w:p>
          <w:p>
            <w:pPr>
              <w:tabs>
                <w:tab w:val="left" w:pos="1080"/>
              </w:tabs>
              <w:snapToGrid w:val="0"/>
              <w:jc w:val="left"/>
              <w:rPr>
                <w:rFonts w:ascii="宋体" w:hAnsi="宋体" w:cs="宋体"/>
                <w:sz w:val="24"/>
              </w:rPr>
            </w:pPr>
            <w:r>
              <w:rPr>
                <w:rFonts w:hint="eastAsia" w:ascii="宋体" w:hAnsi="宋体" w:cs="宋体"/>
                <w:sz w:val="24"/>
              </w:rPr>
              <w:t>截止时点：投标截止时间以后、资格审查阶段采购人或采购代理机构的实际查询时间；</w:t>
            </w:r>
          </w:p>
          <w:p>
            <w:pPr>
              <w:tabs>
                <w:tab w:val="left" w:pos="900"/>
                <w:tab w:val="left" w:pos="1980"/>
              </w:tabs>
              <w:snapToGrid w:val="0"/>
              <w:jc w:val="left"/>
              <w:rPr>
                <w:rFonts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pPr>
              <w:tabs>
                <w:tab w:val="left" w:pos="1080"/>
              </w:tabs>
              <w:snapToGrid w:val="0"/>
              <w:jc w:val="left"/>
              <w:rPr>
                <w:rFonts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881" w:type="pct"/>
            <w:vAlign w:val="center"/>
          </w:tcPr>
          <w:p>
            <w:pPr>
              <w:tabs>
                <w:tab w:val="left" w:pos="1080"/>
              </w:tabs>
              <w:snapToGrid w:val="0"/>
              <w:rPr>
                <w:rFonts w:ascii="宋体" w:hAnsi="宋体" w:cs="宋体"/>
                <w:sz w:val="24"/>
              </w:rPr>
            </w:pPr>
            <w:r>
              <w:rPr>
                <w:rFonts w:hint="eastAsia" w:ascii="宋体" w:hAnsi="宋体" w:cs="宋体"/>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s="宋体"/>
                <w:sz w:val="24"/>
              </w:rPr>
            </w:pPr>
            <w:r>
              <w:rPr>
                <w:rFonts w:hint="eastAsia" w:ascii="宋体" w:hAnsi="宋体" w:cs="宋体"/>
                <w:sz w:val="24"/>
              </w:rPr>
              <w:t>2</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落实政府采购政策需满足的资格要求</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具体要求见第一章《投标邀请》</w:t>
            </w:r>
          </w:p>
        </w:tc>
        <w:tc>
          <w:tcPr>
            <w:tcW w:w="881" w:type="pct"/>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s="宋体"/>
                <w:sz w:val="24"/>
              </w:rPr>
            </w:pPr>
            <w:r>
              <w:rPr>
                <w:rFonts w:hint="eastAsia" w:ascii="宋体" w:hAnsi="宋体" w:cs="宋体"/>
                <w:sz w:val="24"/>
              </w:rPr>
              <w:t>3</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投标保证金</w:t>
            </w:r>
          </w:p>
        </w:tc>
        <w:tc>
          <w:tcPr>
            <w:tcW w:w="2595" w:type="pct"/>
            <w:vAlign w:val="center"/>
          </w:tcPr>
          <w:p>
            <w:pPr>
              <w:tabs>
                <w:tab w:val="left" w:pos="1080"/>
              </w:tabs>
              <w:snapToGrid w:val="0"/>
              <w:rPr>
                <w:rFonts w:ascii="宋体" w:hAnsi="宋体" w:cs="宋体"/>
                <w:sz w:val="24"/>
              </w:rPr>
            </w:pPr>
            <w:r>
              <w:rPr>
                <w:rFonts w:hint="eastAsia" w:ascii="宋体" w:hAnsi="宋体" w:cs="宋体"/>
                <w:sz w:val="24"/>
                <w:szCs w:val="24"/>
              </w:rPr>
              <w:t>按照招标文件的规定提交投标保证金。</w:t>
            </w:r>
          </w:p>
        </w:tc>
        <w:tc>
          <w:tcPr>
            <w:tcW w:w="881" w:type="pct"/>
            <w:vAlign w:val="center"/>
          </w:tcPr>
          <w:p>
            <w:pPr>
              <w:tabs>
                <w:tab w:val="left" w:pos="1080"/>
              </w:tabs>
              <w:snapToGrid w:val="0"/>
              <w:rPr>
                <w:rFonts w:ascii="宋体" w:hAnsi="宋体" w:cs="宋体"/>
                <w:sz w:val="24"/>
              </w:rPr>
            </w:pPr>
          </w:p>
        </w:tc>
      </w:tr>
    </w:tbl>
    <w:p>
      <w:pPr>
        <w:widowControl/>
        <w:jc w:val="left"/>
        <w:rPr>
          <w:rFonts w:ascii="宋体" w:hAnsi="宋体" w:cs="宋体"/>
          <w:sz w:val="24"/>
        </w:rPr>
      </w:pPr>
      <w:r>
        <w:rPr>
          <w:rFonts w:hint="eastAsia" w:ascii="宋体" w:hAnsi="宋体" w:cs="宋体"/>
          <w:sz w:val="24"/>
        </w:rPr>
        <w:br w:type="page"/>
      </w:r>
    </w:p>
    <w:p>
      <w:pPr>
        <w:pStyle w:val="45"/>
        <w:spacing w:line="360" w:lineRule="auto"/>
        <w:ind w:firstLine="602"/>
        <w:rPr>
          <w:rFonts w:ascii="宋体" w:hAnsi="宋体" w:eastAsia="宋体" w:cs="宋体"/>
          <w:sz w:val="24"/>
          <w:szCs w:val="24"/>
        </w:rPr>
      </w:pPr>
      <w:bookmarkStart w:id="664" w:name="_Toc100786182"/>
      <w:r>
        <w:rPr>
          <w:rFonts w:hint="eastAsia" w:ascii="宋体" w:hAnsi="宋体" w:eastAsia="宋体" w:cs="宋体"/>
          <w:sz w:val="30"/>
          <w:szCs w:val="30"/>
        </w:rPr>
        <w:t xml:space="preserve">第六章  </w:t>
      </w:r>
      <w:bookmarkEnd w:id="656"/>
      <w:r>
        <w:rPr>
          <w:rFonts w:hint="eastAsia" w:ascii="宋体" w:hAnsi="宋体" w:eastAsia="宋体" w:cs="宋体"/>
          <w:sz w:val="30"/>
          <w:szCs w:val="30"/>
        </w:rPr>
        <w:t>评标程序、评标方法和评标标准</w:t>
      </w:r>
      <w:bookmarkEnd w:id="664"/>
    </w:p>
    <w:p>
      <w:pPr>
        <w:snapToGrid w:val="0"/>
        <w:spacing w:line="360" w:lineRule="auto"/>
        <w:ind w:firstLine="482"/>
        <w:rPr>
          <w:rFonts w:ascii="宋体" w:hAnsi="宋体" w:cs="宋体"/>
          <w:b/>
          <w:sz w:val="24"/>
          <w:szCs w:val="24"/>
        </w:rPr>
      </w:pPr>
    </w:p>
    <w:p>
      <w:pPr>
        <w:pStyle w:val="3"/>
        <w:spacing w:line="360" w:lineRule="auto"/>
        <w:ind w:firstLine="482"/>
        <w:jc w:val="left"/>
        <w:rPr>
          <w:rFonts w:ascii="宋体" w:hAnsi="宋体"/>
          <w:sz w:val="24"/>
          <w:szCs w:val="24"/>
        </w:rPr>
      </w:pPr>
      <w:bookmarkStart w:id="665" w:name="_Toc12076"/>
      <w:bookmarkStart w:id="666" w:name="_Toc83722624"/>
      <w:bookmarkStart w:id="667" w:name="_Toc23372"/>
      <w:bookmarkStart w:id="668" w:name="_Toc15435079"/>
      <w:bookmarkStart w:id="669" w:name="_Toc85461436"/>
      <w:bookmarkStart w:id="670" w:name="_Toc9165"/>
      <w:bookmarkStart w:id="671" w:name="_Toc496291424"/>
      <w:bookmarkStart w:id="672" w:name="_Toc8999363"/>
      <w:bookmarkStart w:id="673" w:name="_Toc50760965"/>
      <w:bookmarkStart w:id="674" w:name="_Toc100786183"/>
      <w:bookmarkStart w:id="675" w:name="_Toc92789336"/>
      <w:bookmarkStart w:id="676" w:name="_Toc17133"/>
      <w:bookmarkStart w:id="677" w:name="_Toc15319"/>
      <w:bookmarkStart w:id="678" w:name="_Toc15039"/>
      <w:r>
        <w:rPr>
          <w:rFonts w:hint="eastAsia" w:ascii="宋体" w:hAnsi="宋体"/>
          <w:sz w:val="24"/>
          <w:szCs w:val="24"/>
        </w:rPr>
        <w:t>（一）总则</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snapToGrid w:val="0"/>
        <w:spacing w:line="360" w:lineRule="auto"/>
        <w:rPr>
          <w:rFonts w:ascii="宋体" w:hAnsi="宋体" w:cs="宋体"/>
          <w:sz w:val="24"/>
          <w:szCs w:val="24"/>
        </w:rPr>
      </w:pPr>
      <w:r>
        <w:rPr>
          <w:rFonts w:hint="eastAsia" w:ascii="宋体" w:hAnsi="宋体" w:cs="宋体"/>
          <w:sz w:val="24"/>
          <w:szCs w:val="24"/>
        </w:rPr>
        <w:t>1.1  本办法为仅适用于本项目的评标。</w:t>
      </w:r>
    </w:p>
    <w:p>
      <w:pPr>
        <w:snapToGrid w:val="0"/>
        <w:spacing w:line="360" w:lineRule="auto"/>
        <w:rPr>
          <w:rFonts w:ascii="宋体" w:hAnsi="宋体" w:cs="宋体"/>
          <w:sz w:val="24"/>
          <w:szCs w:val="24"/>
        </w:rPr>
      </w:pPr>
      <w:r>
        <w:rPr>
          <w:rFonts w:hint="eastAsia" w:ascii="宋体" w:hAnsi="宋体" w:cs="宋体"/>
          <w:sz w:val="24"/>
          <w:szCs w:val="24"/>
        </w:rPr>
        <w:t>1.2  本办法是招标文件的组成部分。</w:t>
      </w:r>
    </w:p>
    <w:p>
      <w:pPr>
        <w:snapToGrid w:val="0"/>
        <w:spacing w:line="360" w:lineRule="auto"/>
        <w:rPr>
          <w:rFonts w:ascii="宋体" w:hAnsi="宋体" w:cs="宋体"/>
          <w:sz w:val="24"/>
          <w:szCs w:val="24"/>
        </w:rPr>
      </w:pPr>
      <w:r>
        <w:rPr>
          <w:rFonts w:hint="eastAsia" w:ascii="宋体" w:hAnsi="宋体" w:cs="宋体"/>
          <w:sz w:val="24"/>
          <w:szCs w:val="24"/>
        </w:rPr>
        <w:t>1.3  评标工作由依法组建的评标委员会承担。评标委员会由采购人的代表以及受聘的经济、技术专家组成，评标委员会成员总人数为5人（含）以上单数，其中专家人数不少于评委总数的2/3。专家聘请遵从《中华人民共和国政府采购法》、《中华人民共和国政府采购法实施条例》等相关法律法规的有关规定。评标委员会推荐一名经济、技术专家为评标组长，将遵守公正、公平、科学、择优的原则，根据招标文件规定的评审方法和评分标准进行。</w:t>
      </w:r>
    </w:p>
    <w:p>
      <w:pPr>
        <w:snapToGrid w:val="0"/>
        <w:spacing w:line="360" w:lineRule="auto"/>
        <w:rPr>
          <w:rFonts w:ascii="宋体" w:hAnsi="宋体" w:cs="宋体"/>
          <w:sz w:val="24"/>
          <w:szCs w:val="24"/>
        </w:rPr>
      </w:pPr>
      <w:r>
        <w:rPr>
          <w:rFonts w:hint="eastAsia" w:ascii="宋体" w:hAnsi="宋体" w:cs="宋体"/>
          <w:sz w:val="24"/>
          <w:szCs w:val="24"/>
        </w:rPr>
        <w:t>1.4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snapToGrid w:val="0"/>
        <w:spacing w:line="360" w:lineRule="auto"/>
        <w:rPr>
          <w:rFonts w:ascii="宋体" w:hAnsi="宋体" w:cs="宋体"/>
          <w:sz w:val="24"/>
          <w:szCs w:val="24"/>
        </w:rPr>
      </w:pPr>
      <w:r>
        <w:rPr>
          <w:rFonts w:hint="eastAsia" w:ascii="宋体" w:hAnsi="宋体" w:cs="宋体"/>
          <w:sz w:val="24"/>
          <w:szCs w:val="24"/>
        </w:rPr>
        <w:t>1.5  与投标人有利害关系的人员不得参与本项目的评审工作。评标委员会成员的名单在中标结果确定前应当保密。</w:t>
      </w:r>
    </w:p>
    <w:p>
      <w:pPr>
        <w:snapToGrid w:val="0"/>
        <w:spacing w:line="360" w:lineRule="auto"/>
        <w:rPr>
          <w:rFonts w:ascii="宋体" w:hAnsi="宋体" w:cs="宋体"/>
          <w:sz w:val="24"/>
          <w:szCs w:val="24"/>
        </w:rPr>
      </w:pPr>
      <w:r>
        <w:rPr>
          <w:rFonts w:hint="eastAsia" w:ascii="宋体" w:hAnsi="宋体" w:cs="宋体"/>
          <w:sz w:val="24"/>
          <w:szCs w:val="24"/>
        </w:rPr>
        <w:t>1.6  评标期间，评标人员必须严格遵守保密规定，不得泄露与评标有关的情况，不得索贿受贿，不得参加影响公正评标的任何活动。</w:t>
      </w:r>
    </w:p>
    <w:p>
      <w:pPr>
        <w:snapToGrid w:val="0"/>
        <w:spacing w:line="360" w:lineRule="auto"/>
        <w:rPr>
          <w:rFonts w:ascii="宋体" w:hAnsi="宋体" w:cs="宋体"/>
          <w:sz w:val="24"/>
          <w:szCs w:val="24"/>
        </w:rPr>
      </w:pPr>
      <w:r>
        <w:rPr>
          <w:rFonts w:hint="eastAsia" w:ascii="宋体" w:hAnsi="宋体" w:cs="宋体"/>
          <w:sz w:val="24"/>
          <w:szCs w:val="24"/>
        </w:rPr>
        <w:t>1.7  投标人不得采取任何方式干扰评标工作。</w:t>
      </w:r>
    </w:p>
    <w:p>
      <w:pPr>
        <w:pStyle w:val="3"/>
        <w:spacing w:line="360" w:lineRule="auto"/>
        <w:ind w:firstLine="482"/>
        <w:jc w:val="left"/>
        <w:rPr>
          <w:rFonts w:ascii="宋体" w:hAnsi="宋体"/>
          <w:sz w:val="24"/>
          <w:szCs w:val="24"/>
        </w:rPr>
      </w:pPr>
      <w:bookmarkStart w:id="679" w:name="_Toc100786184"/>
      <w:bookmarkStart w:id="680" w:name="_Toc11577"/>
      <w:bookmarkStart w:id="681" w:name="_Toc17268"/>
      <w:bookmarkStart w:id="682" w:name="_Toc85461437"/>
      <w:bookmarkStart w:id="683" w:name="_Toc21568"/>
      <w:bookmarkStart w:id="684" w:name="_Toc8999364"/>
      <w:bookmarkStart w:id="685" w:name="_Toc25518"/>
      <w:bookmarkStart w:id="686" w:name="_Toc50760966"/>
      <w:bookmarkStart w:id="687" w:name="_Toc92789337"/>
      <w:bookmarkStart w:id="688" w:name="_Toc83722625"/>
      <w:bookmarkStart w:id="689" w:name="_Toc27627"/>
      <w:bookmarkStart w:id="690" w:name="_Toc5932"/>
      <w:bookmarkStart w:id="691" w:name="_Toc15435080"/>
      <w:bookmarkStart w:id="692" w:name="_Toc496291425"/>
      <w:r>
        <w:rPr>
          <w:rFonts w:hint="eastAsia" w:ascii="宋体" w:hAnsi="宋体"/>
          <w:sz w:val="24"/>
          <w:szCs w:val="24"/>
        </w:rPr>
        <w:t>（二）评标委员会的工作内容</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snapToGrid w:val="0"/>
        <w:spacing w:line="360" w:lineRule="auto"/>
        <w:rPr>
          <w:rFonts w:ascii="宋体" w:hAnsi="宋体" w:cs="宋体"/>
          <w:sz w:val="24"/>
          <w:szCs w:val="24"/>
        </w:rPr>
      </w:pPr>
      <w:r>
        <w:rPr>
          <w:rFonts w:hint="eastAsia" w:ascii="宋体" w:hAnsi="宋体" w:cs="宋体"/>
          <w:sz w:val="24"/>
          <w:szCs w:val="24"/>
        </w:rPr>
        <w:t>2.1  审查、评价投标文件是否符合招标文件的商务、技术等实质性要求；</w:t>
      </w:r>
    </w:p>
    <w:p>
      <w:pPr>
        <w:snapToGrid w:val="0"/>
        <w:spacing w:line="360" w:lineRule="auto"/>
        <w:rPr>
          <w:rFonts w:ascii="宋体" w:hAnsi="宋体" w:cs="宋体"/>
          <w:sz w:val="24"/>
          <w:szCs w:val="24"/>
        </w:rPr>
      </w:pPr>
      <w:r>
        <w:rPr>
          <w:rFonts w:hint="eastAsia" w:ascii="宋体" w:hAnsi="宋体" w:cs="宋体"/>
          <w:sz w:val="24"/>
          <w:szCs w:val="24"/>
        </w:rPr>
        <w:t>2.2  要求投标人对投标文件有关事项作出澄清或者说明；</w:t>
      </w:r>
    </w:p>
    <w:p>
      <w:pPr>
        <w:snapToGrid w:val="0"/>
        <w:spacing w:line="360" w:lineRule="auto"/>
        <w:rPr>
          <w:rFonts w:ascii="宋体" w:hAnsi="宋体" w:cs="宋体"/>
          <w:sz w:val="24"/>
          <w:szCs w:val="24"/>
        </w:rPr>
      </w:pPr>
      <w:r>
        <w:rPr>
          <w:rFonts w:hint="eastAsia" w:ascii="宋体" w:hAnsi="宋体" w:cs="宋体"/>
          <w:sz w:val="24"/>
          <w:szCs w:val="24"/>
        </w:rPr>
        <w:t>2.3  对投标文件进行比较和评价；</w:t>
      </w:r>
    </w:p>
    <w:p>
      <w:pPr>
        <w:snapToGrid w:val="0"/>
        <w:spacing w:line="360" w:lineRule="auto"/>
        <w:rPr>
          <w:rFonts w:ascii="宋体" w:hAnsi="宋体" w:cs="宋体"/>
          <w:sz w:val="24"/>
          <w:szCs w:val="24"/>
        </w:rPr>
      </w:pPr>
      <w:r>
        <w:rPr>
          <w:rFonts w:hint="eastAsia" w:ascii="宋体" w:hAnsi="宋体" w:cs="宋体"/>
          <w:sz w:val="24"/>
          <w:szCs w:val="24"/>
        </w:rPr>
        <w:t>2.4  确定中标候选人名单，以及根据采购人委托直接确定中标人；</w:t>
      </w:r>
    </w:p>
    <w:p>
      <w:pPr>
        <w:snapToGrid w:val="0"/>
        <w:spacing w:line="360" w:lineRule="auto"/>
        <w:rPr>
          <w:rFonts w:ascii="宋体" w:hAnsi="宋体" w:cs="宋体"/>
          <w:sz w:val="24"/>
          <w:szCs w:val="24"/>
        </w:rPr>
      </w:pPr>
      <w:r>
        <w:rPr>
          <w:rFonts w:hint="eastAsia" w:ascii="宋体" w:hAnsi="宋体" w:cs="宋体"/>
          <w:sz w:val="24"/>
          <w:szCs w:val="24"/>
        </w:rPr>
        <w:t>2.5  向采购人、采购代理机构或者有关部门报告评标中发现的违法行为。</w:t>
      </w:r>
    </w:p>
    <w:p>
      <w:pPr>
        <w:pStyle w:val="3"/>
        <w:spacing w:line="360" w:lineRule="auto"/>
        <w:ind w:firstLine="482"/>
        <w:jc w:val="left"/>
        <w:rPr>
          <w:rFonts w:ascii="宋体" w:hAnsi="宋体"/>
          <w:sz w:val="24"/>
          <w:szCs w:val="24"/>
        </w:rPr>
      </w:pPr>
      <w:bookmarkStart w:id="693" w:name="_Toc15435081"/>
      <w:bookmarkStart w:id="694" w:name="_Toc29745"/>
      <w:bookmarkStart w:id="695" w:name="_Toc50760967"/>
      <w:bookmarkStart w:id="696" w:name="_Toc92789338"/>
      <w:bookmarkStart w:id="697" w:name="_Toc85461438"/>
      <w:bookmarkStart w:id="698" w:name="_Toc100786185"/>
      <w:bookmarkStart w:id="699" w:name="_Toc8999365"/>
      <w:bookmarkStart w:id="700" w:name="_Toc28871"/>
      <w:bookmarkStart w:id="701" w:name="_Toc3236"/>
      <w:bookmarkStart w:id="702" w:name="_Toc83722626"/>
      <w:bookmarkStart w:id="703" w:name="_Toc888"/>
      <w:bookmarkStart w:id="704" w:name="_Toc8178"/>
      <w:bookmarkStart w:id="705" w:name="_Toc496291426"/>
      <w:bookmarkStart w:id="706" w:name="_Toc25959"/>
      <w:r>
        <w:rPr>
          <w:rFonts w:hint="eastAsia" w:ascii="宋体" w:hAnsi="宋体"/>
          <w:sz w:val="24"/>
          <w:szCs w:val="24"/>
        </w:rPr>
        <w:t>（三）评标程序</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snapToGrid w:val="0"/>
        <w:spacing w:line="360" w:lineRule="auto"/>
        <w:rPr>
          <w:rFonts w:ascii="宋体" w:hAnsi="宋体" w:cs="宋体"/>
          <w:b/>
          <w:sz w:val="24"/>
          <w:szCs w:val="24"/>
        </w:rPr>
      </w:pPr>
      <w:r>
        <w:rPr>
          <w:rFonts w:hint="eastAsia" w:ascii="宋体" w:hAnsi="宋体" w:cs="宋体"/>
          <w:sz w:val="24"/>
          <w:szCs w:val="24"/>
        </w:rPr>
        <w:t>3.1  符合性审查</w:t>
      </w:r>
      <w:r>
        <w:rPr>
          <w:rFonts w:hint="eastAsia" w:ascii="宋体" w:hAnsi="宋体" w:cs="宋体"/>
          <w:bCs/>
          <w:sz w:val="24"/>
          <w:szCs w:val="24"/>
        </w:rPr>
        <w:t>。</w:t>
      </w:r>
    </w:p>
    <w:p>
      <w:pPr>
        <w:snapToGrid w:val="0"/>
        <w:spacing w:line="360" w:lineRule="auto"/>
        <w:rPr>
          <w:rFonts w:ascii="宋体" w:hAnsi="宋体" w:cs="宋体"/>
          <w:sz w:val="24"/>
          <w:szCs w:val="24"/>
        </w:rPr>
      </w:pPr>
      <w:r>
        <w:rPr>
          <w:rFonts w:hint="eastAsia" w:ascii="宋体" w:hAnsi="宋体" w:cs="宋体"/>
          <w:sz w:val="24"/>
          <w:szCs w:val="24"/>
        </w:rPr>
        <w:t>3.2  澄清。</w:t>
      </w:r>
    </w:p>
    <w:p>
      <w:pPr>
        <w:snapToGrid w:val="0"/>
        <w:spacing w:line="360" w:lineRule="auto"/>
        <w:rPr>
          <w:rFonts w:ascii="宋体" w:hAnsi="宋体" w:cs="宋体"/>
          <w:sz w:val="24"/>
          <w:szCs w:val="24"/>
        </w:rPr>
      </w:pPr>
      <w:r>
        <w:rPr>
          <w:rFonts w:hint="eastAsia" w:ascii="宋体" w:hAnsi="宋体" w:cs="宋体"/>
          <w:sz w:val="24"/>
          <w:szCs w:val="24"/>
        </w:rPr>
        <w:t>3.3  商务、报价、技术部分评审。</w:t>
      </w:r>
    </w:p>
    <w:p>
      <w:pPr>
        <w:snapToGrid w:val="0"/>
        <w:spacing w:line="360" w:lineRule="auto"/>
        <w:rPr>
          <w:rFonts w:ascii="宋体" w:hAnsi="宋体" w:cs="宋体"/>
          <w:sz w:val="24"/>
          <w:szCs w:val="24"/>
        </w:rPr>
      </w:pPr>
      <w:r>
        <w:rPr>
          <w:rFonts w:hint="eastAsia" w:ascii="宋体" w:hAnsi="宋体" w:cs="宋体"/>
          <w:sz w:val="24"/>
          <w:szCs w:val="24"/>
        </w:rPr>
        <w:t>3.4  编写评标报告。</w:t>
      </w:r>
    </w:p>
    <w:p>
      <w:pPr>
        <w:snapToGrid w:val="0"/>
        <w:spacing w:line="360" w:lineRule="auto"/>
        <w:rPr>
          <w:rFonts w:ascii="宋体" w:hAnsi="宋体" w:cs="宋体"/>
          <w:sz w:val="24"/>
          <w:szCs w:val="24"/>
        </w:rPr>
      </w:pPr>
      <w:r>
        <w:rPr>
          <w:rFonts w:hint="eastAsia" w:ascii="宋体" w:hAnsi="宋体" w:cs="宋体"/>
          <w:sz w:val="24"/>
          <w:szCs w:val="24"/>
        </w:rPr>
        <w:t>3.5  定标。</w:t>
      </w:r>
    </w:p>
    <w:p>
      <w:pPr>
        <w:pStyle w:val="3"/>
        <w:spacing w:line="360" w:lineRule="auto"/>
        <w:ind w:firstLine="482"/>
        <w:jc w:val="left"/>
        <w:rPr>
          <w:rFonts w:ascii="宋体" w:hAnsi="宋体"/>
          <w:sz w:val="24"/>
          <w:szCs w:val="24"/>
        </w:rPr>
      </w:pPr>
      <w:bookmarkStart w:id="707" w:name="_Toc100786186"/>
      <w:bookmarkStart w:id="708" w:name="_Toc5448"/>
      <w:bookmarkStart w:id="709" w:name="_Toc22701"/>
      <w:bookmarkStart w:id="710" w:name="_Toc14363"/>
      <w:bookmarkStart w:id="711" w:name="_Toc92789339"/>
      <w:bookmarkStart w:id="712" w:name="_Toc50760968"/>
      <w:bookmarkStart w:id="713" w:name="_Toc17101"/>
      <w:bookmarkStart w:id="714" w:name="_Toc15845"/>
      <w:bookmarkStart w:id="715" w:name="_Toc8999366"/>
      <w:bookmarkStart w:id="716" w:name="_Toc83722627"/>
      <w:bookmarkStart w:id="717" w:name="_Toc85461439"/>
      <w:bookmarkStart w:id="718" w:name="_Toc15435082"/>
      <w:bookmarkStart w:id="719" w:name="_Toc496291427"/>
      <w:bookmarkStart w:id="720" w:name="_Toc25399"/>
      <w:r>
        <w:rPr>
          <w:rFonts w:hint="eastAsia" w:ascii="宋体" w:hAnsi="宋体"/>
          <w:sz w:val="24"/>
          <w:szCs w:val="24"/>
        </w:rPr>
        <w:t>（四）符合性评审</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snapToGrid w:val="0"/>
        <w:spacing w:line="360" w:lineRule="auto"/>
        <w:rPr>
          <w:rFonts w:ascii="宋体" w:hAnsi="宋体" w:cs="宋体"/>
          <w:sz w:val="24"/>
          <w:szCs w:val="24"/>
        </w:rPr>
      </w:pPr>
      <w:r>
        <w:rPr>
          <w:rFonts w:hint="eastAsia" w:ascii="宋体" w:hAnsi="宋体" w:cs="宋体"/>
          <w:sz w:val="24"/>
          <w:szCs w:val="24"/>
        </w:rPr>
        <w:t>4.1  评标委员会将对通过资格审查的投标文件的符合性进行评审，</w:t>
      </w:r>
      <w:r>
        <w:rPr>
          <w:rFonts w:hint="eastAsia" w:ascii="宋体" w:hAnsi="宋体" w:cs="宋体"/>
          <w:sz w:val="24"/>
        </w:rPr>
        <w:t>，以确定其是否满足招标文件的实质性要求。</w:t>
      </w:r>
    </w:p>
    <w:p>
      <w:pPr>
        <w:snapToGrid w:val="0"/>
        <w:spacing w:line="360" w:lineRule="auto"/>
        <w:rPr>
          <w:rFonts w:ascii="宋体" w:hAnsi="宋体" w:cs="宋体"/>
          <w:sz w:val="24"/>
          <w:szCs w:val="24"/>
        </w:rPr>
      </w:pPr>
      <w:r>
        <w:rPr>
          <w:rFonts w:hint="eastAsia" w:ascii="宋体" w:hAnsi="宋体" w:cs="宋体"/>
          <w:sz w:val="24"/>
          <w:szCs w:val="24"/>
        </w:rPr>
        <w:t>4.2  投标文件出现下列情形之一的，由评标委员会符合性评审后按无效投标处理：</w:t>
      </w:r>
    </w:p>
    <w:p>
      <w:pPr>
        <w:pStyle w:val="16"/>
        <w:snapToGrid w:val="0"/>
        <w:spacing w:line="360" w:lineRule="auto"/>
        <w:ind w:firstLine="482"/>
        <w:rPr>
          <w:rFonts w:ascii="宋体" w:hAnsi="宋体" w:cs="宋体"/>
          <w:b/>
          <w:bCs/>
          <w:sz w:val="24"/>
        </w:rPr>
      </w:pPr>
      <w:r>
        <w:rPr>
          <w:rFonts w:hint="eastAsia" w:ascii="宋体" w:hAnsi="宋体" w:cs="宋体"/>
          <w:b/>
          <w:bCs/>
          <w:sz w:val="24"/>
        </w:rPr>
        <w:t>4.2.1  投标文件的签署不符合本须知第14条规定的；</w:t>
      </w:r>
    </w:p>
    <w:p>
      <w:pPr>
        <w:pStyle w:val="16"/>
        <w:snapToGrid w:val="0"/>
        <w:spacing w:line="360" w:lineRule="auto"/>
        <w:ind w:firstLine="482"/>
        <w:rPr>
          <w:rFonts w:ascii="宋体" w:hAnsi="宋体" w:cs="宋体"/>
          <w:b/>
          <w:bCs/>
          <w:sz w:val="24"/>
        </w:rPr>
      </w:pPr>
      <w:r>
        <w:rPr>
          <w:rFonts w:hint="eastAsia" w:ascii="宋体" w:hAnsi="宋体" w:cs="宋体"/>
          <w:b/>
          <w:bCs/>
          <w:sz w:val="24"/>
        </w:rPr>
        <w:t>4.2.2  未能在实质上对招标文件提出的所有实质性要求和条件作出响应的；</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4.2.3  未按招标文件要求提交有效投标保证金的；</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4.2.4  投标文件的关键内容字迹模糊、无法辨认的；</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4.2.5  投标人递交两份或多份内容不同的投标文件，或在一份投标文件中对同一招标项目报有两个或多个报价，且未声明哪一个有效的；</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4.2.6  投标人以他人的名义投标、串通投标、以行贿手段谋取中标或者以其他弄虚作假方式投标的；</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4.2.7  投标人有下列情形之一的，视为串通投标，其投标无效：</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4.2.7.1  不同投标人的投标文件由同一单位或者个人编制；</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4.2.7.2  不同投标人委托同一单位或者个人办理投标事宜；</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4.2.7.3  不同投标人的投标文件载明的项目管理成员或者联系人员为同一人；</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4.2.7.4  不同投标人的投标文件异常一致或者投标报价呈规律性差异；</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4.2.7.5  不同投标人的投标文件相互混装；</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4.2.7.6  不同投标人的投标保证金从同一单位或者个人的账户转出；</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4.2.8  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4.2.9  投标报价超过本项目预算金额或最高限价的；</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4.2.10  国家有关部门对投标人的投标产品有强制性规定或要求的，投标人的投标产品不符合相应规定或要求；</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4.2.11  投标文件含有采购人不能接受的附加条件或不合理要求的；</w:t>
      </w:r>
    </w:p>
    <w:p>
      <w:pPr>
        <w:snapToGrid w:val="0"/>
        <w:spacing w:line="360" w:lineRule="auto"/>
        <w:ind w:firstLine="482"/>
        <w:rPr>
          <w:rFonts w:ascii="宋体" w:hAnsi="宋体" w:cs="宋体"/>
          <w:b/>
          <w:bCs/>
          <w:sz w:val="24"/>
          <w:szCs w:val="24"/>
        </w:rPr>
      </w:pPr>
      <w:r>
        <w:rPr>
          <w:rFonts w:hint="eastAsia" w:ascii="宋体" w:hAnsi="宋体" w:cs="宋体"/>
          <w:b/>
          <w:bCs/>
          <w:sz w:val="24"/>
          <w:szCs w:val="24"/>
        </w:rPr>
        <w:t>4.2.12  法律、法规和招标文件规定的其他无效情形。</w:t>
      </w:r>
    </w:p>
    <w:p>
      <w:pPr>
        <w:pStyle w:val="3"/>
        <w:spacing w:line="360" w:lineRule="auto"/>
        <w:ind w:firstLine="482"/>
        <w:jc w:val="left"/>
        <w:rPr>
          <w:rFonts w:ascii="宋体" w:hAnsi="宋体"/>
          <w:sz w:val="24"/>
          <w:szCs w:val="24"/>
        </w:rPr>
      </w:pPr>
      <w:bookmarkStart w:id="721" w:name="_Toc92789340"/>
      <w:bookmarkStart w:id="722" w:name="_Toc21764"/>
      <w:bookmarkStart w:id="723" w:name="_Toc18037"/>
      <w:bookmarkStart w:id="724" w:name="_Toc21241"/>
      <w:bookmarkStart w:id="725" w:name="_Toc85461440"/>
      <w:bookmarkStart w:id="726" w:name="_Toc50760969"/>
      <w:bookmarkStart w:id="727" w:name="_Toc9845"/>
      <w:bookmarkStart w:id="728" w:name="_Toc11916"/>
      <w:bookmarkStart w:id="729" w:name="_Toc17243"/>
      <w:bookmarkStart w:id="730" w:name="_Toc15435083"/>
      <w:bookmarkStart w:id="731" w:name="_Toc8999367"/>
      <w:bookmarkStart w:id="732" w:name="_Toc100786187"/>
      <w:bookmarkStart w:id="733" w:name="_Toc496291428"/>
      <w:bookmarkStart w:id="734" w:name="_Toc83722628"/>
      <w:r>
        <w:rPr>
          <w:rFonts w:hint="eastAsia" w:ascii="宋体" w:hAnsi="宋体"/>
          <w:sz w:val="24"/>
          <w:szCs w:val="24"/>
        </w:rPr>
        <w:t>（五）</w:t>
      </w:r>
      <w:r>
        <w:rPr>
          <w:rFonts w:hint="eastAsia" w:ascii="宋体" w:hAnsi="宋体"/>
          <w:sz w:val="24"/>
          <w:szCs w:val="24"/>
          <w:lang w:val="en-US"/>
        </w:rPr>
        <w:t>投标文件有关事项的澄清或者说明</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snapToGrid w:val="0"/>
        <w:spacing w:line="360" w:lineRule="auto"/>
        <w:rPr>
          <w:rFonts w:ascii="宋体" w:hAnsi="宋体" w:cs="宋体"/>
          <w:sz w:val="24"/>
          <w:szCs w:val="24"/>
        </w:rPr>
      </w:pPr>
      <w:r>
        <w:rPr>
          <w:rFonts w:hint="eastAsia" w:ascii="宋体" w:hAnsi="宋体" w:cs="宋体"/>
          <w:sz w:val="24"/>
          <w:szCs w:val="24"/>
        </w:rPr>
        <w:t>5.1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w:t>
      </w:r>
      <w:r>
        <w:rPr>
          <w:rFonts w:hint="eastAsia" w:ascii="宋体" w:hAnsi="宋体" w:cs="宋体"/>
          <w:sz w:val="24"/>
        </w:rPr>
        <w:t>投标人的澄清、说明或者补正不得超出投标文件的范围或者改变投标文件的实质性内容。澄清文件将作为投标文件内容的一部分。</w:t>
      </w:r>
    </w:p>
    <w:p>
      <w:pPr>
        <w:snapToGrid w:val="0"/>
        <w:spacing w:line="360" w:lineRule="auto"/>
        <w:rPr>
          <w:rFonts w:ascii="宋体" w:hAnsi="宋体" w:cs="宋体"/>
          <w:sz w:val="24"/>
          <w:szCs w:val="24"/>
        </w:rPr>
      </w:pPr>
      <w:r>
        <w:rPr>
          <w:rFonts w:hint="eastAsia" w:ascii="宋体" w:hAnsi="宋体" w:cs="宋体"/>
          <w:sz w:val="24"/>
          <w:szCs w:val="24"/>
        </w:rPr>
        <w:t>5.2  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pPr>
        <w:snapToGrid w:val="0"/>
        <w:spacing w:line="360" w:lineRule="auto"/>
        <w:rPr>
          <w:rFonts w:ascii="宋体" w:hAnsi="宋体" w:cs="宋体"/>
          <w:sz w:val="24"/>
          <w:szCs w:val="24"/>
        </w:rPr>
      </w:pPr>
      <w:r>
        <w:rPr>
          <w:rFonts w:hint="eastAsia" w:ascii="宋体" w:hAnsi="宋体" w:cs="宋体"/>
          <w:sz w:val="24"/>
          <w:szCs w:val="24"/>
        </w:rPr>
        <w:t>5.3  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pPr>
        <w:snapToGrid w:val="0"/>
        <w:spacing w:line="360" w:lineRule="auto"/>
        <w:rPr>
          <w:rFonts w:ascii="宋体" w:hAnsi="宋体" w:cs="宋体"/>
          <w:sz w:val="24"/>
          <w:szCs w:val="24"/>
        </w:rPr>
      </w:pPr>
      <w:r>
        <w:rPr>
          <w:rFonts w:hint="eastAsia" w:ascii="宋体" w:hAnsi="宋体" w:cs="宋体"/>
          <w:sz w:val="24"/>
          <w:szCs w:val="24"/>
        </w:rPr>
        <w:t>5.4  采购人不接受投标人主动提出的对投标文件的澄清。</w:t>
      </w:r>
    </w:p>
    <w:p>
      <w:pPr>
        <w:snapToGrid w:val="0"/>
        <w:spacing w:line="360" w:lineRule="auto"/>
        <w:rPr>
          <w:rFonts w:ascii="宋体" w:hAnsi="宋体" w:cs="宋体"/>
          <w:sz w:val="24"/>
          <w:szCs w:val="24"/>
        </w:rPr>
      </w:pPr>
      <w:r>
        <w:rPr>
          <w:rFonts w:hint="eastAsia" w:ascii="宋体" w:hAnsi="宋体" w:cs="宋体"/>
          <w:sz w:val="24"/>
          <w:szCs w:val="24"/>
        </w:rPr>
        <w:t>5.5  投标文件报价出现前后不一致的，按照下列规定修正：</w:t>
      </w:r>
    </w:p>
    <w:p>
      <w:pPr>
        <w:snapToGrid w:val="0"/>
        <w:spacing w:line="360" w:lineRule="auto"/>
        <w:rPr>
          <w:rFonts w:ascii="宋体" w:hAnsi="宋体" w:cs="宋体"/>
          <w:sz w:val="24"/>
          <w:szCs w:val="24"/>
        </w:rPr>
      </w:pPr>
      <w:r>
        <w:rPr>
          <w:rFonts w:hint="eastAsia" w:ascii="宋体" w:hAnsi="宋体" w:cs="宋体"/>
          <w:sz w:val="24"/>
          <w:szCs w:val="24"/>
        </w:rPr>
        <w:t>5.5.1  招标文件对于报价修正是否另有规定：</w:t>
      </w:r>
    </w:p>
    <w:p>
      <w:pPr>
        <w:snapToGrid w:val="0"/>
        <w:spacing w:line="360" w:lineRule="auto"/>
        <w:ind w:firstLine="960" w:firstLineChars="400"/>
        <w:rPr>
          <w:rFonts w:ascii="宋体" w:hAnsi="宋体" w:cs="宋体"/>
          <w:sz w:val="24"/>
          <w:szCs w:val="24"/>
          <w:u w:val="single"/>
        </w:rPr>
      </w:pPr>
      <w:r>
        <w:rPr>
          <w:rFonts w:hint="eastAsia" w:ascii="宋体" w:hAnsi="宋体" w:cs="宋体"/>
          <w:sz w:val="24"/>
          <w:szCs w:val="24"/>
        </w:rPr>
        <w:t>□有，具体规定为：______________</w:t>
      </w:r>
    </w:p>
    <w:p>
      <w:pPr>
        <w:snapToGrid w:val="0"/>
        <w:spacing w:line="360" w:lineRule="auto"/>
        <w:ind w:firstLine="964" w:firstLineChars="4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无，按下述5.5.2-5.5.7项规定修正。</w:t>
      </w:r>
    </w:p>
    <w:p>
      <w:pPr>
        <w:snapToGrid w:val="0"/>
        <w:spacing w:line="360" w:lineRule="auto"/>
        <w:rPr>
          <w:rFonts w:ascii="宋体" w:hAnsi="宋体" w:cs="宋体"/>
          <w:sz w:val="24"/>
          <w:szCs w:val="24"/>
        </w:rPr>
      </w:pPr>
      <w:r>
        <w:rPr>
          <w:rFonts w:hint="eastAsia" w:ascii="宋体" w:hAnsi="宋体" w:cs="宋体"/>
          <w:sz w:val="24"/>
          <w:szCs w:val="24"/>
        </w:rPr>
        <w:t>5.5.2  单独递交的开标一览表（报价表）与投标文件中开标一览表（报价表）内容不一致的，以单独递交的开标一览表（报价表）为准；</w:t>
      </w:r>
    </w:p>
    <w:p>
      <w:pPr>
        <w:snapToGrid w:val="0"/>
        <w:spacing w:line="360" w:lineRule="auto"/>
        <w:rPr>
          <w:rFonts w:ascii="宋体" w:hAnsi="宋体" w:cs="宋体"/>
          <w:sz w:val="24"/>
          <w:szCs w:val="24"/>
        </w:rPr>
      </w:pPr>
      <w:r>
        <w:rPr>
          <w:rFonts w:hint="eastAsia" w:ascii="宋体" w:hAnsi="宋体" w:cs="宋体"/>
          <w:sz w:val="24"/>
          <w:szCs w:val="24"/>
        </w:rPr>
        <w:t>5.5.3  投标文件中开标一览表（报价表）内容与投标文件中相应内容不一致的，以开标一览表（报价表）为准；</w:t>
      </w:r>
    </w:p>
    <w:p>
      <w:pPr>
        <w:snapToGrid w:val="0"/>
        <w:spacing w:line="360" w:lineRule="auto"/>
        <w:rPr>
          <w:rFonts w:ascii="宋体" w:hAnsi="宋体" w:cs="宋体"/>
          <w:sz w:val="24"/>
          <w:szCs w:val="24"/>
        </w:rPr>
      </w:pPr>
      <w:r>
        <w:rPr>
          <w:rFonts w:hint="eastAsia" w:ascii="宋体" w:hAnsi="宋体" w:cs="宋体"/>
          <w:sz w:val="24"/>
          <w:szCs w:val="24"/>
        </w:rPr>
        <w:t>5.5.4  大写金额和小写金额不一致的，以大写金额为准；</w:t>
      </w:r>
    </w:p>
    <w:p>
      <w:pPr>
        <w:snapToGrid w:val="0"/>
        <w:spacing w:line="360" w:lineRule="auto"/>
        <w:rPr>
          <w:rFonts w:ascii="宋体" w:hAnsi="宋体" w:cs="宋体"/>
          <w:sz w:val="24"/>
          <w:szCs w:val="24"/>
        </w:rPr>
      </w:pPr>
      <w:r>
        <w:rPr>
          <w:rFonts w:hint="eastAsia" w:ascii="宋体" w:hAnsi="宋体" w:cs="宋体"/>
          <w:sz w:val="24"/>
          <w:szCs w:val="24"/>
        </w:rPr>
        <w:t>5.5.5  单价金额小数点或者百分比有明显错位的，以开标一览表的总价为准，并修改单价；</w:t>
      </w:r>
    </w:p>
    <w:p>
      <w:pPr>
        <w:snapToGrid w:val="0"/>
        <w:spacing w:line="360" w:lineRule="auto"/>
        <w:rPr>
          <w:rFonts w:ascii="宋体" w:hAnsi="宋体" w:cs="宋体"/>
          <w:sz w:val="24"/>
          <w:szCs w:val="24"/>
        </w:rPr>
      </w:pPr>
      <w:r>
        <w:rPr>
          <w:rFonts w:hint="eastAsia" w:ascii="宋体" w:hAnsi="宋体" w:cs="宋体"/>
          <w:sz w:val="24"/>
          <w:szCs w:val="24"/>
        </w:rPr>
        <w:t>5.5.6  总价金额与按单价汇总金额不一致的，以单价金额计算结果为准。</w:t>
      </w:r>
    </w:p>
    <w:p>
      <w:pPr>
        <w:snapToGrid w:val="0"/>
        <w:spacing w:line="360" w:lineRule="auto"/>
        <w:rPr>
          <w:rFonts w:ascii="宋体" w:hAnsi="宋体" w:cs="宋体"/>
          <w:sz w:val="24"/>
          <w:szCs w:val="24"/>
        </w:rPr>
      </w:pPr>
      <w:r>
        <w:rPr>
          <w:rFonts w:hint="eastAsia" w:ascii="宋体" w:hAnsi="宋体" w:cs="宋体"/>
          <w:sz w:val="24"/>
          <w:szCs w:val="24"/>
        </w:rPr>
        <w:t>5.5.7  同时出现两种以上不一致的，按照前款规定的顺序修正。修正后的报价经投标人书面确认后产生约束力，投标人不确认的，其</w:t>
      </w:r>
      <w:r>
        <w:rPr>
          <w:rFonts w:hint="eastAsia" w:ascii="宋体" w:hAnsi="宋体" w:cs="宋体"/>
          <w:b/>
          <w:sz w:val="24"/>
          <w:szCs w:val="24"/>
        </w:rPr>
        <w:t>投标无效</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5.6  落实政府采购政策的价格调整：只有符合第二章《投标人须知》5.2条规定情形的，可以享受中小企业扶持政策，用扣除后的价格参加评审；否则，评标时价格不予扣除。</w:t>
      </w:r>
    </w:p>
    <w:p>
      <w:pPr>
        <w:snapToGrid w:val="0"/>
        <w:spacing w:line="360" w:lineRule="auto"/>
        <w:rPr>
          <w:rFonts w:ascii="宋体" w:hAnsi="宋体" w:cs="宋体"/>
          <w:sz w:val="24"/>
          <w:szCs w:val="24"/>
        </w:rPr>
      </w:pPr>
      <w:r>
        <w:rPr>
          <w:rFonts w:hint="eastAsia" w:ascii="宋体" w:hAnsi="宋体" w:cs="宋体"/>
          <w:sz w:val="24"/>
          <w:szCs w:val="24"/>
        </w:rPr>
        <w:t>5.6.1  对于未预留份额专门面向中小企业采购的采购项目，以及预留份额项目中的非预留部分采购包，对小微企业报价给予</w:t>
      </w:r>
      <w:r>
        <w:rPr>
          <w:rFonts w:hint="eastAsia" w:ascii="宋体" w:hAnsi="宋体" w:cs="宋体"/>
          <w:sz w:val="24"/>
          <w:szCs w:val="24"/>
          <w:u w:val="single"/>
        </w:rPr>
        <w:t>10</w:t>
      </w:r>
      <w:r>
        <w:rPr>
          <w:rFonts w:hint="eastAsia" w:ascii="宋体" w:hAnsi="宋体" w:cs="宋体"/>
          <w:sz w:val="24"/>
          <w:szCs w:val="24"/>
        </w:rPr>
        <w:t>%的扣除，用扣除后的价格参加评审。</w:t>
      </w:r>
    </w:p>
    <w:p>
      <w:pPr>
        <w:snapToGrid w:val="0"/>
        <w:spacing w:line="360" w:lineRule="auto"/>
        <w:rPr>
          <w:rFonts w:ascii="宋体" w:hAnsi="宋体" w:cs="宋体"/>
          <w:sz w:val="24"/>
          <w:szCs w:val="24"/>
        </w:rPr>
      </w:pPr>
      <w:r>
        <w:rPr>
          <w:rFonts w:hint="eastAsia" w:ascii="宋体" w:hAnsi="宋体" w:cs="宋体"/>
          <w:sz w:val="24"/>
          <w:szCs w:val="24"/>
        </w:rPr>
        <w:t>5.6.2  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szCs w:val="24"/>
          <w:u w:val="single"/>
        </w:rPr>
        <w:t>2</w:t>
      </w:r>
      <w:r>
        <w:rPr>
          <w:rFonts w:hint="eastAsia" w:ascii="宋体" w:hAnsi="宋体" w:cs="宋体"/>
          <w:sz w:val="24"/>
          <w:szCs w:val="24"/>
        </w:rPr>
        <w:t>%的扣除，用扣除后的价格参加评审。</w:t>
      </w:r>
    </w:p>
    <w:p>
      <w:pPr>
        <w:snapToGrid w:val="0"/>
        <w:spacing w:line="360" w:lineRule="auto"/>
        <w:rPr>
          <w:rFonts w:ascii="宋体" w:hAnsi="宋体" w:cs="宋体"/>
          <w:sz w:val="24"/>
          <w:szCs w:val="24"/>
        </w:rPr>
      </w:pPr>
      <w:r>
        <w:rPr>
          <w:rFonts w:hint="eastAsia" w:ascii="宋体" w:hAnsi="宋体" w:cs="宋体"/>
          <w:sz w:val="24"/>
          <w:szCs w:val="24"/>
        </w:rPr>
        <w:t>5.6.3  组成联合体或者接受分包的小微企业与联合体内其他企业、分包企业之间存在直接控股、管理关系的，不享受价格扣除优惠政策。</w:t>
      </w:r>
    </w:p>
    <w:p>
      <w:pPr>
        <w:snapToGrid w:val="0"/>
        <w:spacing w:line="360" w:lineRule="auto"/>
        <w:rPr>
          <w:rFonts w:ascii="宋体" w:hAnsi="宋体" w:cs="宋体"/>
          <w:sz w:val="24"/>
          <w:szCs w:val="24"/>
        </w:rPr>
      </w:pPr>
      <w:r>
        <w:rPr>
          <w:rFonts w:hint="eastAsia" w:ascii="宋体" w:hAnsi="宋体" w:cs="宋体"/>
          <w:sz w:val="24"/>
          <w:szCs w:val="24"/>
        </w:rPr>
        <w:t>5.6.4  价格扣除比例对小型企业和微型企业同等对待，不作区分。</w:t>
      </w:r>
    </w:p>
    <w:p>
      <w:pPr>
        <w:snapToGrid w:val="0"/>
        <w:spacing w:line="360" w:lineRule="auto"/>
        <w:rPr>
          <w:rFonts w:ascii="宋体" w:hAnsi="宋体" w:cs="宋体"/>
          <w:sz w:val="24"/>
          <w:szCs w:val="24"/>
        </w:rPr>
      </w:pPr>
      <w:r>
        <w:rPr>
          <w:rFonts w:hint="eastAsia" w:ascii="宋体" w:hAnsi="宋体" w:cs="宋体"/>
          <w:sz w:val="24"/>
          <w:szCs w:val="24"/>
        </w:rPr>
        <w:t>5.6.5  中小企业参加政府采购活动，应当按照招标文件给定的格式出具《中小企业声明函》，否则不得享受相关中小企业扶持政策。</w:t>
      </w:r>
    </w:p>
    <w:p>
      <w:pPr>
        <w:snapToGrid w:val="0"/>
        <w:spacing w:line="360" w:lineRule="auto"/>
        <w:rPr>
          <w:rFonts w:ascii="宋体" w:hAnsi="宋体" w:cs="宋体"/>
          <w:sz w:val="24"/>
          <w:szCs w:val="24"/>
        </w:rPr>
      </w:pPr>
      <w:r>
        <w:rPr>
          <w:rFonts w:hint="eastAsia" w:ascii="宋体" w:hAnsi="宋体" w:cs="宋体"/>
          <w:sz w:val="24"/>
          <w:szCs w:val="24"/>
        </w:rPr>
        <w:t>5.6.6  监狱企业提供了由省级以上监狱管理局（北京市含教育矫治局）、戒毒管理局（含新疆生产建设兵团）出具的属于监狱企业的证明文件的，视同小微企业。</w:t>
      </w:r>
    </w:p>
    <w:p>
      <w:pPr>
        <w:snapToGrid w:val="0"/>
        <w:spacing w:line="360" w:lineRule="auto"/>
        <w:rPr>
          <w:rFonts w:ascii="宋体" w:hAnsi="宋体" w:cs="宋体"/>
          <w:sz w:val="24"/>
          <w:szCs w:val="24"/>
        </w:rPr>
      </w:pPr>
      <w:r>
        <w:rPr>
          <w:rFonts w:hint="eastAsia" w:ascii="宋体" w:hAnsi="宋体" w:cs="宋体"/>
          <w:sz w:val="24"/>
          <w:szCs w:val="24"/>
        </w:rPr>
        <w:t>5.6.7  残疾人福利性单位按招标文件要求提供了《残疾人福利性单位声明函》（见附件）的，视同小微企业。</w:t>
      </w:r>
    </w:p>
    <w:p>
      <w:pPr>
        <w:snapToGrid w:val="0"/>
        <w:spacing w:line="360" w:lineRule="auto"/>
        <w:rPr>
          <w:rFonts w:ascii="宋体" w:hAnsi="宋体" w:cs="宋体"/>
          <w:sz w:val="24"/>
          <w:szCs w:val="24"/>
        </w:rPr>
      </w:pPr>
      <w:r>
        <w:rPr>
          <w:rFonts w:hint="eastAsia" w:ascii="宋体" w:hAnsi="宋体" w:cs="宋体"/>
          <w:sz w:val="24"/>
          <w:szCs w:val="24"/>
        </w:rPr>
        <w:t xml:space="preserve">5.6.8  </w:t>
      </w:r>
      <w:r>
        <w:rPr>
          <w:rFonts w:hint="eastAsia" w:ascii="宋体" w:hAnsi="宋体" w:cs="宋体"/>
          <w:sz w:val="24"/>
        </w:rPr>
        <w:t>若投标人同时属于小型或微型企业、监狱企业、残疾人福利性单位中的两种及以上，将不重复享受小微企业价格扣减的优惠政策。</w:t>
      </w:r>
    </w:p>
    <w:p>
      <w:pPr>
        <w:pStyle w:val="3"/>
        <w:spacing w:line="360" w:lineRule="auto"/>
        <w:ind w:firstLine="482"/>
        <w:jc w:val="left"/>
        <w:rPr>
          <w:rFonts w:ascii="宋体" w:hAnsi="宋体"/>
          <w:sz w:val="24"/>
          <w:szCs w:val="24"/>
        </w:rPr>
      </w:pPr>
      <w:bookmarkStart w:id="735" w:name="_Toc100786188"/>
      <w:bookmarkStart w:id="736" w:name="_Toc28524"/>
      <w:bookmarkStart w:id="737" w:name="_Toc85461441"/>
      <w:bookmarkStart w:id="738" w:name="_Toc15435084"/>
      <w:bookmarkStart w:id="739" w:name="_Toc9199"/>
      <w:bookmarkStart w:id="740" w:name="_Toc92789341"/>
      <w:bookmarkStart w:id="741" w:name="_Toc28419"/>
      <w:bookmarkStart w:id="742" w:name="_Toc8999368"/>
      <w:bookmarkStart w:id="743" w:name="_Toc18491"/>
      <w:bookmarkStart w:id="744" w:name="_Toc83722629"/>
      <w:bookmarkStart w:id="745" w:name="_Toc496291429"/>
      <w:bookmarkStart w:id="746" w:name="_Toc50760970"/>
      <w:bookmarkStart w:id="747" w:name="_Toc28429"/>
      <w:bookmarkStart w:id="748" w:name="_Toc30808"/>
      <w:r>
        <w:rPr>
          <w:rFonts w:hint="eastAsia" w:ascii="宋体" w:hAnsi="宋体"/>
          <w:sz w:val="24"/>
          <w:szCs w:val="24"/>
        </w:rPr>
        <w:t>（六）</w:t>
      </w:r>
      <w:r>
        <w:rPr>
          <w:rFonts w:hint="eastAsia" w:ascii="宋体" w:hAnsi="宋体"/>
          <w:sz w:val="24"/>
          <w:szCs w:val="24"/>
          <w:lang w:val="en-US"/>
        </w:rPr>
        <w:t>投标文件的比较和评价</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pPr>
        <w:snapToGrid w:val="0"/>
        <w:spacing w:line="360" w:lineRule="auto"/>
        <w:rPr>
          <w:rFonts w:ascii="宋体" w:hAnsi="宋体" w:cs="宋体"/>
          <w:sz w:val="24"/>
          <w:szCs w:val="24"/>
        </w:rPr>
      </w:pPr>
      <w:r>
        <w:rPr>
          <w:rFonts w:hint="eastAsia" w:ascii="宋体" w:hAnsi="宋体" w:cs="宋体"/>
          <w:sz w:val="24"/>
          <w:szCs w:val="24"/>
        </w:rPr>
        <w:t>6.1  评标委员会将按照招标文件中规定的评标方法和标准，对符合性审查合格的投标文件进行商务和技术评估，综合比较与评价；未通过符合性审查的投标文件不得进入比较与评价。</w:t>
      </w:r>
    </w:p>
    <w:p>
      <w:pPr>
        <w:snapToGrid w:val="0"/>
        <w:spacing w:line="360" w:lineRule="auto"/>
        <w:rPr>
          <w:rFonts w:ascii="宋体" w:hAnsi="宋体" w:cs="宋体"/>
          <w:sz w:val="24"/>
          <w:szCs w:val="24"/>
        </w:rPr>
      </w:pPr>
      <w:r>
        <w:rPr>
          <w:rFonts w:hint="eastAsia" w:ascii="宋体" w:hAnsi="宋体" w:cs="宋体"/>
          <w:sz w:val="24"/>
          <w:szCs w:val="24"/>
        </w:rPr>
        <w:t>6.2  评标方法和评标标准</w:t>
      </w:r>
    </w:p>
    <w:p>
      <w:pPr>
        <w:snapToGrid w:val="0"/>
        <w:spacing w:line="360" w:lineRule="auto"/>
        <w:rPr>
          <w:rFonts w:ascii="宋体" w:hAnsi="宋体" w:cs="宋体"/>
          <w:sz w:val="24"/>
          <w:szCs w:val="24"/>
        </w:rPr>
      </w:pPr>
      <w:r>
        <w:rPr>
          <w:rFonts w:hint="eastAsia" w:ascii="宋体" w:hAnsi="宋体" w:cs="宋体"/>
          <w:sz w:val="24"/>
          <w:szCs w:val="24"/>
        </w:rPr>
        <w:t>6.2.1  本项目采用的评标方法为：</w:t>
      </w:r>
    </w:p>
    <w:p>
      <w:pPr>
        <w:snapToGrid w:val="0"/>
        <w:spacing w:line="360" w:lineRule="auto"/>
        <w:ind w:firstLine="482"/>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snapToGrid w:val="0"/>
        <w:spacing w:line="360" w:lineRule="auto"/>
        <w:rPr>
          <w:rFonts w:ascii="宋体" w:hAnsi="宋体" w:cs="宋体"/>
          <w:sz w:val="24"/>
          <w:szCs w:val="24"/>
        </w:rPr>
      </w:pPr>
      <w:r>
        <w:rPr>
          <w:rFonts w:hint="eastAsia" w:ascii="宋体" w:hAnsi="宋体" w:cs="宋体"/>
          <w:sz w:val="24"/>
          <w:szCs w:val="24"/>
        </w:rPr>
        <w:t>□最低评标价法，指投标文件满足招标文件全部实质性要求，且投标报价最低的投标人为中标候选人的评标方法。</w:t>
      </w:r>
    </w:p>
    <w:p>
      <w:pPr>
        <w:snapToGrid w:val="0"/>
        <w:spacing w:line="360" w:lineRule="auto"/>
        <w:rPr>
          <w:rFonts w:ascii="宋体" w:hAnsi="宋体" w:cs="宋体"/>
          <w:sz w:val="24"/>
          <w:szCs w:val="24"/>
        </w:rPr>
      </w:pPr>
      <w:r>
        <w:rPr>
          <w:rFonts w:hint="eastAsia" w:ascii="宋体" w:hAnsi="宋体" w:cs="宋体"/>
          <w:sz w:val="24"/>
          <w:szCs w:val="24"/>
        </w:rPr>
        <w:t>6.2.2  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□随机抽取</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□其他方式，具体要求：</w:t>
      </w:r>
      <w:r>
        <w:rPr>
          <w:rFonts w:hint="eastAsia" w:ascii="宋体" w:hAnsi="宋体" w:cs="宋体"/>
          <w:sz w:val="24"/>
          <w:szCs w:val="24"/>
          <w:u w:val="single"/>
        </w:rPr>
        <w:t>/</w:t>
      </w:r>
    </w:p>
    <w:p>
      <w:pPr>
        <w:snapToGrid w:val="0"/>
        <w:spacing w:line="360" w:lineRule="auto"/>
        <w:rPr>
          <w:rFonts w:ascii="宋体" w:hAnsi="宋体" w:cs="宋体"/>
          <w:sz w:val="24"/>
          <w:szCs w:val="24"/>
        </w:rPr>
      </w:pPr>
      <w:r>
        <w:rPr>
          <w:rFonts w:hint="eastAsia" w:ascii="宋体" w:hAnsi="宋体" w:cs="宋体"/>
          <w:sz w:val="24"/>
          <w:szCs w:val="24"/>
        </w:rPr>
        <w:t>6.3  非政府强制采购的节能产品或环境标志产品，依据品目清单和认证证书实施政府优先采购。优先采购的具体规定（如涉及）</w:t>
      </w:r>
      <w:r>
        <w:rPr>
          <w:rFonts w:hint="eastAsia" w:ascii="宋体" w:hAnsi="宋体" w:cs="宋体"/>
          <w:sz w:val="24"/>
          <w:szCs w:val="24"/>
          <w:u w:val="single"/>
        </w:rPr>
        <w:t>见《评标标准》</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6.4  关于无线局域网认证产品政府采购清单中的产品，优先采购的具体规定（如涉及）</w:t>
      </w:r>
      <w:r>
        <w:rPr>
          <w:rFonts w:hint="eastAsia" w:ascii="宋体" w:hAnsi="宋体" w:cs="宋体"/>
          <w:sz w:val="24"/>
          <w:szCs w:val="24"/>
          <w:u w:val="single"/>
        </w:rPr>
        <w:t>见《评标标准》</w:t>
      </w:r>
      <w:r>
        <w:rPr>
          <w:rFonts w:hint="eastAsia" w:ascii="宋体" w:hAnsi="宋体" w:cs="宋体"/>
          <w:sz w:val="24"/>
          <w:szCs w:val="24"/>
        </w:rPr>
        <w:t>。（本项目不适用）</w:t>
      </w:r>
    </w:p>
    <w:p>
      <w:pPr>
        <w:pStyle w:val="3"/>
        <w:spacing w:line="360" w:lineRule="auto"/>
        <w:ind w:firstLine="482"/>
        <w:jc w:val="left"/>
        <w:rPr>
          <w:rFonts w:ascii="宋体" w:hAnsi="宋体"/>
          <w:sz w:val="24"/>
          <w:szCs w:val="24"/>
        </w:rPr>
      </w:pPr>
      <w:bookmarkStart w:id="749" w:name="_Toc15435085"/>
      <w:bookmarkStart w:id="750" w:name="_Toc83722630"/>
      <w:bookmarkStart w:id="751" w:name="_Toc22835"/>
      <w:bookmarkStart w:id="752" w:name="_Toc85461442"/>
      <w:bookmarkStart w:id="753" w:name="_Toc92789342"/>
      <w:bookmarkStart w:id="754" w:name="_Toc8450"/>
      <w:bookmarkStart w:id="755" w:name="_Toc8999369"/>
      <w:bookmarkStart w:id="756" w:name="_Toc1488"/>
      <w:bookmarkStart w:id="757" w:name="_Toc100786189"/>
      <w:bookmarkStart w:id="758" w:name="_Toc24488"/>
      <w:bookmarkStart w:id="759" w:name="_Toc496291430"/>
      <w:bookmarkStart w:id="760" w:name="_Toc29143"/>
      <w:bookmarkStart w:id="761" w:name="_Toc50760971"/>
      <w:bookmarkStart w:id="762" w:name="_Toc28015"/>
      <w:r>
        <w:rPr>
          <w:rFonts w:hint="eastAsia" w:ascii="宋体" w:hAnsi="宋体"/>
          <w:sz w:val="24"/>
          <w:szCs w:val="24"/>
        </w:rPr>
        <w:t>（七）报价部分的评标说明</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pPr>
        <w:snapToGrid w:val="0"/>
        <w:spacing w:line="360" w:lineRule="auto"/>
        <w:rPr>
          <w:rFonts w:ascii="宋体" w:hAnsi="宋体" w:cs="宋体"/>
          <w:sz w:val="24"/>
          <w:szCs w:val="24"/>
        </w:rPr>
      </w:pPr>
      <w:r>
        <w:rPr>
          <w:rFonts w:hint="eastAsia" w:ascii="宋体" w:hAnsi="宋体" w:cs="宋体"/>
          <w:sz w:val="24"/>
          <w:szCs w:val="24"/>
        </w:rPr>
        <w:t>7.1  投标人的投标符合招标文件的规定，无实质性不响应招标文件的要求，除非评标委员会按规定予以拒绝的，视为通过符合性与完整性评审的有效评价。</w:t>
      </w:r>
    </w:p>
    <w:p>
      <w:pPr>
        <w:snapToGrid w:val="0"/>
        <w:spacing w:line="360" w:lineRule="auto"/>
        <w:rPr>
          <w:rFonts w:ascii="宋体" w:hAnsi="宋体" w:cs="宋体"/>
          <w:sz w:val="24"/>
          <w:szCs w:val="24"/>
        </w:rPr>
      </w:pPr>
      <w:r>
        <w:rPr>
          <w:rFonts w:hint="eastAsia" w:ascii="宋体" w:hAnsi="宋体" w:cs="宋体"/>
          <w:sz w:val="24"/>
          <w:szCs w:val="24"/>
        </w:rPr>
        <w:t>7.2  凡按本招标文件和本评标办法规定，由采购人或评标委员会予以拒绝的投标报价，不得参与后续项目的评分。</w:t>
      </w:r>
    </w:p>
    <w:p>
      <w:pPr>
        <w:snapToGrid w:val="0"/>
        <w:spacing w:line="360" w:lineRule="auto"/>
        <w:rPr>
          <w:rFonts w:ascii="宋体" w:hAnsi="宋体" w:cs="宋体"/>
          <w:sz w:val="24"/>
          <w:szCs w:val="24"/>
        </w:rPr>
      </w:pPr>
      <w:r>
        <w:rPr>
          <w:rFonts w:hint="eastAsia" w:ascii="宋体" w:hAnsi="宋体" w:cs="宋体"/>
          <w:sz w:val="24"/>
          <w:szCs w:val="24"/>
        </w:rPr>
        <w:t>7.3  报价部分的评审说明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此处投标报价指经过报价修正，及因落实政府采购政策进行价格调整后的报价，详见第六章《评标过程、评标方法和评标标准》5.5及5.6。</w:t>
      </w:r>
    </w:p>
    <w:p>
      <w:pPr>
        <w:pStyle w:val="3"/>
        <w:spacing w:line="360" w:lineRule="auto"/>
        <w:ind w:firstLine="482"/>
        <w:jc w:val="left"/>
        <w:rPr>
          <w:rFonts w:ascii="宋体" w:hAnsi="宋体"/>
          <w:sz w:val="24"/>
          <w:szCs w:val="24"/>
        </w:rPr>
      </w:pPr>
      <w:bookmarkStart w:id="763" w:name="_Toc92789343"/>
      <w:bookmarkStart w:id="764" w:name="_Toc100786190"/>
      <w:bookmarkStart w:id="765" w:name="_Toc15435086"/>
      <w:bookmarkStart w:id="766" w:name="_Toc27469"/>
      <w:bookmarkStart w:id="767" w:name="_Toc83722631"/>
      <w:bookmarkStart w:id="768" w:name="_Toc674"/>
      <w:bookmarkStart w:id="769" w:name="_Toc50760972"/>
      <w:bookmarkStart w:id="770" w:name="_Toc28137"/>
      <w:bookmarkStart w:id="771" w:name="_Toc15520"/>
      <w:bookmarkStart w:id="772" w:name="_Toc21717"/>
      <w:bookmarkStart w:id="773" w:name="_Toc8999370"/>
      <w:bookmarkStart w:id="774" w:name="_Toc496291431"/>
      <w:bookmarkStart w:id="775" w:name="_Toc8438"/>
      <w:bookmarkStart w:id="776" w:name="_Toc85461443"/>
      <w:r>
        <w:rPr>
          <w:rFonts w:hint="eastAsia" w:ascii="宋体" w:hAnsi="宋体"/>
          <w:sz w:val="24"/>
          <w:szCs w:val="24"/>
        </w:rPr>
        <w:t>（八）</w:t>
      </w:r>
      <w:r>
        <w:rPr>
          <w:rFonts w:hint="eastAsia" w:ascii="宋体" w:hAnsi="宋体"/>
          <w:sz w:val="24"/>
          <w:szCs w:val="24"/>
          <w:lang w:val="en-US"/>
        </w:rPr>
        <w:t>确定</w:t>
      </w:r>
      <w:bookmarkStart w:id="777" w:name="_Toc149720839"/>
      <w:bookmarkStart w:id="778" w:name="_Toc151193860"/>
      <w:bookmarkStart w:id="779" w:name="_Toc151193934"/>
      <w:bookmarkStart w:id="780" w:name="_Toc164229241"/>
      <w:bookmarkStart w:id="781" w:name="_Toc151190173"/>
      <w:bookmarkStart w:id="782" w:name="_Toc150774646"/>
      <w:bookmarkStart w:id="783" w:name="_Toc195842911"/>
      <w:bookmarkStart w:id="784" w:name="_Toc127161460"/>
      <w:bookmarkStart w:id="785" w:name="_Toc164229387"/>
      <w:bookmarkStart w:id="786" w:name="_Toc127151546"/>
      <w:bookmarkStart w:id="787" w:name="_Ref467307010"/>
      <w:bookmarkStart w:id="788" w:name="_Toc164608660"/>
      <w:bookmarkStart w:id="789" w:name="_Toc164351640"/>
      <w:bookmarkStart w:id="790" w:name="_Toc226309790"/>
      <w:bookmarkStart w:id="791" w:name="_Toc151193716"/>
      <w:bookmarkStart w:id="792" w:name="_Toc150774751"/>
      <w:bookmarkStart w:id="793" w:name="_Toc151193644"/>
      <w:bookmarkStart w:id="794" w:name="_Toc127151747"/>
      <w:bookmarkStart w:id="795" w:name="_Toc265228384"/>
      <w:bookmarkStart w:id="796" w:name="_Toc520356170"/>
      <w:bookmarkStart w:id="797" w:name="_Toc150480784"/>
      <w:bookmarkStart w:id="798" w:name="_Toc305158814"/>
      <w:bookmarkStart w:id="799" w:name="_Toc264969236"/>
      <w:bookmarkStart w:id="800" w:name="_Toc151193788"/>
      <w:bookmarkStart w:id="801" w:name="_Toc226965819"/>
      <w:bookmarkStart w:id="802" w:name="_Toc305158888"/>
      <w:bookmarkStart w:id="803" w:name="_Toc226337242"/>
      <w:bookmarkStart w:id="804" w:name="_Toc150509297"/>
      <w:bookmarkStart w:id="805" w:name="_Toc164608815"/>
      <w:bookmarkStart w:id="806" w:name="_Toc142311048"/>
      <w:bookmarkStart w:id="807" w:name="_Toc226965736"/>
      <w:r>
        <w:rPr>
          <w:rFonts w:hint="eastAsia" w:ascii="宋体" w:hAnsi="宋体"/>
          <w:sz w:val="24"/>
          <w:szCs w:val="24"/>
          <w:lang w:val="en-US"/>
        </w:rPr>
        <w:t>中标候选人名单</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snapToGrid w:val="0"/>
        <w:spacing w:line="360" w:lineRule="auto"/>
        <w:rPr>
          <w:rFonts w:ascii="宋体" w:hAnsi="宋体" w:cs="宋体"/>
          <w:sz w:val="24"/>
          <w:szCs w:val="24"/>
        </w:rPr>
      </w:pPr>
      <w:r>
        <w:rPr>
          <w:rFonts w:hint="eastAsia" w:ascii="宋体" w:hAnsi="宋体" w:cs="宋体"/>
          <w:sz w:val="24"/>
          <w:szCs w:val="24"/>
        </w:rPr>
        <w:t>8.1  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□随机抽取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□其他方式，具体要求：</w:t>
      </w:r>
      <w:r>
        <w:rPr>
          <w:rFonts w:hint="eastAsia" w:ascii="宋体" w:hAnsi="宋体" w:cs="宋体"/>
          <w:sz w:val="24"/>
          <w:szCs w:val="24"/>
          <w:u w:val="single"/>
        </w:rPr>
        <w:t>/</w:t>
      </w:r>
    </w:p>
    <w:p>
      <w:pPr>
        <w:snapToGrid w:val="0"/>
        <w:spacing w:line="360" w:lineRule="auto"/>
        <w:rPr>
          <w:rFonts w:ascii="宋体" w:hAnsi="宋体" w:cs="宋体"/>
          <w:sz w:val="24"/>
          <w:szCs w:val="24"/>
        </w:rPr>
      </w:pPr>
      <w:r>
        <w:rPr>
          <w:rFonts w:hint="eastAsia" w:ascii="宋体" w:hAnsi="宋体" w:cs="宋体"/>
          <w:sz w:val="24"/>
          <w:szCs w:val="24"/>
        </w:rPr>
        <w:t>8.2  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snapToGrid w:val="0"/>
        <w:spacing w:line="360" w:lineRule="auto"/>
        <w:rPr>
          <w:rFonts w:ascii="宋体" w:hAnsi="宋体" w:cs="宋体"/>
          <w:sz w:val="24"/>
          <w:szCs w:val="24"/>
        </w:rPr>
      </w:pPr>
      <w:r>
        <w:rPr>
          <w:rFonts w:hint="eastAsia" w:ascii="宋体" w:hAnsi="宋体" w:cs="宋体"/>
          <w:sz w:val="24"/>
          <w:szCs w:val="24"/>
        </w:rPr>
        <w:t>8.3  采用最低评标价法时，评标结果按本章5.5.2-5.5.7调整后的投标报价由低到高顺序排列。投标报价相同的并列。投标文件满足招标文件全部实质性要求且投标报价最低的投标人为排名第一的中标候选人。</w:t>
      </w:r>
    </w:p>
    <w:p>
      <w:pPr>
        <w:snapToGrid w:val="0"/>
        <w:spacing w:line="360" w:lineRule="auto"/>
        <w:rPr>
          <w:rFonts w:ascii="宋体" w:hAnsi="宋体" w:cs="宋体"/>
          <w:sz w:val="24"/>
          <w:szCs w:val="24"/>
        </w:rPr>
      </w:pPr>
      <w:r>
        <w:rPr>
          <w:rFonts w:hint="eastAsia" w:ascii="宋体" w:hAnsi="宋体" w:cs="宋体"/>
          <w:sz w:val="24"/>
          <w:szCs w:val="24"/>
        </w:rPr>
        <w:t>8.4  评标委员会要对评分汇总情况进行复核，特别是对排名第一的、报价最低的、投标或响应文件被认定为无效的情形进行重点复核。</w:t>
      </w:r>
    </w:p>
    <w:p>
      <w:pPr>
        <w:snapToGrid w:val="0"/>
        <w:spacing w:line="360" w:lineRule="auto"/>
        <w:rPr>
          <w:rFonts w:ascii="宋体" w:hAnsi="宋体" w:cs="宋体"/>
          <w:sz w:val="24"/>
          <w:szCs w:val="24"/>
        </w:rPr>
      </w:pPr>
      <w:r>
        <w:rPr>
          <w:rFonts w:hint="eastAsia" w:ascii="宋体" w:hAnsi="宋体" w:cs="宋体"/>
          <w:sz w:val="24"/>
          <w:szCs w:val="24"/>
        </w:rPr>
        <w:t>8.5  评标委员会将根据各投标人的评标排序，依次推荐本项目（各采购包）的中标候选人，起草并签署评标报告。本项目（各采购包）评标委员会共（各）推荐</w:t>
      </w:r>
      <w:r>
        <w:rPr>
          <w:rFonts w:hint="eastAsia" w:ascii="宋体" w:hAnsi="宋体" w:cs="宋体"/>
          <w:sz w:val="24"/>
          <w:szCs w:val="24"/>
          <w:u w:val="single"/>
        </w:rPr>
        <w:t>3</w:t>
      </w:r>
      <w:r>
        <w:rPr>
          <w:rFonts w:hint="eastAsia" w:ascii="宋体" w:hAnsi="宋体" w:cs="宋体"/>
          <w:sz w:val="24"/>
          <w:szCs w:val="24"/>
        </w:rPr>
        <w:t>名中标候选人。</w:t>
      </w:r>
    </w:p>
    <w:p>
      <w:pPr>
        <w:pStyle w:val="3"/>
        <w:spacing w:line="360" w:lineRule="auto"/>
        <w:ind w:firstLine="482"/>
        <w:jc w:val="left"/>
        <w:rPr>
          <w:rFonts w:ascii="宋体" w:hAnsi="宋体"/>
          <w:sz w:val="24"/>
          <w:szCs w:val="24"/>
        </w:rPr>
      </w:pPr>
      <w:bookmarkStart w:id="808" w:name="_Toc85461444"/>
      <w:bookmarkStart w:id="809" w:name="_Toc83722632"/>
      <w:bookmarkStart w:id="810" w:name="_Toc666"/>
      <w:bookmarkStart w:id="811" w:name="_Toc100786191"/>
      <w:bookmarkStart w:id="812" w:name="_Toc15435087"/>
      <w:bookmarkStart w:id="813" w:name="_Toc18707"/>
      <w:bookmarkStart w:id="814" w:name="_Toc5264"/>
      <w:bookmarkStart w:id="815" w:name="_Toc92789344"/>
      <w:bookmarkStart w:id="816" w:name="_Toc50760973"/>
      <w:bookmarkStart w:id="817" w:name="_Toc29578"/>
      <w:bookmarkStart w:id="818" w:name="_Toc496291432"/>
      <w:bookmarkStart w:id="819" w:name="_Toc21991"/>
      <w:bookmarkStart w:id="820" w:name="_Toc8999371"/>
      <w:bookmarkStart w:id="821" w:name="_Toc17815"/>
      <w:r>
        <w:rPr>
          <w:rFonts w:hint="eastAsia" w:ascii="宋体" w:hAnsi="宋体"/>
          <w:sz w:val="24"/>
          <w:szCs w:val="24"/>
        </w:rPr>
        <w:t>（九）重新招标</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snapToGrid w:val="0"/>
        <w:spacing w:line="360" w:lineRule="auto"/>
        <w:rPr>
          <w:rFonts w:ascii="宋体" w:hAnsi="宋体" w:cs="宋体"/>
          <w:sz w:val="24"/>
          <w:szCs w:val="24"/>
        </w:rPr>
      </w:pPr>
      <w:r>
        <w:rPr>
          <w:rFonts w:hint="eastAsia" w:ascii="宋体" w:hAnsi="宋体" w:cs="宋体"/>
          <w:sz w:val="24"/>
          <w:szCs w:val="24"/>
        </w:rPr>
        <w:t>9.1  中标或者成交供应商拒绝与采购人签订合同的，采购人可以按照评审报告推荐的中标或者成交候选人名单排序，确定下一候选人为中标或者成交供应商，也可以重新开展政府采购活动.</w:t>
      </w:r>
    </w:p>
    <w:p>
      <w:pPr>
        <w:snapToGrid w:val="0"/>
        <w:spacing w:line="360" w:lineRule="auto"/>
        <w:rPr>
          <w:rFonts w:ascii="宋体" w:hAnsi="宋体" w:cs="宋体"/>
          <w:sz w:val="24"/>
          <w:szCs w:val="24"/>
        </w:rPr>
      </w:pPr>
      <w:r>
        <w:rPr>
          <w:rFonts w:hint="eastAsia" w:ascii="宋体" w:hAnsi="宋体" w:cs="宋体"/>
          <w:sz w:val="24"/>
          <w:szCs w:val="24"/>
        </w:rPr>
        <w:t>9.2  废标后，除采购任务取消情形外，应当重新组织招标；需要采取其他方式采购的，应当在采购活动开始前获得设区的市、自治州以上人民政府采购监督管理部门或者政府有关部门批准。</w:t>
      </w:r>
    </w:p>
    <w:p>
      <w:pPr>
        <w:pStyle w:val="3"/>
        <w:spacing w:line="360" w:lineRule="auto"/>
        <w:ind w:firstLine="482"/>
        <w:jc w:val="left"/>
        <w:rPr>
          <w:rFonts w:ascii="宋体" w:hAnsi="宋体"/>
          <w:sz w:val="24"/>
          <w:szCs w:val="24"/>
        </w:rPr>
      </w:pPr>
      <w:bookmarkStart w:id="822" w:name="_Toc100786192"/>
      <w:r>
        <w:rPr>
          <w:rFonts w:hint="eastAsia" w:ascii="宋体" w:hAnsi="宋体"/>
          <w:sz w:val="24"/>
          <w:szCs w:val="24"/>
        </w:rPr>
        <w:t>（十）报告违法行为</w:t>
      </w:r>
      <w:bookmarkEnd w:id="822"/>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评标委员会在评标过程中发现投标人有行贿、提供虚假材料或者串通等违法行为时，有向采购人、采购代理机构或者有关部门报告的职责。</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br w:type="page"/>
      </w:r>
    </w:p>
    <w:p>
      <w:pPr>
        <w:pStyle w:val="6"/>
        <w:ind w:firstLine="236"/>
      </w:pPr>
      <w:bookmarkStart w:id="823" w:name="_Toc428"/>
      <w:bookmarkStart w:id="824" w:name="_Toc496291434"/>
      <w:bookmarkStart w:id="825" w:name="_Toc14739"/>
      <w:bookmarkStart w:id="826" w:name="_Toc6596"/>
      <w:bookmarkStart w:id="827" w:name="_Toc50760975"/>
      <w:bookmarkStart w:id="828" w:name="_Toc10751"/>
      <w:bookmarkStart w:id="829" w:name="_Toc29623"/>
      <w:bookmarkStart w:id="830" w:name="_Toc8999373"/>
      <w:bookmarkStart w:id="831" w:name="_Toc83722634"/>
      <w:bookmarkStart w:id="832" w:name="_Toc92789346"/>
      <w:bookmarkStart w:id="833" w:name="_Toc8143"/>
      <w:bookmarkStart w:id="834" w:name="_Toc15435089"/>
      <w:bookmarkStart w:id="835" w:name="_Toc85461446"/>
      <w:bookmarkStart w:id="836" w:name="_Toc100786193"/>
      <w:bookmarkStart w:id="837" w:name="_Toc227051917"/>
      <w:r>
        <w:rPr>
          <w:rStyle w:val="70"/>
          <w:rFonts w:hint="eastAsia" w:ascii="宋体" w:hAnsi="宋体"/>
          <w:b/>
          <w:sz w:val="24"/>
          <w:szCs w:val="24"/>
        </w:rPr>
        <w:t>符合性审查</w:t>
      </w:r>
      <w:bookmarkEnd w:id="823"/>
      <w:bookmarkEnd w:id="824"/>
      <w:bookmarkEnd w:id="825"/>
      <w:bookmarkEnd w:id="826"/>
      <w:bookmarkEnd w:id="827"/>
      <w:bookmarkEnd w:id="828"/>
      <w:bookmarkEnd w:id="829"/>
      <w:bookmarkEnd w:id="830"/>
      <w:bookmarkEnd w:id="831"/>
      <w:bookmarkEnd w:id="832"/>
      <w:bookmarkEnd w:id="833"/>
      <w:bookmarkEnd w:id="834"/>
      <w:bookmarkEnd w:id="835"/>
      <w:r>
        <w:rPr>
          <w:rStyle w:val="70"/>
          <w:rFonts w:hint="eastAsia" w:ascii="宋体" w:hAnsi="宋体"/>
          <w:b/>
          <w:sz w:val="24"/>
          <w:szCs w:val="24"/>
        </w:rPr>
        <w:t>要求</w:t>
      </w:r>
      <w:bookmarkEnd w:id="836"/>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538"/>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pPr>
              <w:widowControl/>
              <w:ind w:firstLine="482"/>
              <w:jc w:val="center"/>
              <w:rPr>
                <w:rFonts w:ascii="宋体" w:hAnsi="宋体" w:cs="宋体"/>
                <w:b/>
                <w:kern w:val="0"/>
                <w:sz w:val="24"/>
              </w:rPr>
            </w:pPr>
            <w:r>
              <w:rPr>
                <w:rFonts w:hint="eastAsia" w:ascii="宋体" w:hAnsi="宋体" w:cs="宋体"/>
                <w:b/>
                <w:kern w:val="0"/>
                <w:sz w:val="24"/>
              </w:rPr>
              <w:t>序号</w:t>
            </w:r>
          </w:p>
        </w:tc>
        <w:tc>
          <w:tcPr>
            <w:tcW w:w="976" w:type="pct"/>
            <w:vAlign w:val="center"/>
          </w:tcPr>
          <w:p>
            <w:pPr>
              <w:widowControl/>
              <w:ind w:firstLine="482"/>
              <w:jc w:val="center"/>
              <w:rPr>
                <w:rFonts w:ascii="宋体" w:hAnsi="宋体" w:cs="宋体"/>
                <w:b/>
                <w:kern w:val="0"/>
                <w:sz w:val="24"/>
              </w:rPr>
            </w:pPr>
            <w:r>
              <w:rPr>
                <w:rFonts w:hint="eastAsia" w:ascii="宋体" w:hAnsi="宋体" w:cs="宋体"/>
                <w:b/>
                <w:kern w:val="0"/>
                <w:sz w:val="24"/>
              </w:rPr>
              <w:t>审查因素</w:t>
            </w:r>
          </w:p>
        </w:tc>
        <w:tc>
          <w:tcPr>
            <w:tcW w:w="3620" w:type="pct"/>
            <w:vAlign w:val="center"/>
          </w:tcPr>
          <w:p>
            <w:pPr>
              <w:widowControl/>
              <w:ind w:firstLine="482"/>
              <w:jc w:val="center"/>
              <w:rPr>
                <w:rFonts w:ascii="宋体" w:hAnsi="宋体" w:cs="宋体"/>
                <w:b/>
                <w:kern w:val="0"/>
                <w:sz w:val="24"/>
              </w:rPr>
            </w:pPr>
            <w:r>
              <w:rPr>
                <w:rFonts w:hint="eastAsia" w:ascii="宋体" w:hAnsi="宋体" w:cs="宋体"/>
                <w:b/>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授权委托书</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2</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投标完整性</w:t>
            </w:r>
          </w:p>
        </w:tc>
        <w:tc>
          <w:tcPr>
            <w:tcW w:w="3620" w:type="pct"/>
            <w:vAlign w:val="center"/>
          </w:tcPr>
          <w:p>
            <w:pPr>
              <w:widowControl/>
              <w:jc w:val="left"/>
              <w:rPr>
                <w:rFonts w:ascii="宋体" w:hAnsi="宋体" w:cs="宋体"/>
                <w:kern w:val="0"/>
                <w:sz w:val="24"/>
              </w:rPr>
            </w:pPr>
            <w:r>
              <w:rPr>
                <w:rFonts w:hint="eastAsia" w:ascii="宋体" w:hAnsi="宋体" w:cs="宋体"/>
                <w:sz w:val="24"/>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3</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投标报价</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投标报价未</w:t>
            </w:r>
            <w:r>
              <w:rPr>
                <w:rFonts w:hint="eastAsia" w:ascii="宋体" w:hAnsi="宋体" w:cs="宋体"/>
                <w:sz w:val="24"/>
              </w:rPr>
              <w:t>超过招标文件中规定的项目/采购包预算金额或者项目/采购包最高限价</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4</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报价唯一性</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5</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投标有效期</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6</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签署、盖章</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7</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实质性格式</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标记为“实质性格式”的文件均按招标文件要求提供；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8</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报价的修正（如有）</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9</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报价合理性</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10</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公平竞争</w:t>
            </w:r>
          </w:p>
        </w:tc>
        <w:tc>
          <w:tcPr>
            <w:tcW w:w="3620" w:type="pct"/>
            <w:vAlign w:val="center"/>
          </w:tcPr>
          <w:p>
            <w:pPr>
              <w:widowControl/>
              <w:jc w:val="left"/>
              <w:rPr>
                <w:rFonts w:ascii="宋体" w:hAnsi="宋体" w:cs="宋体"/>
                <w:kern w:val="0"/>
                <w:sz w:val="24"/>
              </w:rPr>
            </w:pPr>
            <w:r>
              <w:rPr>
                <w:rFonts w:hint="eastAsia" w:ascii="宋体" w:hAnsi="宋体" w:cs="宋体"/>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11</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串通投标</w:t>
            </w:r>
          </w:p>
        </w:tc>
        <w:tc>
          <w:tcPr>
            <w:tcW w:w="3620" w:type="pct"/>
            <w:vAlign w:val="center"/>
          </w:tcPr>
          <w:p>
            <w:pPr>
              <w:widowControl/>
              <w:jc w:val="left"/>
              <w:rPr>
                <w:rFonts w:ascii="宋体" w:hAnsi="宋体" w:cs="宋体"/>
                <w:kern w:val="0"/>
                <w:sz w:val="24"/>
              </w:rPr>
            </w:pPr>
            <w:r>
              <w:rPr>
                <w:rFonts w:hint="eastAsia" w:ascii="宋体" w:hAnsi="宋体" w:cs="宋体"/>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12</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附加条件</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13</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其他无效情形</w:t>
            </w:r>
          </w:p>
        </w:tc>
        <w:tc>
          <w:tcPr>
            <w:tcW w:w="3620" w:type="pct"/>
            <w:vAlign w:val="center"/>
          </w:tcPr>
          <w:p>
            <w:pPr>
              <w:widowControl/>
              <w:jc w:val="left"/>
              <w:rPr>
                <w:rFonts w:ascii="宋体" w:hAnsi="宋体" w:cs="宋体"/>
                <w:kern w:val="0"/>
                <w:sz w:val="24"/>
              </w:rPr>
            </w:pPr>
            <w:r>
              <w:rPr>
                <w:rFonts w:hint="eastAsia" w:ascii="宋体" w:hAnsi="宋体" w:cs="宋体"/>
                <w:sz w:val="24"/>
              </w:rPr>
              <w:t>投标人、投标文件不存在不符合法律、法规和招标文件规定的其他无效情形。</w:t>
            </w:r>
          </w:p>
        </w:tc>
      </w:tr>
    </w:tbl>
    <w:p>
      <w:pPr>
        <w:pStyle w:val="5"/>
        <w:spacing w:line="360" w:lineRule="auto"/>
        <w:ind w:firstLine="480"/>
        <w:rPr>
          <w:rFonts w:ascii="宋体" w:hAnsi="宋体" w:cs="宋体"/>
          <w:sz w:val="24"/>
          <w:szCs w:val="24"/>
        </w:rPr>
      </w:pPr>
      <w:r>
        <w:rPr>
          <w:rFonts w:hint="eastAsia" w:ascii="宋体" w:hAnsi="宋体" w:cs="宋体"/>
          <w:sz w:val="24"/>
          <w:szCs w:val="24"/>
        </w:rPr>
        <w:t>注：只有全部通过符合性审查的投标人才可进入后续评审。</w:t>
      </w:r>
      <w:bookmarkEnd w:id="837"/>
    </w:p>
    <w:p>
      <w:pPr>
        <w:widowControl/>
        <w:spacing w:line="360" w:lineRule="auto"/>
        <w:ind w:firstLine="482"/>
        <w:jc w:val="left"/>
        <w:rPr>
          <w:rStyle w:val="70"/>
          <w:rFonts w:ascii="宋体" w:hAnsi="宋体"/>
          <w:sz w:val="24"/>
          <w:szCs w:val="24"/>
        </w:rPr>
      </w:pPr>
      <w:bookmarkStart w:id="838" w:name="_Toc15500"/>
      <w:bookmarkStart w:id="839" w:name="_Toc11226"/>
      <w:bookmarkStart w:id="840" w:name="_Toc496291435"/>
      <w:bookmarkStart w:id="841" w:name="_Toc29817"/>
      <w:bookmarkStart w:id="842" w:name="_Toc21939"/>
      <w:bookmarkStart w:id="843" w:name="_Toc25529"/>
      <w:bookmarkStart w:id="844" w:name="_Toc50760976"/>
      <w:bookmarkStart w:id="845" w:name="_Toc15435090"/>
      <w:bookmarkStart w:id="846" w:name="_Toc10883"/>
      <w:bookmarkStart w:id="847" w:name="_Toc8999374"/>
      <w:r>
        <w:rPr>
          <w:rStyle w:val="70"/>
          <w:rFonts w:hint="eastAsia" w:ascii="宋体" w:hAnsi="宋体"/>
          <w:sz w:val="24"/>
          <w:szCs w:val="24"/>
        </w:rPr>
        <w:br w:type="page"/>
      </w:r>
      <w:bookmarkEnd w:id="838"/>
      <w:bookmarkEnd w:id="839"/>
      <w:bookmarkEnd w:id="840"/>
      <w:bookmarkEnd w:id="841"/>
      <w:bookmarkEnd w:id="842"/>
      <w:bookmarkEnd w:id="843"/>
      <w:bookmarkEnd w:id="844"/>
      <w:bookmarkEnd w:id="845"/>
      <w:bookmarkEnd w:id="846"/>
      <w:bookmarkEnd w:id="847"/>
    </w:p>
    <w:p>
      <w:pPr>
        <w:pStyle w:val="6"/>
        <w:ind w:firstLine="275"/>
        <w:rPr>
          <w:rStyle w:val="70"/>
          <w:rFonts w:ascii="宋体" w:hAnsi="宋体"/>
          <w:b/>
          <w:bCs w:val="0"/>
          <w:szCs w:val="24"/>
        </w:rPr>
      </w:pPr>
      <w:r>
        <w:rPr>
          <w:rStyle w:val="70"/>
          <w:rFonts w:hint="eastAsia" w:ascii="宋体" w:hAnsi="宋体"/>
          <w:b/>
          <w:szCs w:val="24"/>
        </w:rPr>
        <w:t>评分细则（</w:t>
      </w:r>
      <w:r>
        <w:rPr>
          <w:rStyle w:val="70"/>
          <w:rFonts w:hint="eastAsia" w:ascii="宋体" w:hAnsi="宋体"/>
          <w:b/>
          <w:szCs w:val="24"/>
          <w:lang w:val="en-US"/>
        </w:rPr>
        <w:t>第一包</w:t>
      </w:r>
      <w:r>
        <w:rPr>
          <w:rStyle w:val="70"/>
          <w:rFonts w:hint="eastAsia" w:ascii="宋体" w:hAnsi="宋体"/>
          <w:b/>
          <w:szCs w:val="24"/>
        </w:rPr>
        <w:t>）</w:t>
      </w:r>
    </w:p>
    <w:tbl>
      <w:tblPr>
        <w:tblStyle w:val="48"/>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65"/>
        <w:gridCol w:w="1312"/>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s="宋体"/>
                <w:b/>
                <w:sz w:val="21"/>
                <w:szCs w:val="21"/>
              </w:rPr>
            </w:pPr>
            <w:r>
              <w:rPr>
                <w:rFonts w:hint="eastAsia" w:ascii="宋体" w:hAnsi="宋体" w:cs="宋体"/>
                <w:b/>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宋体" w:hAnsi="宋体" w:cs="宋体"/>
                <w:b/>
                <w:sz w:val="21"/>
                <w:szCs w:val="21"/>
              </w:rPr>
            </w:pPr>
            <w:r>
              <w:rPr>
                <w:rFonts w:hint="eastAsia" w:ascii="宋体" w:hAnsi="宋体" w:cs="宋体"/>
                <w:b/>
                <w:sz w:val="21"/>
                <w:szCs w:val="21"/>
              </w:rPr>
              <w:t>评分</w:t>
            </w:r>
          </w:p>
          <w:p>
            <w:pPr>
              <w:pStyle w:val="5"/>
              <w:ind w:firstLine="0"/>
              <w:jc w:val="center"/>
              <w:rPr>
                <w:rFonts w:ascii="宋体" w:hAnsi="宋体" w:cs="宋体"/>
                <w:b/>
                <w:sz w:val="21"/>
                <w:szCs w:val="21"/>
              </w:rPr>
            </w:pPr>
            <w:r>
              <w:rPr>
                <w:rFonts w:hint="eastAsia" w:ascii="宋体" w:hAnsi="宋体" w:cs="宋体"/>
                <w:b/>
                <w:sz w:val="21"/>
                <w:szCs w:val="21"/>
              </w:rPr>
              <w:t>因素</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pStyle w:val="5"/>
              <w:ind w:firstLine="482"/>
              <w:jc w:val="center"/>
              <w:rPr>
                <w:rFonts w:ascii="宋体" w:hAnsi="宋体" w:cs="宋体"/>
                <w:b/>
                <w:sz w:val="21"/>
                <w:szCs w:val="21"/>
              </w:rPr>
            </w:pPr>
            <w:r>
              <w:rPr>
                <w:rFonts w:hint="eastAsia" w:ascii="宋体" w:hAnsi="宋体" w:cs="宋体"/>
                <w:b/>
                <w:sz w:val="21"/>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restart"/>
            <w:tcBorders>
              <w:top w:val="single" w:color="auto" w:sz="4" w:space="0"/>
              <w:left w:val="single" w:color="auto" w:sz="4" w:space="0"/>
              <w:right w:val="single" w:color="auto" w:sz="4" w:space="0"/>
            </w:tcBorders>
            <w:vAlign w:val="center"/>
          </w:tcPr>
          <w:p>
            <w:pPr>
              <w:pStyle w:val="5"/>
              <w:ind w:firstLine="105" w:firstLineChars="50"/>
              <w:rPr>
                <w:rFonts w:ascii="宋体" w:hAnsi="宋体" w:cs="宋体"/>
                <w:sz w:val="21"/>
                <w:szCs w:val="21"/>
              </w:rPr>
            </w:pPr>
            <w:r>
              <w:rPr>
                <w:rFonts w:hint="eastAsia" w:ascii="宋体" w:hAnsi="宋体" w:cs="宋体"/>
                <w:sz w:val="21"/>
                <w:szCs w:val="21"/>
              </w:rPr>
              <w:t>1</w:t>
            </w:r>
          </w:p>
        </w:tc>
        <w:tc>
          <w:tcPr>
            <w:tcW w:w="1165" w:type="dxa"/>
            <w:vMerge w:val="restart"/>
            <w:tcBorders>
              <w:top w:val="single" w:color="auto" w:sz="4" w:space="0"/>
              <w:left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商务</w:t>
            </w:r>
          </w:p>
          <w:p>
            <w:pPr>
              <w:pStyle w:val="5"/>
              <w:ind w:firstLine="0"/>
              <w:rPr>
                <w:rFonts w:ascii="宋体" w:hAnsi="宋体" w:cs="宋体"/>
                <w:sz w:val="21"/>
                <w:szCs w:val="21"/>
              </w:rPr>
            </w:pPr>
            <w:r>
              <w:rPr>
                <w:rFonts w:hint="eastAsia" w:ascii="宋体" w:hAnsi="宋体" w:cs="宋体"/>
                <w:sz w:val="21"/>
                <w:szCs w:val="21"/>
              </w:rPr>
              <w:t>（14分）</w:t>
            </w:r>
          </w:p>
        </w:tc>
        <w:tc>
          <w:tcPr>
            <w:tcW w:w="1312" w:type="dxa"/>
            <w:vMerge w:val="restart"/>
            <w:tcBorders>
              <w:top w:val="single" w:color="auto" w:sz="4" w:space="0"/>
              <w:left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企业业绩</w:t>
            </w:r>
          </w:p>
          <w:p>
            <w:pPr>
              <w:pStyle w:val="5"/>
              <w:ind w:firstLine="0"/>
              <w:jc w:val="center"/>
              <w:rPr>
                <w:rFonts w:ascii="宋体" w:hAnsi="宋体" w:cs="宋体"/>
                <w:sz w:val="21"/>
                <w:szCs w:val="21"/>
              </w:rPr>
            </w:pPr>
            <w:r>
              <w:rPr>
                <w:rFonts w:hint="eastAsia" w:ascii="宋体" w:hAnsi="宋体" w:cs="宋体"/>
                <w:sz w:val="21"/>
                <w:szCs w:val="21"/>
              </w:rPr>
              <w:t>（10分）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s="宋体"/>
                <w:sz w:val="21"/>
                <w:szCs w:val="21"/>
              </w:rPr>
            </w:pPr>
            <w:r>
              <w:rPr>
                <w:rFonts w:hint="eastAsia" w:ascii="宋体" w:hAnsi="宋体" w:cs="宋体"/>
                <w:sz w:val="21"/>
                <w:szCs w:val="21"/>
              </w:rPr>
              <w:t>具备5年（含）以上网站管理与运营经验，得3分</w:t>
            </w:r>
            <w:r>
              <w:rPr>
                <w:rFonts w:hint="eastAsia" w:ascii="宋体" w:hAnsi="宋体" w:cs="宋体"/>
                <w:b/>
                <w:bCs/>
                <w:sz w:val="21"/>
                <w:szCs w:val="21"/>
              </w:rPr>
              <w:t>（须提供相关证明材料，并加盖投标人公章）。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4" w:type="dxa"/>
            <w:vMerge w:val="continue"/>
            <w:tcBorders>
              <w:left w:val="single" w:color="auto" w:sz="4" w:space="0"/>
              <w:right w:val="single" w:color="auto" w:sz="4" w:space="0"/>
            </w:tcBorders>
            <w:vAlign w:val="center"/>
          </w:tcPr>
          <w:p>
            <w:pPr>
              <w:pStyle w:val="5"/>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5"/>
              <w:ind w:firstLine="0"/>
              <w:rPr>
                <w:rFonts w:ascii="宋体" w:hAnsi="宋体" w:cs="宋体"/>
                <w:sz w:val="21"/>
                <w:szCs w:val="21"/>
              </w:rPr>
            </w:pPr>
          </w:p>
        </w:tc>
        <w:tc>
          <w:tcPr>
            <w:tcW w:w="1312"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6028"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s="宋体"/>
                <w:sz w:val="21"/>
                <w:szCs w:val="21"/>
              </w:rPr>
            </w:pPr>
            <w:r>
              <w:rPr>
                <w:rFonts w:hint="eastAsia" w:ascii="宋体" w:hAnsi="宋体" w:cs="宋体"/>
                <w:sz w:val="21"/>
                <w:szCs w:val="21"/>
              </w:rPr>
              <w:t>2022年1月起至今，投标人完成的网站管理和运维业绩，每个业绩得1分，本项最多得3分</w:t>
            </w:r>
            <w:r>
              <w:rPr>
                <w:rFonts w:hint="eastAsia" w:ascii="宋体" w:hAnsi="宋体" w:cs="宋体"/>
                <w:b/>
                <w:bCs/>
                <w:sz w:val="21"/>
                <w:szCs w:val="21"/>
              </w:rPr>
              <w:t>（须提供合同复印件，并加盖投标人公章）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5"/>
              <w:ind w:firstLine="0"/>
              <w:rPr>
                <w:rFonts w:ascii="宋体" w:hAnsi="宋体" w:cs="宋体"/>
                <w:sz w:val="21"/>
                <w:szCs w:val="21"/>
              </w:rPr>
            </w:pPr>
          </w:p>
        </w:tc>
        <w:tc>
          <w:tcPr>
            <w:tcW w:w="1312"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6028"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s="宋体"/>
                <w:sz w:val="21"/>
                <w:szCs w:val="21"/>
              </w:rPr>
            </w:pPr>
            <w:r>
              <w:rPr>
                <w:rFonts w:hint="eastAsia" w:ascii="宋体" w:hAnsi="宋体" w:cs="宋体"/>
                <w:sz w:val="21"/>
                <w:szCs w:val="21"/>
              </w:rPr>
              <w:t>2022年1月至今，投标人具有外文网站管理、运维项目业绩，得1分；项目业绩在两个（含）以上，且每个网站的外语语种为两个（含）以上，再得1分。本项最多得2分</w:t>
            </w:r>
            <w:r>
              <w:rPr>
                <w:rFonts w:hint="eastAsia" w:ascii="宋体" w:hAnsi="宋体" w:cs="宋体"/>
                <w:b/>
                <w:bCs/>
                <w:sz w:val="21"/>
                <w:szCs w:val="21"/>
              </w:rPr>
              <w:t>（须提供合同复印件，并加盖投标人公章）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24" w:type="dxa"/>
            <w:vMerge w:val="continue"/>
            <w:tcBorders>
              <w:left w:val="single" w:color="auto" w:sz="4" w:space="0"/>
              <w:right w:val="single" w:color="auto" w:sz="4" w:space="0"/>
            </w:tcBorders>
            <w:vAlign w:val="center"/>
          </w:tcPr>
          <w:p>
            <w:pPr>
              <w:pStyle w:val="5"/>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5"/>
              <w:ind w:firstLine="0"/>
              <w:rPr>
                <w:rFonts w:ascii="宋体" w:hAnsi="宋体" w:cs="宋体"/>
                <w:sz w:val="21"/>
                <w:szCs w:val="21"/>
              </w:rPr>
            </w:pPr>
          </w:p>
        </w:tc>
        <w:tc>
          <w:tcPr>
            <w:tcW w:w="1312"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6028"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s="宋体"/>
                <w:sz w:val="21"/>
                <w:szCs w:val="21"/>
              </w:rPr>
            </w:pPr>
            <w:r>
              <w:rPr>
                <w:rFonts w:hint="eastAsia" w:ascii="宋体" w:hAnsi="宋体" w:cs="宋体"/>
                <w:sz w:val="21"/>
                <w:szCs w:val="21"/>
              </w:rPr>
              <w:t>2022年1月至今，投标人具有互联网推广方面的成功案例，每个得1分，本项最多得2分</w:t>
            </w:r>
            <w:r>
              <w:rPr>
                <w:rFonts w:hint="eastAsia" w:ascii="宋体" w:hAnsi="宋体" w:cs="宋体"/>
                <w:b/>
                <w:bCs/>
                <w:sz w:val="21"/>
                <w:szCs w:val="21"/>
              </w:rPr>
              <w:t>（须提供案例简况、合同复印件，并加盖投标人公章）。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4" w:type="dxa"/>
            <w:vMerge w:val="continue"/>
            <w:tcBorders>
              <w:left w:val="single" w:color="auto" w:sz="4" w:space="0"/>
              <w:right w:val="single" w:color="auto" w:sz="4" w:space="0"/>
            </w:tcBorders>
            <w:vAlign w:val="center"/>
          </w:tcPr>
          <w:p>
            <w:pPr>
              <w:pStyle w:val="5"/>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5"/>
              <w:ind w:firstLine="0"/>
              <w:rPr>
                <w:rFonts w:ascii="宋体" w:hAnsi="宋体" w:cs="宋体"/>
                <w:sz w:val="21"/>
                <w:szCs w:val="21"/>
              </w:rPr>
            </w:pPr>
          </w:p>
        </w:tc>
        <w:tc>
          <w:tcPr>
            <w:tcW w:w="1312" w:type="dxa"/>
            <w:vMerge w:val="restart"/>
            <w:tcBorders>
              <w:top w:val="single" w:color="auto" w:sz="4" w:space="0"/>
              <w:left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专业技术能力</w:t>
            </w:r>
          </w:p>
          <w:p>
            <w:pPr>
              <w:pStyle w:val="5"/>
              <w:ind w:firstLine="0"/>
              <w:jc w:val="center"/>
              <w:rPr>
                <w:rFonts w:ascii="宋体" w:hAnsi="宋体" w:cs="宋体"/>
                <w:sz w:val="21"/>
                <w:szCs w:val="21"/>
              </w:rPr>
            </w:pPr>
            <w:r>
              <w:rPr>
                <w:rFonts w:hint="eastAsia" w:ascii="宋体" w:hAnsi="宋体" w:cs="宋体"/>
                <w:sz w:val="21"/>
                <w:szCs w:val="21"/>
              </w:rPr>
              <w:t>（4分）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s="宋体"/>
                <w:sz w:val="21"/>
                <w:szCs w:val="21"/>
              </w:rPr>
            </w:pPr>
            <w:r>
              <w:rPr>
                <w:rFonts w:hint="eastAsia" w:ascii="宋体" w:hAnsi="宋体" w:cs="宋体"/>
                <w:sz w:val="21"/>
                <w:szCs w:val="21"/>
              </w:rPr>
              <w:t>具有互联网 ICP 经营许可证证书，得2分</w:t>
            </w:r>
            <w:r>
              <w:rPr>
                <w:rFonts w:hint="eastAsia" w:ascii="宋体" w:hAnsi="宋体" w:cs="宋体"/>
                <w:b/>
                <w:bCs/>
                <w:sz w:val="21"/>
                <w:szCs w:val="21"/>
              </w:rPr>
              <w:t>（须提供相关证明材料，并加盖投标人公章）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4" w:type="dxa"/>
            <w:vMerge w:val="continue"/>
            <w:tcBorders>
              <w:left w:val="single" w:color="auto" w:sz="4" w:space="0"/>
              <w:right w:val="single" w:color="auto" w:sz="4" w:space="0"/>
            </w:tcBorders>
            <w:vAlign w:val="center"/>
          </w:tcPr>
          <w:p>
            <w:pPr>
              <w:pStyle w:val="5"/>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5"/>
              <w:ind w:firstLine="0"/>
              <w:rPr>
                <w:rFonts w:ascii="宋体" w:hAnsi="宋体" w:cs="宋体"/>
                <w:sz w:val="21"/>
                <w:szCs w:val="21"/>
              </w:rPr>
            </w:pPr>
          </w:p>
        </w:tc>
        <w:tc>
          <w:tcPr>
            <w:tcW w:w="1312"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6028"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s="宋体"/>
                <w:sz w:val="21"/>
                <w:szCs w:val="21"/>
              </w:rPr>
            </w:pPr>
            <w:r>
              <w:rPr>
                <w:rFonts w:hint="eastAsia" w:ascii="宋体" w:hAnsi="宋体" w:cs="宋体"/>
                <w:sz w:val="21"/>
                <w:szCs w:val="21"/>
              </w:rPr>
              <w:t>具有互联网新闻信息服务许可证证书，得2分</w:t>
            </w:r>
            <w:r>
              <w:rPr>
                <w:rFonts w:hint="eastAsia" w:ascii="宋体" w:hAnsi="宋体" w:cs="宋体"/>
                <w:b/>
                <w:bCs/>
                <w:sz w:val="21"/>
                <w:szCs w:val="21"/>
              </w:rPr>
              <w:t>（须提供相关证明材料，并加盖投标人公章）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24" w:type="dxa"/>
            <w:vMerge w:val="restart"/>
            <w:tcBorders>
              <w:top w:val="single" w:color="auto" w:sz="4" w:space="0"/>
              <w:left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2</w:t>
            </w:r>
          </w:p>
        </w:tc>
        <w:tc>
          <w:tcPr>
            <w:tcW w:w="1165" w:type="dxa"/>
            <w:vMerge w:val="restart"/>
            <w:tcBorders>
              <w:top w:val="single" w:color="auto" w:sz="4" w:space="0"/>
              <w:left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服务</w:t>
            </w:r>
          </w:p>
          <w:p>
            <w:pPr>
              <w:pStyle w:val="5"/>
              <w:ind w:firstLine="0"/>
              <w:jc w:val="center"/>
              <w:rPr>
                <w:rFonts w:ascii="宋体" w:hAnsi="宋体" w:cs="宋体"/>
                <w:sz w:val="21"/>
                <w:szCs w:val="21"/>
              </w:rPr>
            </w:pPr>
            <w:r>
              <w:rPr>
                <w:rFonts w:hint="eastAsia" w:ascii="宋体" w:hAnsi="宋体" w:cs="宋体"/>
                <w:sz w:val="21"/>
                <w:szCs w:val="21"/>
              </w:rPr>
              <w:t>（76分）</w:t>
            </w:r>
          </w:p>
        </w:tc>
        <w:tc>
          <w:tcPr>
            <w:tcW w:w="1312" w:type="dxa"/>
            <w:tcBorders>
              <w:top w:val="single" w:color="auto" w:sz="4" w:space="0"/>
              <w:left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 xml:space="preserve">需求分析（8分） </w:t>
            </w:r>
          </w:p>
        </w:tc>
        <w:tc>
          <w:tcPr>
            <w:tcW w:w="6028" w:type="dxa"/>
            <w:tcBorders>
              <w:top w:val="single" w:color="auto" w:sz="4" w:space="0"/>
              <w:left w:val="single" w:color="auto" w:sz="4" w:space="0"/>
            </w:tcBorders>
            <w:vAlign w:val="center"/>
          </w:tcPr>
          <w:p>
            <w:pPr>
              <w:pStyle w:val="5"/>
              <w:ind w:firstLine="0"/>
              <w:rPr>
                <w:rFonts w:ascii="宋体" w:hAnsi="宋体" w:cs="宋体"/>
                <w:b/>
                <w:bCs/>
                <w:sz w:val="21"/>
                <w:szCs w:val="21"/>
              </w:rPr>
            </w:pPr>
            <w:r>
              <w:rPr>
                <w:rFonts w:hint="eastAsia" w:ascii="宋体" w:hAnsi="宋体" w:cs="宋体"/>
                <w:b/>
                <w:bCs/>
                <w:sz w:val="21"/>
                <w:szCs w:val="21"/>
              </w:rPr>
              <w:t>综合考虑投标人围绕以下两项内容提供的采购需求分析：①结合工作技能及经验对项目背景及项目现状的分析；②项目实施技术及组织难点及解决思路。每项内容的评分标准如下：</w:t>
            </w:r>
          </w:p>
          <w:p>
            <w:pPr>
              <w:pStyle w:val="5"/>
              <w:ind w:firstLine="0"/>
              <w:rPr>
                <w:rFonts w:ascii="宋体" w:hAnsi="宋体" w:cs="宋体"/>
                <w:sz w:val="21"/>
                <w:szCs w:val="21"/>
              </w:rPr>
            </w:pPr>
            <w:r>
              <w:rPr>
                <w:rFonts w:hint="eastAsia" w:ascii="宋体" w:hAnsi="宋体" w:cs="宋体"/>
                <w:sz w:val="21"/>
                <w:szCs w:val="21"/>
              </w:rPr>
              <w:t>（1）论述完整，不存在内容缺失，技术支撑充分，得4分；</w:t>
            </w:r>
          </w:p>
          <w:p>
            <w:pPr>
              <w:pStyle w:val="5"/>
              <w:ind w:firstLine="0"/>
              <w:rPr>
                <w:rFonts w:ascii="宋体" w:hAnsi="宋体" w:cs="宋体"/>
                <w:sz w:val="21"/>
                <w:szCs w:val="21"/>
              </w:rPr>
            </w:pPr>
            <w:r>
              <w:rPr>
                <w:rFonts w:hint="eastAsia" w:ascii="宋体" w:hAnsi="宋体" w:cs="宋体"/>
                <w:sz w:val="21"/>
                <w:szCs w:val="21"/>
              </w:rPr>
              <w:t>（2）论述完整，不存在内容缺失，但存在技术支撑缺陷，得3分；</w:t>
            </w:r>
          </w:p>
          <w:p>
            <w:pPr>
              <w:pStyle w:val="5"/>
              <w:ind w:firstLine="0"/>
              <w:rPr>
                <w:rFonts w:ascii="宋体" w:hAnsi="宋体" w:cs="宋体"/>
                <w:sz w:val="21"/>
                <w:szCs w:val="21"/>
              </w:rPr>
            </w:pPr>
            <w:r>
              <w:rPr>
                <w:rFonts w:hint="eastAsia" w:ascii="宋体" w:hAnsi="宋体" w:cs="宋体"/>
                <w:sz w:val="21"/>
                <w:szCs w:val="21"/>
              </w:rPr>
              <w:t>（3）论述存在缺失及技术支撑缺陷，得1分；</w:t>
            </w:r>
          </w:p>
          <w:p>
            <w:pPr>
              <w:pStyle w:val="5"/>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8种语言网站内容建设方案 （25分）</w:t>
            </w:r>
          </w:p>
        </w:tc>
        <w:tc>
          <w:tcPr>
            <w:tcW w:w="6028" w:type="dxa"/>
            <w:tcBorders>
              <w:top w:val="single" w:color="auto" w:sz="4" w:space="0"/>
              <w:left w:val="single" w:color="auto" w:sz="4" w:space="0"/>
            </w:tcBorders>
            <w:vAlign w:val="center"/>
          </w:tcPr>
          <w:p>
            <w:pPr>
              <w:pStyle w:val="5"/>
              <w:ind w:firstLine="0"/>
              <w:jc w:val="both"/>
              <w:rPr>
                <w:rFonts w:ascii="宋体" w:hAnsi="宋体" w:cs="宋体"/>
                <w:sz w:val="21"/>
                <w:szCs w:val="21"/>
              </w:rPr>
            </w:pPr>
            <w:r>
              <w:rPr>
                <w:rFonts w:hint="eastAsia" w:ascii="宋体" w:hAnsi="宋体" w:cs="宋体"/>
                <w:b/>
                <w:bCs/>
                <w:sz w:val="21"/>
                <w:szCs w:val="21"/>
              </w:rPr>
              <w:t>综合考虑投标人提供的8种语言网站内容建设方案，方案应对以下内容逐项进行论述：①</w:t>
            </w:r>
            <w:r>
              <w:rPr>
                <w:rFonts w:hint="eastAsia" w:ascii="宋体" w:hAnsi="宋体" w:cs="宋体"/>
                <w:b/>
                <w:sz w:val="21"/>
                <w:szCs w:val="21"/>
              </w:rPr>
              <w:t>中文PC版网站和手机3G版内容建设</w:t>
            </w:r>
            <w:r>
              <w:rPr>
                <w:rFonts w:hint="eastAsia" w:ascii="宋体" w:hAnsi="宋体" w:cs="宋体"/>
                <w:b/>
                <w:bCs/>
                <w:sz w:val="21"/>
                <w:szCs w:val="21"/>
              </w:rPr>
              <w:t>、②</w:t>
            </w:r>
            <w:r>
              <w:rPr>
                <w:rFonts w:hint="eastAsia" w:ascii="宋体" w:hAnsi="宋体" w:cs="宋体"/>
                <w:b/>
                <w:sz w:val="21"/>
                <w:szCs w:val="21"/>
              </w:rPr>
              <w:t>英文PC版网站和手机3G版内容建设</w:t>
            </w:r>
            <w:r>
              <w:rPr>
                <w:rFonts w:hint="eastAsia" w:ascii="宋体" w:hAnsi="宋体" w:cs="宋体"/>
                <w:b/>
                <w:bCs/>
                <w:sz w:val="21"/>
                <w:szCs w:val="21"/>
              </w:rPr>
              <w:t>、③</w:t>
            </w:r>
            <w:r>
              <w:rPr>
                <w:rFonts w:hint="eastAsia" w:ascii="宋体" w:hAnsi="宋体" w:cs="宋体"/>
                <w:b/>
                <w:sz w:val="21"/>
                <w:szCs w:val="21"/>
              </w:rPr>
              <w:t>韩文PC版网站和3G版内容建设、④日文PC版网站内容建设、⑤法、西、俄文版和繁体版网站内容建设</w:t>
            </w:r>
            <w:r>
              <w:rPr>
                <w:rFonts w:hint="eastAsia" w:ascii="宋体" w:hAnsi="宋体" w:cs="宋体"/>
                <w:b/>
                <w:bCs/>
                <w:sz w:val="21"/>
                <w:szCs w:val="21"/>
              </w:rPr>
              <w:t>，每项论述评分标准如下：</w:t>
            </w:r>
          </w:p>
          <w:p>
            <w:pPr>
              <w:pStyle w:val="5"/>
              <w:ind w:firstLine="0"/>
              <w:rPr>
                <w:rFonts w:ascii="宋体" w:hAnsi="宋体" w:cs="宋体"/>
                <w:sz w:val="21"/>
                <w:szCs w:val="21"/>
              </w:rPr>
            </w:pPr>
            <w:r>
              <w:rPr>
                <w:rFonts w:hint="eastAsia" w:ascii="宋体" w:hAnsi="宋体" w:cs="宋体"/>
                <w:sz w:val="21"/>
                <w:szCs w:val="21"/>
              </w:rPr>
              <w:t>（1）论述完整，不存在内容缺失，技术支撑充分，得5分；</w:t>
            </w:r>
          </w:p>
          <w:p>
            <w:pPr>
              <w:pStyle w:val="5"/>
              <w:ind w:firstLine="0"/>
              <w:rPr>
                <w:rFonts w:ascii="宋体" w:hAnsi="宋体" w:cs="宋体"/>
                <w:sz w:val="21"/>
                <w:szCs w:val="21"/>
              </w:rPr>
            </w:pPr>
            <w:r>
              <w:rPr>
                <w:rFonts w:hint="eastAsia" w:ascii="宋体" w:hAnsi="宋体" w:cs="宋体"/>
                <w:sz w:val="21"/>
                <w:szCs w:val="21"/>
              </w:rPr>
              <w:t>（2）论述完整，不存在内容缺失，但存在技术支撑缺陷，得3分；</w:t>
            </w:r>
          </w:p>
          <w:p>
            <w:pPr>
              <w:pStyle w:val="5"/>
              <w:ind w:firstLine="0"/>
              <w:rPr>
                <w:rFonts w:ascii="宋体" w:hAnsi="宋体" w:cs="宋体"/>
                <w:sz w:val="21"/>
                <w:szCs w:val="21"/>
              </w:rPr>
            </w:pPr>
            <w:r>
              <w:rPr>
                <w:rFonts w:hint="eastAsia" w:ascii="宋体" w:hAnsi="宋体" w:cs="宋体"/>
                <w:sz w:val="21"/>
                <w:szCs w:val="21"/>
              </w:rPr>
              <w:t>（3）论述存在缺失及技术支撑缺陷，得1分；</w:t>
            </w:r>
          </w:p>
          <w:p>
            <w:pPr>
              <w:pStyle w:val="5"/>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网站应用系统、网络、安全运行维护方案（12分）</w:t>
            </w:r>
          </w:p>
        </w:tc>
        <w:tc>
          <w:tcPr>
            <w:tcW w:w="6028" w:type="dxa"/>
            <w:tcBorders>
              <w:top w:val="single" w:color="auto" w:sz="4" w:space="0"/>
              <w:left w:val="single" w:color="auto" w:sz="4" w:space="0"/>
            </w:tcBorders>
            <w:vAlign w:val="center"/>
          </w:tcPr>
          <w:p>
            <w:pPr>
              <w:pStyle w:val="5"/>
              <w:ind w:firstLine="0"/>
              <w:jc w:val="both"/>
              <w:rPr>
                <w:rFonts w:ascii="宋体" w:hAnsi="宋体" w:cs="宋体"/>
                <w:sz w:val="21"/>
                <w:szCs w:val="21"/>
              </w:rPr>
            </w:pPr>
            <w:r>
              <w:rPr>
                <w:rFonts w:hint="eastAsia" w:ascii="宋体" w:hAnsi="宋体" w:cs="宋体"/>
                <w:b/>
                <w:bCs/>
                <w:sz w:val="21"/>
                <w:szCs w:val="21"/>
              </w:rPr>
              <w:t>综合考虑投标人提供的网站应用系统、网络、安全运行维护方案，方案应对以下内容逐项进行论述：①应用系统运维、②</w:t>
            </w:r>
            <w:r>
              <w:rPr>
                <w:rFonts w:hint="eastAsia" w:ascii="宋体" w:hAnsi="宋体" w:cs="宋体"/>
                <w:b/>
                <w:sz w:val="21"/>
                <w:szCs w:val="21"/>
              </w:rPr>
              <w:t>网站硬件网络环境</w:t>
            </w:r>
            <w:r>
              <w:rPr>
                <w:rFonts w:hint="eastAsia" w:ascii="宋体" w:hAnsi="宋体" w:cs="宋体"/>
                <w:b/>
                <w:bCs/>
                <w:sz w:val="21"/>
                <w:szCs w:val="21"/>
              </w:rPr>
              <w:t>运维、③</w:t>
            </w:r>
            <w:r>
              <w:rPr>
                <w:rFonts w:hint="eastAsia" w:ascii="宋体" w:hAnsi="宋体" w:cs="宋体"/>
                <w:b/>
                <w:sz w:val="21"/>
                <w:szCs w:val="21"/>
              </w:rPr>
              <w:t>安全运维</w:t>
            </w:r>
            <w:r>
              <w:rPr>
                <w:rFonts w:hint="eastAsia" w:ascii="宋体" w:hAnsi="宋体" w:cs="宋体"/>
                <w:b/>
                <w:bCs/>
                <w:sz w:val="21"/>
                <w:szCs w:val="21"/>
              </w:rPr>
              <w:t>，每项论述评分标准如下：</w:t>
            </w:r>
          </w:p>
          <w:p>
            <w:pPr>
              <w:pStyle w:val="5"/>
              <w:ind w:firstLine="0"/>
              <w:rPr>
                <w:rFonts w:ascii="宋体" w:hAnsi="宋体" w:cs="宋体"/>
                <w:sz w:val="21"/>
                <w:szCs w:val="21"/>
              </w:rPr>
            </w:pPr>
            <w:r>
              <w:rPr>
                <w:rFonts w:hint="eastAsia" w:ascii="宋体" w:hAnsi="宋体" w:cs="宋体"/>
                <w:sz w:val="21"/>
                <w:szCs w:val="21"/>
              </w:rPr>
              <w:t>（1）论述完整，不存在内容缺失，技术支撑充分，得4分；</w:t>
            </w:r>
          </w:p>
          <w:p>
            <w:pPr>
              <w:pStyle w:val="5"/>
              <w:ind w:firstLine="0"/>
              <w:rPr>
                <w:rFonts w:ascii="宋体" w:hAnsi="宋体" w:cs="宋体"/>
                <w:sz w:val="21"/>
                <w:szCs w:val="21"/>
              </w:rPr>
            </w:pPr>
            <w:r>
              <w:rPr>
                <w:rFonts w:hint="eastAsia" w:ascii="宋体" w:hAnsi="宋体" w:cs="宋体"/>
                <w:sz w:val="21"/>
                <w:szCs w:val="21"/>
              </w:rPr>
              <w:t>（2）论述完整，不存在内容缺失，但存在技术支撑缺陷，得3分；</w:t>
            </w:r>
          </w:p>
          <w:p>
            <w:pPr>
              <w:pStyle w:val="5"/>
              <w:ind w:firstLine="0"/>
              <w:rPr>
                <w:rFonts w:ascii="宋体" w:hAnsi="宋体" w:cs="宋体"/>
                <w:sz w:val="21"/>
                <w:szCs w:val="21"/>
              </w:rPr>
            </w:pPr>
            <w:r>
              <w:rPr>
                <w:rFonts w:hint="eastAsia" w:ascii="宋体" w:hAnsi="宋体" w:cs="宋体"/>
                <w:sz w:val="21"/>
                <w:szCs w:val="21"/>
              </w:rPr>
              <w:t>（3）论述存在缺失及技术支撑缺陷，得1分；</w:t>
            </w:r>
          </w:p>
          <w:p>
            <w:pPr>
              <w:pStyle w:val="5"/>
              <w:ind w:firstLine="0"/>
              <w:jc w:val="both"/>
              <w:rPr>
                <w:rFonts w:ascii="宋体" w:hAnsi="宋体" w:cs="宋体"/>
                <w:b/>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旅游资源库平台维护与运营方案    （4分）</w:t>
            </w:r>
          </w:p>
        </w:tc>
        <w:tc>
          <w:tcPr>
            <w:tcW w:w="6028" w:type="dxa"/>
            <w:tcBorders>
              <w:top w:val="single" w:color="auto" w:sz="4" w:space="0"/>
              <w:left w:val="single" w:color="auto" w:sz="4" w:space="0"/>
            </w:tcBorders>
            <w:vAlign w:val="center"/>
          </w:tcPr>
          <w:p>
            <w:pPr>
              <w:pStyle w:val="5"/>
              <w:ind w:firstLine="0"/>
              <w:jc w:val="both"/>
              <w:rPr>
                <w:rFonts w:ascii="宋体" w:hAnsi="宋体" w:cs="宋体"/>
                <w:sz w:val="21"/>
                <w:szCs w:val="21"/>
              </w:rPr>
            </w:pPr>
            <w:r>
              <w:rPr>
                <w:rFonts w:hint="eastAsia" w:ascii="宋体" w:hAnsi="宋体" w:cs="宋体"/>
                <w:b/>
                <w:bCs/>
                <w:sz w:val="21"/>
                <w:szCs w:val="21"/>
              </w:rPr>
              <w:t>综合考虑投标人提供的旅游资源库平台维护与运营方案：</w:t>
            </w:r>
          </w:p>
          <w:p>
            <w:pPr>
              <w:pStyle w:val="5"/>
              <w:ind w:firstLine="0"/>
              <w:rPr>
                <w:rFonts w:ascii="宋体" w:hAnsi="宋体" w:cs="宋体"/>
                <w:sz w:val="21"/>
                <w:szCs w:val="21"/>
              </w:rPr>
            </w:pPr>
            <w:r>
              <w:rPr>
                <w:rFonts w:hint="eastAsia" w:ascii="宋体" w:hAnsi="宋体" w:cs="宋体"/>
                <w:sz w:val="21"/>
                <w:szCs w:val="21"/>
              </w:rPr>
              <w:t>（1）论述完整，不存在内容缺失，技术支撑充分，得4分；</w:t>
            </w:r>
          </w:p>
          <w:p>
            <w:pPr>
              <w:pStyle w:val="5"/>
              <w:ind w:firstLine="0"/>
              <w:rPr>
                <w:rFonts w:ascii="宋体" w:hAnsi="宋体" w:cs="宋体"/>
                <w:sz w:val="21"/>
                <w:szCs w:val="21"/>
              </w:rPr>
            </w:pPr>
            <w:r>
              <w:rPr>
                <w:rFonts w:hint="eastAsia" w:ascii="宋体" w:hAnsi="宋体" w:cs="宋体"/>
                <w:sz w:val="21"/>
                <w:szCs w:val="21"/>
              </w:rPr>
              <w:t>（2）论述完整，不存在内容缺失，但存在技术支撑缺陷，得3分；</w:t>
            </w:r>
          </w:p>
          <w:p>
            <w:pPr>
              <w:pStyle w:val="5"/>
              <w:ind w:firstLine="0"/>
              <w:rPr>
                <w:rFonts w:ascii="宋体" w:hAnsi="宋体" w:cs="宋体"/>
                <w:sz w:val="21"/>
                <w:szCs w:val="21"/>
              </w:rPr>
            </w:pPr>
            <w:r>
              <w:rPr>
                <w:rFonts w:hint="eastAsia" w:ascii="宋体" w:hAnsi="宋体" w:cs="宋体"/>
                <w:sz w:val="21"/>
                <w:szCs w:val="21"/>
              </w:rPr>
              <w:t>（3）论述存在缺失及技术支撑缺陷，得1分；</w:t>
            </w:r>
          </w:p>
          <w:p>
            <w:pPr>
              <w:pStyle w:val="5"/>
              <w:ind w:firstLine="0"/>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5"/>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宣传推广方案（4分）</w:t>
            </w:r>
          </w:p>
        </w:tc>
        <w:tc>
          <w:tcPr>
            <w:tcW w:w="6028" w:type="dxa"/>
            <w:tcBorders>
              <w:top w:val="single" w:color="auto" w:sz="4" w:space="0"/>
              <w:left w:val="single" w:color="auto" w:sz="4" w:space="0"/>
            </w:tcBorders>
            <w:vAlign w:val="center"/>
          </w:tcPr>
          <w:p>
            <w:pPr>
              <w:pStyle w:val="5"/>
              <w:ind w:firstLine="0"/>
              <w:jc w:val="both"/>
              <w:rPr>
                <w:rFonts w:ascii="宋体" w:hAnsi="宋体" w:cs="宋体"/>
                <w:sz w:val="21"/>
                <w:szCs w:val="21"/>
              </w:rPr>
            </w:pPr>
            <w:r>
              <w:rPr>
                <w:rFonts w:hint="eastAsia" w:ascii="宋体" w:hAnsi="宋体" w:cs="宋体"/>
                <w:b/>
                <w:bCs/>
                <w:sz w:val="21"/>
                <w:szCs w:val="21"/>
              </w:rPr>
              <w:t>综合考虑投标人提供的宣传推广方案：</w:t>
            </w:r>
          </w:p>
          <w:p>
            <w:pPr>
              <w:pStyle w:val="5"/>
              <w:ind w:firstLine="0"/>
              <w:rPr>
                <w:rFonts w:ascii="宋体" w:hAnsi="宋体" w:cs="宋体"/>
                <w:sz w:val="21"/>
                <w:szCs w:val="21"/>
              </w:rPr>
            </w:pPr>
            <w:r>
              <w:rPr>
                <w:rFonts w:hint="eastAsia" w:ascii="宋体" w:hAnsi="宋体" w:cs="宋体"/>
                <w:sz w:val="21"/>
                <w:szCs w:val="21"/>
              </w:rPr>
              <w:t>（1）论述完整，不存在内容缺失，技术支撑充分，得4分；</w:t>
            </w:r>
          </w:p>
          <w:p>
            <w:pPr>
              <w:pStyle w:val="5"/>
              <w:ind w:firstLine="0"/>
              <w:rPr>
                <w:rFonts w:ascii="宋体" w:hAnsi="宋体" w:cs="宋体"/>
                <w:sz w:val="21"/>
                <w:szCs w:val="21"/>
              </w:rPr>
            </w:pPr>
            <w:r>
              <w:rPr>
                <w:rFonts w:hint="eastAsia" w:ascii="宋体" w:hAnsi="宋体" w:cs="宋体"/>
                <w:sz w:val="21"/>
                <w:szCs w:val="21"/>
              </w:rPr>
              <w:t>（2）论述完整，不存在内容缺失，但存在技术支撑缺陷，得3分；</w:t>
            </w:r>
          </w:p>
          <w:p>
            <w:pPr>
              <w:pStyle w:val="5"/>
              <w:ind w:firstLine="0"/>
              <w:rPr>
                <w:rFonts w:ascii="宋体" w:hAnsi="宋体" w:cs="宋体"/>
                <w:sz w:val="21"/>
                <w:szCs w:val="21"/>
              </w:rPr>
            </w:pPr>
            <w:r>
              <w:rPr>
                <w:rFonts w:hint="eastAsia" w:ascii="宋体" w:hAnsi="宋体" w:cs="宋体"/>
                <w:sz w:val="21"/>
                <w:szCs w:val="21"/>
              </w:rPr>
              <w:t>（3）论述存在缺失及技术支撑缺陷，得1分；</w:t>
            </w:r>
          </w:p>
          <w:p>
            <w:pPr>
              <w:pStyle w:val="5"/>
              <w:ind w:firstLine="0"/>
              <w:jc w:val="both"/>
              <w:rPr>
                <w:rFonts w:ascii="宋体" w:hAnsi="宋体" w:cs="宋体"/>
                <w:b/>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312" w:type="dxa"/>
            <w:tcBorders>
              <w:left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非功能性需求方案（12分）</w:t>
            </w:r>
          </w:p>
        </w:tc>
        <w:tc>
          <w:tcPr>
            <w:tcW w:w="6028" w:type="dxa"/>
            <w:tcBorders>
              <w:top w:val="single" w:color="auto" w:sz="4" w:space="0"/>
              <w:left w:val="single" w:color="auto" w:sz="4" w:space="0"/>
              <w:right w:val="single" w:color="auto" w:sz="4" w:space="0"/>
            </w:tcBorders>
            <w:vAlign w:val="center"/>
          </w:tcPr>
          <w:p>
            <w:pPr>
              <w:pStyle w:val="5"/>
              <w:ind w:firstLine="0"/>
              <w:jc w:val="both"/>
              <w:rPr>
                <w:rFonts w:ascii="宋体" w:hAnsi="宋体" w:cs="宋体"/>
                <w:sz w:val="21"/>
                <w:szCs w:val="21"/>
              </w:rPr>
            </w:pPr>
            <w:r>
              <w:rPr>
                <w:rFonts w:hint="eastAsia" w:ascii="宋体" w:hAnsi="宋体" w:cs="宋体"/>
                <w:b/>
                <w:bCs/>
                <w:sz w:val="21"/>
                <w:szCs w:val="21"/>
              </w:rPr>
              <w:t>综合考虑投标人提供的非功能性需求方案，方案应对以下内容逐项进行论述：①</w:t>
            </w:r>
            <w:r>
              <w:rPr>
                <w:rFonts w:hint="eastAsia" w:ascii="宋体" w:hAnsi="宋体" w:cs="宋体"/>
                <w:b/>
                <w:sz w:val="21"/>
                <w:szCs w:val="21"/>
              </w:rPr>
              <w:t>网站版权管理及内容管理</w:t>
            </w:r>
            <w:r>
              <w:rPr>
                <w:rFonts w:hint="eastAsia" w:ascii="宋体" w:hAnsi="宋体" w:cs="宋体"/>
                <w:b/>
                <w:bCs/>
                <w:sz w:val="21"/>
                <w:szCs w:val="21"/>
              </w:rPr>
              <w:t>、②</w:t>
            </w:r>
            <w:r>
              <w:rPr>
                <w:rFonts w:hint="eastAsia" w:ascii="宋体" w:hAnsi="宋体" w:cs="宋体"/>
                <w:b/>
                <w:sz w:val="21"/>
                <w:szCs w:val="21"/>
              </w:rPr>
              <w:t>网站运营工作计划</w:t>
            </w:r>
            <w:r>
              <w:rPr>
                <w:rFonts w:hint="eastAsia" w:ascii="宋体" w:hAnsi="宋体" w:cs="宋体"/>
                <w:b/>
                <w:bCs/>
                <w:sz w:val="21"/>
                <w:szCs w:val="21"/>
              </w:rPr>
              <w:t>、③</w:t>
            </w:r>
            <w:r>
              <w:rPr>
                <w:rFonts w:hint="eastAsia" w:ascii="宋体" w:hAnsi="宋体" w:cs="宋体"/>
                <w:b/>
                <w:sz w:val="21"/>
                <w:szCs w:val="21"/>
              </w:rPr>
              <w:t>质量控制方案、④风险管理方案</w:t>
            </w:r>
            <w:r>
              <w:rPr>
                <w:rFonts w:hint="eastAsia" w:ascii="宋体" w:hAnsi="宋体" w:cs="宋体"/>
                <w:b/>
                <w:bCs/>
                <w:sz w:val="21"/>
                <w:szCs w:val="21"/>
              </w:rPr>
              <w:t>，每项论述评分标准如下：</w:t>
            </w:r>
          </w:p>
          <w:p>
            <w:pPr>
              <w:pStyle w:val="5"/>
              <w:ind w:firstLine="0"/>
              <w:rPr>
                <w:rFonts w:ascii="宋体" w:hAnsi="宋体" w:cs="宋体"/>
                <w:sz w:val="21"/>
                <w:szCs w:val="21"/>
              </w:rPr>
            </w:pPr>
            <w:r>
              <w:rPr>
                <w:rFonts w:hint="eastAsia" w:ascii="宋体" w:hAnsi="宋体" w:cs="宋体"/>
                <w:sz w:val="21"/>
                <w:szCs w:val="21"/>
              </w:rPr>
              <w:t>（1）论述完整，不存在内容缺失，技术支撑充分，得3分；</w:t>
            </w:r>
          </w:p>
          <w:p>
            <w:pPr>
              <w:pStyle w:val="5"/>
              <w:ind w:firstLine="0"/>
              <w:rPr>
                <w:rFonts w:ascii="宋体" w:hAnsi="宋体" w:cs="宋体"/>
                <w:sz w:val="21"/>
                <w:szCs w:val="21"/>
              </w:rPr>
            </w:pPr>
            <w:r>
              <w:rPr>
                <w:rFonts w:hint="eastAsia" w:ascii="宋体" w:hAnsi="宋体" w:cs="宋体"/>
                <w:sz w:val="21"/>
                <w:szCs w:val="21"/>
              </w:rPr>
              <w:t>（2）论述完整，不存在内容缺失，但存在技术支撑缺陷，得2分；</w:t>
            </w:r>
          </w:p>
          <w:p>
            <w:pPr>
              <w:pStyle w:val="5"/>
              <w:ind w:firstLine="0"/>
              <w:rPr>
                <w:rFonts w:ascii="宋体" w:hAnsi="宋体" w:cs="宋体"/>
                <w:sz w:val="21"/>
                <w:szCs w:val="21"/>
              </w:rPr>
            </w:pPr>
            <w:r>
              <w:rPr>
                <w:rFonts w:hint="eastAsia" w:ascii="宋体" w:hAnsi="宋体" w:cs="宋体"/>
                <w:sz w:val="21"/>
                <w:szCs w:val="21"/>
              </w:rPr>
              <w:t>（3）论述存在缺失及技术支撑缺陷，得1分；</w:t>
            </w:r>
          </w:p>
          <w:p>
            <w:pPr>
              <w:pStyle w:val="5"/>
              <w:ind w:firstLine="0"/>
              <w:jc w:val="both"/>
              <w:rPr>
                <w:rFonts w:ascii="宋体" w:hAnsi="宋体" w:cs="宋体"/>
                <w:b/>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restart"/>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项目团队</w:t>
            </w:r>
          </w:p>
          <w:p>
            <w:pPr>
              <w:widowControl/>
              <w:jc w:val="center"/>
              <w:rPr>
                <w:rFonts w:ascii="宋体" w:hAnsi="宋体" w:cs="宋体"/>
                <w:kern w:val="0"/>
                <w:szCs w:val="21"/>
              </w:rPr>
            </w:pPr>
            <w:r>
              <w:rPr>
                <w:rFonts w:hint="eastAsia" w:ascii="宋体" w:hAnsi="宋体" w:cs="宋体"/>
                <w:kern w:val="0"/>
                <w:szCs w:val="21"/>
              </w:rPr>
              <w:t>（11分）</w:t>
            </w:r>
          </w:p>
        </w:tc>
        <w:tc>
          <w:tcPr>
            <w:tcW w:w="6028" w:type="dxa"/>
            <w:tcBorders>
              <w:top w:val="single" w:color="auto" w:sz="4" w:space="0"/>
              <w:left w:val="single" w:color="auto" w:sz="4" w:space="0"/>
              <w:right w:val="single" w:color="auto" w:sz="4" w:space="0"/>
            </w:tcBorders>
            <w:vAlign w:val="center"/>
          </w:tcPr>
          <w:p>
            <w:pPr>
              <w:pStyle w:val="5"/>
              <w:ind w:firstLine="0"/>
              <w:rPr>
                <w:rFonts w:ascii="宋体" w:hAnsi="宋体" w:cs="宋体"/>
                <w:sz w:val="21"/>
                <w:szCs w:val="21"/>
              </w:rPr>
            </w:pPr>
            <w:r>
              <w:rPr>
                <w:rFonts w:hint="eastAsia" w:ascii="宋体" w:hAnsi="宋体" w:cs="宋体"/>
                <w:sz w:val="21"/>
                <w:szCs w:val="21"/>
              </w:rPr>
              <w:t>项目团队人员数量不少于45人，核心人员不少于20人，是：1分，否：0分</w:t>
            </w:r>
            <w:r>
              <w:rPr>
                <w:rFonts w:hint="eastAsia" w:ascii="宋体" w:hAnsi="宋体" w:cs="宋体"/>
                <w:b/>
                <w:bCs/>
                <w:sz w:val="21"/>
                <w:szCs w:val="21"/>
              </w:rPr>
              <w:t>（须提供团队人员名单、拟任岗位、核心人员名单及简历）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pStyle w:val="5"/>
              <w:ind w:firstLine="0"/>
              <w:rPr>
                <w:rFonts w:ascii="宋体" w:hAnsi="宋体" w:cs="宋体"/>
                <w:sz w:val="21"/>
                <w:szCs w:val="21"/>
              </w:rPr>
            </w:pPr>
            <w:r>
              <w:rPr>
                <w:rFonts w:hint="eastAsia" w:ascii="宋体" w:hAnsi="宋体" w:cs="宋体"/>
                <w:sz w:val="21"/>
                <w:szCs w:val="21"/>
              </w:rPr>
              <w:t>1、项目团队人员拥有编辑类副高级（含）以上职称的，每有1人得1分，最高得2分；</w:t>
            </w:r>
          </w:p>
          <w:p>
            <w:pPr>
              <w:pStyle w:val="5"/>
              <w:ind w:firstLine="0"/>
              <w:rPr>
                <w:rFonts w:ascii="宋体" w:hAnsi="宋体" w:cs="宋体"/>
                <w:sz w:val="21"/>
                <w:szCs w:val="21"/>
              </w:rPr>
            </w:pPr>
            <w:r>
              <w:rPr>
                <w:rFonts w:hint="eastAsia" w:ascii="宋体" w:hAnsi="宋体" w:cs="宋体"/>
                <w:sz w:val="21"/>
                <w:szCs w:val="21"/>
              </w:rPr>
              <w:t>2、项目团队中有中文、英文、日文、韩文、法文、西文、俄文专业内容管理人员，人员取得相应语种专业8级（或同等学历）以上专业证书，且外文内容管理人员具备3年（含）以上从业经历，是：2分，否：0分</w:t>
            </w:r>
            <w:r>
              <w:rPr>
                <w:rFonts w:hint="eastAsia" w:ascii="宋体" w:hAnsi="宋体" w:cs="宋体"/>
                <w:b/>
                <w:bCs/>
                <w:sz w:val="21"/>
                <w:szCs w:val="21"/>
              </w:rPr>
              <w:t>（须提供人员名单、身份证明、专业证书、从业说明等）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pStyle w:val="5"/>
              <w:ind w:firstLine="0"/>
              <w:rPr>
                <w:rFonts w:ascii="宋体" w:hAnsi="宋体" w:cs="宋体"/>
                <w:b/>
                <w:bCs/>
                <w:sz w:val="21"/>
                <w:szCs w:val="21"/>
              </w:rPr>
            </w:pPr>
            <w:r>
              <w:rPr>
                <w:rFonts w:hint="eastAsia" w:ascii="宋体" w:hAnsi="宋体" w:cs="宋体"/>
                <w:b/>
                <w:bCs/>
                <w:sz w:val="21"/>
                <w:szCs w:val="21"/>
              </w:rPr>
              <w:t>综合考虑投标人围绕以下三项内容提供的团队管理方案：①组织架构；②工作流程；③管理措施。每项内容的评分标准如下：</w:t>
            </w:r>
          </w:p>
          <w:p>
            <w:pPr>
              <w:pStyle w:val="5"/>
              <w:ind w:firstLine="0"/>
              <w:rPr>
                <w:rFonts w:ascii="宋体" w:hAnsi="宋体" w:cs="宋体"/>
                <w:sz w:val="21"/>
                <w:szCs w:val="21"/>
              </w:rPr>
            </w:pPr>
            <w:r>
              <w:rPr>
                <w:rFonts w:hint="eastAsia" w:ascii="宋体" w:hAnsi="宋体" w:cs="宋体"/>
                <w:sz w:val="21"/>
                <w:szCs w:val="21"/>
              </w:rPr>
              <w:t>（1）论述完整，不存在内容缺失，技术支撑充分，得2分；</w:t>
            </w:r>
          </w:p>
          <w:p>
            <w:pPr>
              <w:pStyle w:val="5"/>
              <w:ind w:firstLine="0"/>
              <w:rPr>
                <w:rFonts w:ascii="宋体" w:hAnsi="宋体" w:cs="宋体"/>
                <w:sz w:val="21"/>
                <w:szCs w:val="21"/>
              </w:rPr>
            </w:pPr>
            <w:r>
              <w:rPr>
                <w:rFonts w:hint="eastAsia" w:ascii="宋体" w:hAnsi="宋体" w:cs="宋体"/>
                <w:sz w:val="21"/>
                <w:szCs w:val="21"/>
              </w:rPr>
              <w:t>（2）论述存在缺失或技术支撑存在缺陷，得1分；</w:t>
            </w:r>
          </w:p>
          <w:p>
            <w:pPr>
              <w:pStyle w:val="5"/>
              <w:ind w:firstLine="0"/>
              <w:rPr>
                <w:rFonts w:ascii="宋体" w:hAnsi="宋体" w:cs="宋体"/>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宋体" w:hAnsi="宋体" w:cs="宋体"/>
                <w:sz w:val="21"/>
                <w:szCs w:val="21"/>
              </w:rPr>
            </w:pPr>
            <w:r>
              <w:rPr>
                <w:rFonts w:hint="eastAsia" w:ascii="宋体" w:hAnsi="宋体" w:cs="宋体"/>
                <w:sz w:val="21"/>
                <w:szCs w:val="21"/>
              </w:rPr>
              <w:t>3</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w:t>
            </w:r>
          </w:p>
          <w:p>
            <w:pPr>
              <w:jc w:val="center"/>
              <w:rPr>
                <w:rFonts w:ascii="宋体" w:hAnsi="宋体" w:cs="宋体"/>
                <w:szCs w:val="21"/>
              </w:rPr>
            </w:pPr>
            <w:r>
              <w:rPr>
                <w:rFonts w:hint="eastAsia" w:ascii="宋体" w:hAnsi="宋体" w:cs="宋体"/>
                <w:szCs w:val="21"/>
              </w:rPr>
              <w:t>（10分）</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pPr>
              <w:jc w:val="left"/>
              <w:rPr>
                <w:rFonts w:ascii="宋体" w:hAnsi="宋体" w:cs="宋体"/>
                <w:szCs w:val="21"/>
              </w:rPr>
            </w:pPr>
            <w:r>
              <w:rPr>
                <w:rFonts w:hint="eastAsia" w:ascii="宋体" w:hAnsi="宋体" w:cs="宋体"/>
                <w:szCs w:val="21"/>
              </w:rPr>
              <w:t>投标报价得分＝（评标基准价/投标报价）×10分。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2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合计：100分</w:t>
            </w:r>
          </w:p>
        </w:tc>
      </w:tr>
    </w:tbl>
    <w:p>
      <w:pPr>
        <w:ind w:firstLine="420"/>
        <w:rPr>
          <w:rFonts w:ascii="宋体" w:hAnsi="宋体" w:cs="宋体"/>
        </w:rPr>
      </w:pPr>
    </w:p>
    <w:p>
      <w:pPr>
        <w:pStyle w:val="5"/>
        <w:ind w:firstLine="400"/>
        <w:rPr>
          <w:rFonts w:ascii="宋体" w:hAnsi="宋体" w:cs="宋体"/>
        </w:rPr>
      </w:pPr>
    </w:p>
    <w:p>
      <w:pPr>
        <w:ind w:firstLine="420"/>
        <w:rPr>
          <w:rFonts w:ascii="宋体" w:hAnsi="宋体" w:cs="宋体"/>
        </w:rPr>
      </w:pPr>
      <w:r>
        <w:rPr>
          <w:rFonts w:hint="eastAsia" w:ascii="宋体" w:hAnsi="宋体" w:cs="宋体"/>
        </w:rPr>
        <w:br w:type="page"/>
      </w:r>
    </w:p>
    <w:p>
      <w:pPr>
        <w:pStyle w:val="6"/>
        <w:ind w:firstLine="275"/>
        <w:rPr>
          <w:rStyle w:val="70"/>
          <w:rFonts w:ascii="宋体" w:hAnsi="宋体"/>
          <w:b/>
          <w:bCs w:val="0"/>
          <w:szCs w:val="24"/>
        </w:rPr>
      </w:pPr>
      <w:r>
        <w:rPr>
          <w:rStyle w:val="70"/>
          <w:rFonts w:hint="eastAsia" w:ascii="宋体" w:hAnsi="宋体"/>
          <w:b/>
          <w:szCs w:val="24"/>
        </w:rPr>
        <w:t>评分细则（第二包）</w:t>
      </w:r>
    </w:p>
    <w:tbl>
      <w:tblPr>
        <w:tblStyle w:val="48"/>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40"/>
        <w:gridCol w:w="975"/>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5"/>
              <w:ind w:firstLine="0"/>
              <w:rPr>
                <w:b/>
                <w:sz w:val="21"/>
                <w:szCs w:val="21"/>
              </w:rPr>
            </w:pPr>
            <w:r>
              <w:rPr>
                <w:b/>
                <w:sz w:val="21"/>
                <w:szCs w:val="21"/>
              </w:rPr>
              <w:t>序号</w:t>
            </w:r>
          </w:p>
        </w:tc>
        <w:tc>
          <w:tcPr>
            <w:tcW w:w="740"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b/>
                <w:sz w:val="21"/>
                <w:szCs w:val="21"/>
              </w:rPr>
            </w:pPr>
            <w:r>
              <w:rPr>
                <w:b/>
                <w:sz w:val="21"/>
                <w:szCs w:val="21"/>
              </w:rPr>
              <w:t>评分</w:t>
            </w:r>
          </w:p>
          <w:p>
            <w:pPr>
              <w:pStyle w:val="5"/>
              <w:ind w:firstLine="0"/>
              <w:jc w:val="center"/>
              <w:rPr>
                <w:b/>
                <w:sz w:val="21"/>
                <w:szCs w:val="21"/>
              </w:rPr>
            </w:pPr>
            <w:r>
              <w:rPr>
                <w:b/>
                <w:sz w:val="21"/>
                <w:szCs w:val="21"/>
              </w:rPr>
              <w:t>因素</w:t>
            </w:r>
          </w:p>
        </w:tc>
        <w:tc>
          <w:tcPr>
            <w:tcW w:w="7765" w:type="dxa"/>
            <w:gridSpan w:val="2"/>
            <w:tcBorders>
              <w:top w:val="single" w:color="auto" w:sz="4" w:space="0"/>
              <w:left w:val="single" w:color="auto" w:sz="4" w:space="0"/>
              <w:bottom w:val="single" w:color="auto" w:sz="4" w:space="0"/>
              <w:right w:val="single" w:color="auto" w:sz="4" w:space="0"/>
            </w:tcBorders>
            <w:vAlign w:val="center"/>
          </w:tcPr>
          <w:p>
            <w:pPr>
              <w:pStyle w:val="5"/>
              <w:ind w:firstLine="482"/>
              <w:jc w:val="center"/>
              <w:rPr>
                <w:b/>
                <w:sz w:val="21"/>
                <w:szCs w:val="21"/>
              </w:rPr>
            </w:pPr>
            <w:r>
              <w:rPr>
                <w:b/>
                <w:sz w:val="21"/>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restart"/>
            <w:tcBorders>
              <w:top w:val="single" w:color="auto" w:sz="4" w:space="0"/>
              <w:left w:val="single" w:color="auto" w:sz="4" w:space="0"/>
              <w:right w:val="single" w:color="auto" w:sz="4" w:space="0"/>
            </w:tcBorders>
            <w:vAlign w:val="center"/>
          </w:tcPr>
          <w:p>
            <w:pPr>
              <w:pStyle w:val="5"/>
              <w:ind w:firstLine="105" w:firstLineChars="50"/>
              <w:rPr>
                <w:sz w:val="21"/>
                <w:szCs w:val="21"/>
              </w:rPr>
            </w:pPr>
            <w:r>
              <w:rPr>
                <w:sz w:val="21"/>
                <w:szCs w:val="21"/>
              </w:rPr>
              <w:t>1</w:t>
            </w:r>
          </w:p>
        </w:tc>
        <w:tc>
          <w:tcPr>
            <w:tcW w:w="740" w:type="dxa"/>
            <w:vMerge w:val="restart"/>
            <w:tcBorders>
              <w:top w:val="single" w:color="auto" w:sz="4" w:space="0"/>
              <w:left w:val="single" w:color="auto" w:sz="4" w:space="0"/>
              <w:right w:val="single" w:color="auto" w:sz="4" w:space="0"/>
            </w:tcBorders>
            <w:vAlign w:val="center"/>
          </w:tcPr>
          <w:p>
            <w:pPr>
              <w:pStyle w:val="5"/>
              <w:ind w:firstLine="0"/>
              <w:jc w:val="center"/>
              <w:rPr>
                <w:sz w:val="21"/>
                <w:szCs w:val="21"/>
              </w:rPr>
            </w:pPr>
            <w:r>
              <w:rPr>
                <w:sz w:val="21"/>
                <w:szCs w:val="21"/>
              </w:rPr>
              <w:t>商务</w:t>
            </w:r>
          </w:p>
          <w:p>
            <w:pPr>
              <w:pStyle w:val="5"/>
              <w:ind w:firstLine="0"/>
              <w:rPr>
                <w:sz w:val="21"/>
                <w:szCs w:val="21"/>
              </w:rPr>
            </w:pPr>
            <w:r>
              <w:rPr>
                <w:sz w:val="21"/>
                <w:szCs w:val="21"/>
              </w:rPr>
              <w:t>（1</w:t>
            </w:r>
            <w:r>
              <w:rPr>
                <w:rFonts w:hint="eastAsia"/>
                <w:sz w:val="21"/>
                <w:szCs w:val="21"/>
              </w:rPr>
              <w:t>2</w:t>
            </w:r>
            <w:r>
              <w:rPr>
                <w:sz w:val="21"/>
                <w:szCs w:val="21"/>
              </w:rPr>
              <w:t>分）</w:t>
            </w:r>
          </w:p>
        </w:tc>
        <w:tc>
          <w:tcPr>
            <w:tcW w:w="975" w:type="dxa"/>
            <w:tcBorders>
              <w:top w:val="single" w:color="auto" w:sz="4" w:space="0"/>
              <w:left w:val="single" w:color="auto" w:sz="4" w:space="0"/>
              <w:right w:val="single" w:color="auto" w:sz="4" w:space="0"/>
            </w:tcBorders>
            <w:vAlign w:val="center"/>
          </w:tcPr>
          <w:p>
            <w:pPr>
              <w:pStyle w:val="5"/>
              <w:ind w:firstLine="0"/>
              <w:jc w:val="center"/>
              <w:rPr>
                <w:sz w:val="21"/>
                <w:szCs w:val="21"/>
              </w:rPr>
            </w:pPr>
            <w:r>
              <w:rPr>
                <w:sz w:val="21"/>
                <w:szCs w:val="21"/>
              </w:rPr>
              <w:t>企业业绩</w:t>
            </w:r>
          </w:p>
          <w:p>
            <w:pPr>
              <w:pStyle w:val="5"/>
              <w:ind w:firstLine="0"/>
              <w:jc w:val="center"/>
              <w:rPr>
                <w:sz w:val="21"/>
                <w:szCs w:val="21"/>
              </w:rPr>
            </w:pPr>
            <w:r>
              <w:rPr>
                <w:sz w:val="21"/>
                <w:szCs w:val="21"/>
              </w:rPr>
              <w:t>（</w:t>
            </w:r>
            <w:r>
              <w:rPr>
                <w:rFonts w:hint="eastAsia"/>
                <w:sz w:val="21"/>
                <w:szCs w:val="21"/>
              </w:rPr>
              <w:t>5</w:t>
            </w:r>
            <w:r>
              <w:rPr>
                <w:sz w:val="21"/>
                <w:szCs w:val="21"/>
              </w:rPr>
              <w:t>分）</w:t>
            </w:r>
          </w:p>
        </w:tc>
        <w:tc>
          <w:tcPr>
            <w:tcW w:w="6790" w:type="dxa"/>
            <w:tcBorders>
              <w:top w:val="single" w:color="auto" w:sz="4" w:space="0"/>
              <w:left w:val="single" w:color="auto" w:sz="4" w:space="0"/>
              <w:bottom w:val="single" w:color="auto" w:sz="4" w:space="0"/>
              <w:right w:val="single" w:color="auto" w:sz="4" w:space="0"/>
            </w:tcBorders>
            <w:vAlign w:val="center"/>
          </w:tcPr>
          <w:p>
            <w:pPr>
              <w:pStyle w:val="5"/>
              <w:ind w:firstLine="0"/>
              <w:rPr>
                <w:sz w:val="21"/>
                <w:szCs w:val="21"/>
              </w:rPr>
            </w:pPr>
            <w:r>
              <w:rPr>
                <w:sz w:val="21"/>
                <w:szCs w:val="21"/>
              </w:rPr>
              <w:t>20</w:t>
            </w:r>
            <w:r>
              <w:rPr>
                <w:rFonts w:hint="eastAsia"/>
                <w:sz w:val="21"/>
                <w:szCs w:val="21"/>
              </w:rPr>
              <w:t>22</w:t>
            </w:r>
            <w:r>
              <w:rPr>
                <w:sz w:val="21"/>
                <w:szCs w:val="21"/>
              </w:rPr>
              <w:t>年</w:t>
            </w:r>
            <w:r>
              <w:rPr>
                <w:rFonts w:hint="eastAsia"/>
                <w:sz w:val="21"/>
                <w:szCs w:val="21"/>
              </w:rPr>
              <w:t>1</w:t>
            </w:r>
            <w:r>
              <w:rPr>
                <w:sz w:val="21"/>
                <w:szCs w:val="21"/>
              </w:rPr>
              <w:t>月起至今，投标人完成的类似项目的监理业绩，每个业绩得</w:t>
            </w:r>
            <w:r>
              <w:rPr>
                <w:rFonts w:hint="eastAsia"/>
                <w:sz w:val="21"/>
                <w:szCs w:val="21"/>
              </w:rPr>
              <w:t>1</w:t>
            </w:r>
            <w:r>
              <w:rPr>
                <w:sz w:val="21"/>
                <w:szCs w:val="21"/>
              </w:rPr>
              <w:t>分，该项最多得</w:t>
            </w:r>
            <w:r>
              <w:rPr>
                <w:rFonts w:hint="eastAsia"/>
                <w:sz w:val="21"/>
                <w:szCs w:val="21"/>
              </w:rPr>
              <w:t>5</w:t>
            </w:r>
            <w:r>
              <w:rPr>
                <w:sz w:val="21"/>
                <w:szCs w:val="21"/>
              </w:rPr>
              <w:t>分</w:t>
            </w:r>
            <w:r>
              <w:rPr>
                <w:b/>
                <w:bCs/>
                <w:sz w:val="21"/>
                <w:szCs w:val="21"/>
              </w:rPr>
              <w:t>（业绩证明材料须包含合同首页、清单页、金额页、双方签字盖章页，并加盖投标人公章）</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tcBorders>
              <w:left w:val="single" w:color="auto" w:sz="4" w:space="0"/>
              <w:right w:val="single" w:color="auto" w:sz="4" w:space="0"/>
            </w:tcBorders>
            <w:vAlign w:val="center"/>
          </w:tcPr>
          <w:p>
            <w:pPr>
              <w:pStyle w:val="5"/>
              <w:ind w:firstLine="105" w:firstLineChars="50"/>
              <w:rPr>
                <w:sz w:val="21"/>
                <w:szCs w:val="21"/>
              </w:rPr>
            </w:pPr>
          </w:p>
        </w:tc>
        <w:tc>
          <w:tcPr>
            <w:tcW w:w="740" w:type="dxa"/>
            <w:vMerge w:val="continue"/>
            <w:tcBorders>
              <w:left w:val="single" w:color="auto" w:sz="4" w:space="0"/>
              <w:right w:val="single" w:color="auto" w:sz="4" w:space="0"/>
            </w:tcBorders>
            <w:vAlign w:val="center"/>
          </w:tcPr>
          <w:p>
            <w:pPr>
              <w:pStyle w:val="5"/>
              <w:ind w:firstLine="0"/>
              <w:rPr>
                <w:sz w:val="21"/>
                <w:szCs w:val="21"/>
              </w:rPr>
            </w:pPr>
          </w:p>
        </w:tc>
        <w:tc>
          <w:tcPr>
            <w:tcW w:w="975" w:type="dxa"/>
            <w:vMerge w:val="restart"/>
            <w:tcBorders>
              <w:top w:val="single" w:color="auto" w:sz="4" w:space="0"/>
              <w:left w:val="single" w:color="auto" w:sz="4" w:space="0"/>
              <w:right w:val="single" w:color="auto" w:sz="4" w:space="0"/>
            </w:tcBorders>
            <w:vAlign w:val="center"/>
          </w:tcPr>
          <w:p>
            <w:pPr>
              <w:pStyle w:val="5"/>
              <w:ind w:firstLine="0"/>
              <w:jc w:val="center"/>
              <w:rPr>
                <w:sz w:val="21"/>
                <w:szCs w:val="21"/>
              </w:rPr>
            </w:pPr>
            <w:r>
              <w:rPr>
                <w:rFonts w:hint="eastAsia"/>
                <w:sz w:val="21"/>
                <w:szCs w:val="21"/>
              </w:rPr>
              <w:t>专业技术能力</w:t>
            </w:r>
          </w:p>
          <w:p>
            <w:pPr>
              <w:pStyle w:val="5"/>
              <w:ind w:firstLine="0"/>
              <w:jc w:val="center"/>
              <w:rPr>
                <w:sz w:val="21"/>
                <w:szCs w:val="21"/>
              </w:rPr>
            </w:pPr>
            <w:r>
              <w:rPr>
                <w:rFonts w:hint="eastAsia"/>
                <w:sz w:val="21"/>
                <w:szCs w:val="21"/>
              </w:rPr>
              <w:t>（7分）</w:t>
            </w:r>
          </w:p>
        </w:tc>
        <w:tc>
          <w:tcPr>
            <w:tcW w:w="6790" w:type="dxa"/>
            <w:tcBorders>
              <w:top w:val="single" w:color="auto" w:sz="4" w:space="0"/>
              <w:left w:val="single" w:color="auto" w:sz="4" w:space="0"/>
              <w:bottom w:val="single" w:color="auto" w:sz="4" w:space="0"/>
              <w:right w:val="single" w:color="auto" w:sz="4" w:space="0"/>
            </w:tcBorders>
            <w:vAlign w:val="center"/>
          </w:tcPr>
          <w:p>
            <w:pPr>
              <w:pStyle w:val="5"/>
              <w:ind w:firstLine="0"/>
              <w:rPr>
                <w:sz w:val="21"/>
                <w:szCs w:val="21"/>
              </w:rPr>
            </w:pPr>
            <w:r>
              <w:rPr>
                <w:b/>
                <w:bCs/>
                <w:sz w:val="21"/>
                <w:szCs w:val="21"/>
              </w:rPr>
              <w:t>同时</w:t>
            </w:r>
            <w:r>
              <w:rPr>
                <w:sz w:val="21"/>
                <w:szCs w:val="21"/>
              </w:rPr>
              <w:t>具有质量管理体系认证证书、环境管理体系认证证书、职业健康安全体系认证证书，且认证范围覆盖信息工程监理的</w:t>
            </w:r>
            <w:r>
              <w:rPr>
                <w:rFonts w:hint="eastAsia"/>
                <w:sz w:val="21"/>
                <w:szCs w:val="21"/>
              </w:rPr>
              <w:t>，得3分</w:t>
            </w:r>
            <w:r>
              <w:rPr>
                <w:rFonts w:hint="eastAsia"/>
                <w:b/>
                <w:bCs/>
                <w:sz w:val="21"/>
                <w:szCs w:val="21"/>
              </w:rPr>
              <w:t>（须提供有效的证书复印件，并加盖投标人公章）。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tcBorders>
              <w:left w:val="single" w:color="auto" w:sz="4" w:space="0"/>
              <w:right w:val="single" w:color="auto" w:sz="4" w:space="0"/>
            </w:tcBorders>
            <w:vAlign w:val="center"/>
          </w:tcPr>
          <w:p>
            <w:pPr>
              <w:pStyle w:val="5"/>
              <w:ind w:firstLine="105" w:firstLineChars="50"/>
              <w:rPr>
                <w:sz w:val="21"/>
                <w:szCs w:val="21"/>
              </w:rPr>
            </w:pPr>
          </w:p>
        </w:tc>
        <w:tc>
          <w:tcPr>
            <w:tcW w:w="740" w:type="dxa"/>
            <w:vMerge w:val="continue"/>
            <w:tcBorders>
              <w:left w:val="single" w:color="auto" w:sz="4" w:space="0"/>
              <w:right w:val="single" w:color="auto" w:sz="4" w:space="0"/>
            </w:tcBorders>
            <w:vAlign w:val="center"/>
          </w:tcPr>
          <w:p>
            <w:pPr>
              <w:pStyle w:val="5"/>
              <w:ind w:firstLine="0"/>
              <w:rPr>
                <w:sz w:val="21"/>
                <w:szCs w:val="21"/>
              </w:rPr>
            </w:pPr>
          </w:p>
        </w:tc>
        <w:tc>
          <w:tcPr>
            <w:tcW w:w="975" w:type="dxa"/>
            <w:vMerge w:val="continue"/>
            <w:tcBorders>
              <w:left w:val="single" w:color="auto" w:sz="4" w:space="0"/>
              <w:right w:val="single" w:color="auto" w:sz="4" w:space="0"/>
            </w:tcBorders>
            <w:vAlign w:val="center"/>
          </w:tcPr>
          <w:p>
            <w:pPr>
              <w:pStyle w:val="5"/>
              <w:ind w:firstLine="0"/>
              <w:jc w:val="center"/>
              <w:rPr>
                <w:sz w:val="21"/>
                <w:szCs w:val="21"/>
              </w:rPr>
            </w:pPr>
          </w:p>
        </w:tc>
        <w:tc>
          <w:tcPr>
            <w:tcW w:w="6790" w:type="dxa"/>
            <w:tcBorders>
              <w:top w:val="single" w:color="auto" w:sz="4" w:space="0"/>
              <w:left w:val="single" w:color="auto" w:sz="4" w:space="0"/>
              <w:bottom w:val="single" w:color="auto" w:sz="4" w:space="0"/>
              <w:right w:val="single" w:color="auto" w:sz="4" w:space="0"/>
            </w:tcBorders>
            <w:vAlign w:val="center"/>
          </w:tcPr>
          <w:p>
            <w:pPr>
              <w:pStyle w:val="5"/>
              <w:ind w:firstLine="0"/>
              <w:rPr>
                <w:sz w:val="21"/>
                <w:szCs w:val="21"/>
              </w:rPr>
            </w:pPr>
            <w:r>
              <w:rPr>
                <w:sz w:val="21"/>
                <w:szCs w:val="21"/>
              </w:rPr>
              <w:t>具有信息安全管理体系认证证书</w:t>
            </w:r>
            <w:r>
              <w:rPr>
                <w:rFonts w:hint="eastAsia"/>
                <w:sz w:val="21"/>
                <w:szCs w:val="21"/>
              </w:rPr>
              <w:t>，</w:t>
            </w:r>
            <w:r>
              <w:rPr>
                <w:sz w:val="21"/>
                <w:szCs w:val="21"/>
              </w:rPr>
              <w:t>且认证范围覆盖信息工程监理</w:t>
            </w:r>
            <w:r>
              <w:rPr>
                <w:rFonts w:hint="eastAsia"/>
                <w:sz w:val="21"/>
                <w:szCs w:val="21"/>
              </w:rPr>
              <w:t>，</w:t>
            </w:r>
            <w:r>
              <w:rPr>
                <w:sz w:val="21"/>
                <w:szCs w:val="21"/>
              </w:rPr>
              <w:t>得2分</w:t>
            </w:r>
            <w:r>
              <w:rPr>
                <w:rFonts w:hint="eastAsia"/>
                <w:b/>
                <w:bCs/>
                <w:sz w:val="21"/>
                <w:szCs w:val="21"/>
              </w:rPr>
              <w:t>（须提供有效的证书复印件，并加盖投标人公章）。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tcBorders>
              <w:left w:val="single" w:color="auto" w:sz="4" w:space="0"/>
              <w:right w:val="single" w:color="auto" w:sz="4" w:space="0"/>
            </w:tcBorders>
            <w:vAlign w:val="center"/>
          </w:tcPr>
          <w:p>
            <w:pPr>
              <w:pStyle w:val="5"/>
              <w:ind w:firstLine="105" w:firstLineChars="50"/>
              <w:rPr>
                <w:sz w:val="21"/>
                <w:szCs w:val="21"/>
              </w:rPr>
            </w:pPr>
          </w:p>
        </w:tc>
        <w:tc>
          <w:tcPr>
            <w:tcW w:w="740" w:type="dxa"/>
            <w:vMerge w:val="continue"/>
            <w:tcBorders>
              <w:left w:val="single" w:color="auto" w:sz="4" w:space="0"/>
              <w:right w:val="single" w:color="auto" w:sz="4" w:space="0"/>
            </w:tcBorders>
            <w:vAlign w:val="center"/>
          </w:tcPr>
          <w:p>
            <w:pPr>
              <w:pStyle w:val="5"/>
              <w:ind w:firstLine="0"/>
              <w:rPr>
                <w:sz w:val="21"/>
                <w:szCs w:val="21"/>
              </w:rPr>
            </w:pPr>
          </w:p>
        </w:tc>
        <w:tc>
          <w:tcPr>
            <w:tcW w:w="975" w:type="dxa"/>
            <w:vMerge w:val="continue"/>
            <w:tcBorders>
              <w:left w:val="single" w:color="auto" w:sz="4" w:space="0"/>
              <w:right w:val="single" w:color="auto" w:sz="4" w:space="0"/>
            </w:tcBorders>
            <w:vAlign w:val="center"/>
          </w:tcPr>
          <w:p>
            <w:pPr>
              <w:pStyle w:val="5"/>
              <w:ind w:firstLine="0"/>
              <w:jc w:val="center"/>
              <w:rPr>
                <w:sz w:val="21"/>
                <w:szCs w:val="21"/>
              </w:rPr>
            </w:pPr>
          </w:p>
        </w:tc>
        <w:tc>
          <w:tcPr>
            <w:tcW w:w="6790" w:type="dxa"/>
            <w:tcBorders>
              <w:top w:val="single" w:color="auto" w:sz="4" w:space="0"/>
              <w:left w:val="single" w:color="auto" w:sz="4" w:space="0"/>
              <w:bottom w:val="single" w:color="auto" w:sz="4" w:space="0"/>
              <w:right w:val="single" w:color="auto" w:sz="4" w:space="0"/>
            </w:tcBorders>
            <w:vAlign w:val="center"/>
          </w:tcPr>
          <w:p>
            <w:pPr>
              <w:pStyle w:val="5"/>
              <w:ind w:firstLine="0"/>
              <w:rPr>
                <w:sz w:val="21"/>
                <w:szCs w:val="21"/>
              </w:rPr>
            </w:pPr>
            <w:r>
              <w:rPr>
                <w:sz w:val="21"/>
                <w:szCs w:val="21"/>
              </w:rPr>
              <w:t>具有信息技术服务管理体系认证证书</w:t>
            </w:r>
            <w:r>
              <w:rPr>
                <w:rFonts w:hint="eastAsia"/>
                <w:sz w:val="21"/>
                <w:szCs w:val="21"/>
              </w:rPr>
              <w:t>，</w:t>
            </w:r>
            <w:r>
              <w:rPr>
                <w:sz w:val="21"/>
                <w:szCs w:val="21"/>
              </w:rPr>
              <w:t>且认证范围覆盖信息工程监理</w:t>
            </w:r>
            <w:r>
              <w:rPr>
                <w:rFonts w:hint="eastAsia"/>
                <w:sz w:val="21"/>
                <w:szCs w:val="21"/>
              </w:rPr>
              <w:t>，</w:t>
            </w:r>
            <w:r>
              <w:rPr>
                <w:sz w:val="21"/>
                <w:szCs w:val="21"/>
              </w:rPr>
              <w:t>得2分</w:t>
            </w:r>
            <w:r>
              <w:rPr>
                <w:rFonts w:hint="eastAsia"/>
                <w:b/>
                <w:bCs/>
                <w:sz w:val="21"/>
                <w:szCs w:val="21"/>
              </w:rPr>
              <w:t>（须提供有效的证书复印件，并加盖投标人公章）。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24" w:type="dxa"/>
            <w:vMerge w:val="restart"/>
            <w:tcBorders>
              <w:top w:val="single" w:color="auto" w:sz="4" w:space="0"/>
              <w:left w:val="single" w:color="auto" w:sz="4" w:space="0"/>
              <w:right w:val="single" w:color="auto" w:sz="4" w:space="0"/>
            </w:tcBorders>
            <w:vAlign w:val="center"/>
          </w:tcPr>
          <w:p>
            <w:pPr>
              <w:pStyle w:val="5"/>
              <w:ind w:firstLine="0"/>
              <w:jc w:val="center"/>
              <w:rPr>
                <w:sz w:val="21"/>
                <w:szCs w:val="21"/>
              </w:rPr>
            </w:pPr>
            <w:r>
              <w:rPr>
                <w:sz w:val="21"/>
                <w:szCs w:val="21"/>
              </w:rPr>
              <w:t>2</w:t>
            </w:r>
          </w:p>
        </w:tc>
        <w:tc>
          <w:tcPr>
            <w:tcW w:w="740" w:type="dxa"/>
            <w:vMerge w:val="restart"/>
            <w:tcBorders>
              <w:top w:val="single" w:color="auto" w:sz="4" w:space="0"/>
              <w:left w:val="single" w:color="auto" w:sz="4" w:space="0"/>
              <w:right w:val="single" w:color="auto" w:sz="4" w:space="0"/>
            </w:tcBorders>
            <w:vAlign w:val="center"/>
          </w:tcPr>
          <w:p>
            <w:pPr>
              <w:pStyle w:val="5"/>
              <w:ind w:firstLine="0"/>
              <w:jc w:val="center"/>
              <w:rPr>
                <w:sz w:val="21"/>
                <w:szCs w:val="21"/>
              </w:rPr>
            </w:pPr>
            <w:r>
              <w:rPr>
                <w:rFonts w:hint="eastAsia"/>
                <w:sz w:val="21"/>
                <w:szCs w:val="21"/>
              </w:rPr>
              <w:t>服务</w:t>
            </w:r>
          </w:p>
          <w:p>
            <w:pPr>
              <w:pStyle w:val="5"/>
              <w:ind w:firstLine="0"/>
              <w:jc w:val="center"/>
              <w:rPr>
                <w:sz w:val="21"/>
                <w:szCs w:val="21"/>
              </w:rPr>
            </w:pPr>
            <w:r>
              <w:rPr>
                <w:sz w:val="21"/>
                <w:szCs w:val="21"/>
              </w:rPr>
              <w:t>（</w:t>
            </w:r>
            <w:r>
              <w:rPr>
                <w:rFonts w:hint="eastAsia"/>
                <w:sz w:val="21"/>
                <w:szCs w:val="21"/>
              </w:rPr>
              <w:t>78</w:t>
            </w:r>
            <w:r>
              <w:rPr>
                <w:sz w:val="21"/>
                <w:szCs w:val="21"/>
              </w:rPr>
              <w:t>分）</w:t>
            </w:r>
          </w:p>
        </w:tc>
        <w:tc>
          <w:tcPr>
            <w:tcW w:w="975" w:type="dxa"/>
            <w:tcBorders>
              <w:top w:val="single" w:color="auto" w:sz="4" w:space="0"/>
              <w:left w:val="single" w:color="auto" w:sz="4" w:space="0"/>
              <w:right w:val="single" w:color="auto" w:sz="4" w:space="0"/>
            </w:tcBorders>
            <w:vAlign w:val="center"/>
          </w:tcPr>
          <w:p>
            <w:pPr>
              <w:pStyle w:val="5"/>
              <w:ind w:firstLine="0"/>
              <w:jc w:val="center"/>
              <w:rPr>
                <w:sz w:val="21"/>
                <w:szCs w:val="21"/>
              </w:rPr>
            </w:pPr>
            <w:r>
              <w:rPr>
                <w:rFonts w:hint="eastAsia"/>
                <w:sz w:val="21"/>
                <w:szCs w:val="21"/>
              </w:rPr>
              <w:t xml:space="preserve">需求分析（12分） </w:t>
            </w:r>
            <w:r>
              <w:rPr>
                <w:rFonts w:hint="eastAsia"/>
                <w:sz w:val="21"/>
                <w:szCs w:val="21"/>
                <w:u w:val="dotted"/>
              </w:rPr>
              <w:t xml:space="preserve"> </w:t>
            </w:r>
          </w:p>
        </w:tc>
        <w:tc>
          <w:tcPr>
            <w:tcW w:w="6790" w:type="dxa"/>
            <w:tcBorders>
              <w:top w:val="single" w:color="auto" w:sz="4" w:space="0"/>
              <w:left w:val="single" w:color="auto" w:sz="4" w:space="0"/>
            </w:tcBorders>
            <w:vAlign w:val="center"/>
          </w:tcPr>
          <w:p>
            <w:pPr>
              <w:pStyle w:val="5"/>
              <w:ind w:firstLine="0"/>
              <w:rPr>
                <w:b/>
                <w:bCs/>
                <w:sz w:val="21"/>
                <w:szCs w:val="21"/>
              </w:rPr>
            </w:pPr>
            <w:r>
              <w:rPr>
                <w:rFonts w:hint="eastAsia"/>
                <w:b/>
                <w:bCs/>
                <w:sz w:val="21"/>
                <w:szCs w:val="21"/>
              </w:rPr>
              <w:t>综合考虑投标人围绕以下四项内容提供的采购需求分析：①结合工作技能及经验对项目背景及项目现状的分析；②对本项目涉及的有关政策及工作标准进行分析梳理；③项目实施技术及组织难点及解决思路；④项目实施技术及组织风险点及解决思路。每项内容的评分标准如下。每项内容的评分标准如下：</w:t>
            </w:r>
          </w:p>
          <w:p>
            <w:pPr>
              <w:pStyle w:val="5"/>
              <w:ind w:firstLine="0"/>
              <w:rPr>
                <w:sz w:val="21"/>
                <w:szCs w:val="21"/>
              </w:rPr>
            </w:pPr>
            <w:r>
              <w:rPr>
                <w:rFonts w:hint="eastAsia"/>
                <w:sz w:val="21"/>
                <w:szCs w:val="21"/>
              </w:rPr>
              <w:t>（1）论述完整，不存在内容缺失，技术支撑充分，得3分；</w:t>
            </w:r>
          </w:p>
          <w:p>
            <w:pPr>
              <w:pStyle w:val="5"/>
              <w:ind w:firstLine="0"/>
              <w:rPr>
                <w:sz w:val="21"/>
                <w:szCs w:val="21"/>
              </w:rPr>
            </w:pPr>
            <w:r>
              <w:rPr>
                <w:rFonts w:hint="eastAsia"/>
                <w:sz w:val="21"/>
                <w:szCs w:val="21"/>
              </w:rPr>
              <w:t>（2）论述完整，不存在内容缺失，但存在技术支撑缺陷，得2分；</w:t>
            </w:r>
          </w:p>
          <w:p>
            <w:pPr>
              <w:pStyle w:val="5"/>
              <w:ind w:firstLine="0"/>
              <w:rPr>
                <w:sz w:val="21"/>
                <w:szCs w:val="21"/>
              </w:rPr>
            </w:pPr>
            <w:r>
              <w:rPr>
                <w:rFonts w:hint="eastAsia"/>
                <w:sz w:val="21"/>
                <w:szCs w:val="21"/>
              </w:rPr>
              <w:t>（3）论述存在缺失及技术支撑缺陷，得1分；</w:t>
            </w:r>
          </w:p>
          <w:p>
            <w:pPr>
              <w:pStyle w:val="5"/>
              <w:ind w:firstLine="0"/>
              <w:jc w:val="both"/>
              <w:rPr>
                <w:sz w:val="21"/>
                <w:szCs w:val="21"/>
              </w:rPr>
            </w:pPr>
            <w:r>
              <w:rPr>
                <w:rFonts w:hint="eastAsia"/>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0"/>
              <w:jc w:val="center"/>
              <w:rPr>
                <w:sz w:val="21"/>
                <w:szCs w:val="21"/>
              </w:rPr>
            </w:pPr>
          </w:p>
        </w:tc>
        <w:tc>
          <w:tcPr>
            <w:tcW w:w="740" w:type="dxa"/>
            <w:vMerge w:val="continue"/>
            <w:tcBorders>
              <w:left w:val="single" w:color="auto" w:sz="4" w:space="0"/>
              <w:right w:val="single" w:color="auto" w:sz="4" w:space="0"/>
            </w:tcBorders>
            <w:vAlign w:val="center"/>
          </w:tcPr>
          <w:p>
            <w:pPr>
              <w:pStyle w:val="5"/>
              <w:ind w:firstLine="0"/>
              <w:jc w:val="center"/>
              <w:rPr>
                <w:sz w:val="21"/>
                <w:szCs w:val="21"/>
              </w:rPr>
            </w:pPr>
          </w:p>
        </w:tc>
        <w:tc>
          <w:tcPr>
            <w:tcW w:w="975" w:type="dxa"/>
            <w:tcBorders>
              <w:left w:val="single" w:color="auto" w:sz="4" w:space="0"/>
              <w:right w:val="single" w:color="auto" w:sz="4" w:space="0"/>
            </w:tcBorders>
            <w:vAlign w:val="center"/>
          </w:tcPr>
          <w:p>
            <w:pPr>
              <w:pStyle w:val="5"/>
              <w:ind w:firstLine="0"/>
              <w:jc w:val="center"/>
              <w:rPr>
                <w:sz w:val="21"/>
                <w:szCs w:val="21"/>
              </w:rPr>
            </w:pPr>
            <w:r>
              <w:rPr>
                <w:rFonts w:hint="eastAsia"/>
                <w:sz w:val="21"/>
                <w:szCs w:val="21"/>
              </w:rPr>
              <w:t>质量控制方案    （6分）</w:t>
            </w:r>
          </w:p>
        </w:tc>
        <w:tc>
          <w:tcPr>
            <w:tcW w:w="6790" w:type="dxa"/>
            <w:tcBorders>
              <w:top w:val="single" w:color="auto" w:sz="4" w:space="0"/>
              <w:left w:val="single" w:color="auto" w:sz="4" w:space="0"/>
            </w:tcBorders>
            <w:vAlign w:val="center"/>
          </w:tcPr>
          <w:p>
            <w:pPr>
              <w:pStyle w:val="5"/>
              <w:ind w:firstLine="0"/>
              <w:jc w:val="both"/>
              <w:rPr>
                <w:sz w:val="21"/>
                <w:szCs w:val="21"/>
              </w:rPr>
            </w:pPr>
            <w:r>
              <w:rPr>
                <w:rFonts w:hint="eastAsia"/>
                <w:b/>
                <w:bCs/>
                <w:sz w:val="21"/>
                <w:szCs w:val="21"/>
              </w:rPr>
              <w:t>质量控制方案：</w:t>
            </w:r>
          </w:p>
          <w:p>
            <w:pPr>
              <w:pStyle w:val="5"/>
              <w:ind w:firstLine="0"/>
              <w:rPr>
                <w:sz w:val="21"/>
                <w:szCs w:val="21"/>
              </w:rPr>
            </w:pPr>
            <w:r>
              <w:rPr>
                <w:rFonts w:hint="eastAsia"/>
                <w:sz w:val="21"/>
                <w:szCs w:val="21"/>
              </w:rPr>
              <w:t>（1）论述完整，不存在内容缺失，技术支撑充分，得6分；</w:t>
            </w:r>
          </w:p>
          <w:p>
            <w:pPr>
              <w:pStyle w:val="5"/>
              <w:ind w:firstLine="0"/>
              <w:rPr>
                <w:sz w:val="21"/>
                <w:szCs w:val="21"/>
              </w:rPr>
            </w:pPr>
            <w:r>
              <w:rPr>
                <w:rFonts w:hint="eastAsia"/>
                <w:sz w:val="21"/>
                <w:szCs w:val="21"/>
              </w:rPr>
              <w:t>（2）论述完整，不存在内容缺失，但存在技术支撑缺陷，得4分；</w:t>
            </w:r>
          </w:p>
          <w:p>
            <w:pPr>
              <w:pStyle w:val="5"/>
              <w:ind w:firstLine="0"/>
              <w:rPr>
                <w:sz w:val="21"/>
                <w:szCs w:val="21"/>
              </w:rPr>
            </w:pPr>
            <w:r>
              <w:rPr>
                <w:rFonts w:hint="eastAsia"/>
                <w:sz w:val="21"/>
                <w:szCs w:val="21"/>
              </w:rPr>
              <w:t>（3）论述存在缺失及技术支撑缺陷，得2分；</w:t>
            </w:r>
          </w:p>
          <w:p>
            <w:pPr>
              <w:pStyle w:val="5"/>
              <w:ind w:firstLine="0"/>
              <w:jc w:val="both"/>
              <w:rPr>
                <w:sz w:val="21"/>
                <w:szCs w:val="21"/>
              </w:rPr>
            </w:pPr>
            <w:r>
              <w:rPr>
                <w:rFonts w:hint="eastAsia"/>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24" w:type="dxa"/>
            <w:vMerge w:val="continue"/>
            <w:tcBorders>
              <w:left w:val="single" w:color="auto" w:sz="4" w:space="0"/>
              <w:right w:val="single" w:color="auto" w:sz="4" w:space="0"/>
            </w:tcBorders>
            <w:vAlign w:val="center"/>
          </w:tcPr>
          <w:p>
            <w:pPr>
              <w:pStyle w:val="5"/>
              <w:ind w:firstLine="0"/>
              <w:jc w:val="center"/>
              <w:rPr>
                <w:sz w:val="21"/>
                <w:szCs w:val="21"/>
              </w:rPr>
            </w:pPr>
          </w:p>
        </w:tc>
        <w:tc>
          <w:tcPr>
            <w:tcW w:w="740" w:type="dxa"/>
            <w:vMerge w:val="continue"/>
            <w:tcBorders>
              <w:left w:val="single" w:color="auto" w:sz="4" w:space="0"/>
              <w:right w:val="single" w:color="auto" w:sz="4" w:space="0"/>
            </w:tcBorders>
            <w:vAlign w:val="center"/>
          </w:tcPr>
          <w:p>
            <w:pPr>
              <w:pStyle w:val="5"/>
              <w:ind w:firstLine="0"/>
              <w:jc w:val="center"/>
              <w:rPr>
                <w:sz w:val="21"/>
                <w:szCs w:val="21"/>
              </w:rPr>
            </w:pPr>
          </w:p>
        </w:tc>
        <w:tc>
          <w:tcPr>
            <w:tcW w:w="975" w:type="dxa"/>
            <w:tcBorders>
              <w:left w:val="single" w:color="auto" w:sz="4" w:space="0"/>
              <w:right w:val="single" w:color="auto" w:sz="4" w:space="0"/>
            </w:tcBorders>
            <w:vAlign w:val="center"/>
          </w:tcPr>
          <w:p>
            <w:pPr>
              <w:pStyle w:val="5"/>
              <w:ind w:firstLine="0"/>
              <w:jc w:val="center"/>
              <w:rPr>
                <w:sz w:val="21"/>
                <w:szCs w:val="21"/>
              </w:rPr>
            </w:pPr>
            <w:r>
              <w:rPr>
                <w:rFonts w:hint="eastAsia"/>
                <w:sz w:val="21"/>
                <w:szCs w:val="21"/>
              </w:rPr>
              <w:t>进度控制方案    （6分）</w:t>
            </w:r>
          </w:p>
        </w:tc>
        <w:tc>
          <w:tcPr>
            <w:tcW w:w="6790" w:type="dxa"/>
            <w:tcBorders>
              <w:top w:val="single" w:color="auto" w:sz="4" w:space="0"/>
              <w:left w:val="single" w:color="auto" w:sz="4" w:space="0"/>
            </w:tcBorders>
            <w:vAlign w:val="center"/>
          </w:tcPr>
          <w:p>
            <w:pPr>
              <w:pStyle w:val="5"/>
              <w:ind w:firstLine="0"/>
              <w:jc w:val="both"/>
              <w:rPr>
                <w:sz w:val="21"/>
                <w:szCs w:val="21"/>
              </w:rPr>
            </w:pPr>
            <w:r>
              <w:rPr>
                <w:rFonts w:hint="eastAsia"/>
                <w:b/>
                <w:bCs/>
                <w:sz w:val="21"/>
                <w:szCs w:val="21"/>
              </w:rPr>
              <w:t>进度控制方案：</w:t>
            </w:r>
          </w:p>
          <w:p>
            <w:pPr>
              <w:pStyle w:val="5"/>
              <w:ind w:firstLine="0"/>
              <w:rPr>
                <w:sz w:val="21"/>
                <w:szCs w:val="21"/>
              </w:rPr>
            </w:pPr>
            <w:r>
              <w:rPr>
                <w:rFonts w:hint="eastAsia"/>
                <w:sz w:val="21"/>
                <w:szCs w:val="21"/>
              </w:rPr>
              <w:t>（1）论述完整，不存在内容缺失，技术支撑充分，得6分；</w:t>
            </w:r>
          </w:p>
          <w:p>
            <w:pPr>
              <w:pStyle w:val="5"/>
              <w:ind w:firstLine="0"/>
              <w:rPr>
                <w:sz w:val="21"/>
                <w:szCs w:val="21"/>
              </w:rPr>
            </w:pPr>
            <w:r>
              <w:rPr>
                <w:rFonts w:hint="eastAsia"/>
                <w:sz w:val="21"/>
                <w:szCs w:val="21"/>
              </w:rPr>
              <w:t>（2）论述完整，不存在内容缺失，但存在技术支撑缺陷，得4分；</w:t>
            </w:r>
          </w:p>
          <w:p>
            <w:pPr>
              <w:pStyle w:val="5"/>
              <w:ind w:firstLine="0"/>
              <w:rPr>
                <w:sz w:val="21"/>
                <w:szCs w:val="21"/>
              </w:rPr>
            </w:pPr>
            <w:r>
              <w:rPr>
                <w:rFonts w:hint="eastAsia"/>
                <w:sz w:val="21"/>
                <w:szCs w:val="21"/>
              </w:rPr>
              <w:t>（3）论述存在缺失及技术支撑缺陷，得2分；</w:t>
            </w:r>
          </w:p>
          <w:p>
            <w:pPr>
              <w:pStyle w:val="5"/>
              <w:ind w:firstLine="0"/>
              <w:jc w:val="both"/>
              <w:rPr>
                <w:b/>
                <w:kern w:val="2"/>
                <w:sz w:val="21"/>
                <w:szCs w:val="21"/>
              </w:rPr>
            </w:pPr>
            <w:r>
              <w:rPr>
                <w:rFonts w:hint="eastAsia"/>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0"/>
              <w:jc w:val="center"/>
              <w:rPr>
                <w:sz w:val="21"/>
                <w:szCs w:val="21"/>
              </w:rPr>
            </w:pPr>
          </w:p>
        </w:tc>
        <w:tc>
          <w:tcPr>
            <w:tcW w:w="740" w:type="dxa"/>
            <w:vMerge w:val="continue"/>
            <w:tcBorders>
              <w:left w:val="single" w:color="auto" w:sz="4" w:space="0"/>
              <w:right w:val="single" w:color="auto" w:sz="4" w:space="0"/>
            </w:tcBorders>
            <w:vAlign w:val="center"/>
          </w:tcPr>
          <w:p>
            <w:pPr>
              <w:pStyle w:val="5"/>
              <w:ind w:firstLine="0"/>
              <w:jc w:val="center"/>
              <w:rPr>
                <w:sz w:val="21"/>
                <w:szCs w:val="21"/>
              </w:rPr>
            </w:pPr>
          </w:p>
        </w:tc>
        <w:tc>
          <w:tcPr>
            <w:tcW w:w="975" w:type="dxa"/>
            <w:tcBorders>
              <w:left w:val="single" w:color="auto" w:sz="4" w:space="0"/>
              <w:right w:val="single" w:color="auto" w:sz="4" w:space="0"/>
            </w:tcBorders>
            <w:vAlign w:val="center"/>
          </w:tcPr>
          <w:p>
            <w:pPr>
              <w:pStyle w:val="5"/>
              <w:ind w:firstLine="0"/>
              <w:jc w:val="center"/>
              <w:rPr>
                <w:sz w:val="21"/>
                <w:szCs w:val="21"/>
              </w:rPr>
            </w:pPr>
            <w:r>
              <w:rPr>
                <w:rFonts w:hint="eastAsia"/>
                <w:sz w:val="21"/>
                <w:szCs w:val="21"/>
              </w:rPr>
              <w:t>投资控制方案    （6分）</w:t>
            </w:r>
          </w:p>
        </w:tc>
        <w:tc>
          <w:tcPr>
            <w:tcW w:w="6790" w:type="dxa"/>
            <w:tcBorders>
              <w:top w:val="single" w:color="auto" w:sz="4" w:space="0"/>
              <w:left w:val="single" w:color="auto" w:sz="4" w:space="0"/>
            </w:tcBorders>
            <w:vAlign w:val="center"/>
          </w:tcPr>
          <w:p>
            <w:pPr>
              <w:pStyle w:val="5"/>
              <w:ind w:firstLine="0"/>
              <w:jc w:val="both"/>
              <w:rPr>
                <w:sz w:val="21"/>
                <w:szCs w:val="21"/>
              </w:rPr>
            </w:pPr>
            <w:r>
              <w:rPr>
                <w:rFonts w:hint="eastAsia"/>
                <w:b/>
                <w:bCs/>
                <w:sz w:val="21"/>
                <w:szCs w:val="21"/>
              </w:rPr>
              <w:t>投资控制方案：</w:t>
            </w:r>
          </w:p>
          <w:p>
            <w:pPr>
              <w:pStyle w:val="5"/>
              <w:ind w:firstLine="0"/>
              <w:rPr>
                <w:sz w:val="21"/>
                <w:szCs w:val="21"/>
              </w:rPr>
            </w:pPr>
            <w:r>
              <w:rPr>
                <w:rFonts w:hint="eastAsia"/>
                <w:sz w:val="21"/>
                <w:szCs w:val="21"/>
              </w:rPr>
              <w:t>（1）论述完整，不存在内容缺失，技术支撑充分，得6分；</w:t>
            </w:r>
          </w:p>
          <w:p>
            <w:pPr>
              <w:pStyle w:val="5"/>
              <w:ind w:firstLine="0"/>
              <w:rPr>
                <w:sz w:val="21"/>
                <w:szCs w:val="21"/>
              </w:rPr>
            </w:pPr>
            <w:r>
              <w:rPr>
                <w:rFonts w:hint="eastAsia"/>
                <w:sz w:val="21"/>
                <w:szCs w:val="21"/>
              </w:rPr>
              <w:t>（2）论述完整，不存在内容缺失，但存在技术支撑缺陷，得4分；</w:t>
            </w:r>
          </w:p>
          <w:p>
            <w:pPr>
              <w:pStyle w:val="5"/>
              <w:ind w:firstLine="0"/>
              <w:rPr>
                <w:sz w:val="21"/>
                <w:szCs w:val="21"/>
              </w:rPr>
            </w:pPr>
            <w:r>
              <w:rPr>
                <w:rFonts w:hint="eastAsia"/>
                <w:sz w:val="21"/>
                <w:szCs w:val="21"/>
              </w:rPr>
              <w:t>（3）论述存在缺失及技术支撑缺陷，得2分；</w:t>
            </w:r>
          </w:p>
          <w:p>
            <w:pPr>
              <w:pStyle w:val="5"/>
              <w:ind w:firstLine="0"/>
              <w:jc w:val="both"/>
              <w:rPr>
                <w:sz w:val="21"/>
                <w:szCs w:val="21"/>
              </w:rPr>
            </w:pPr>
            <w:r>
              <w:rPr>
                <w:rFonts w:hint="eastAsia"/>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0"/>
              <w:jc w:val="center"/>
              <w:rPr>
                <w:sz w:val="21"/>
                <w:szCs w:val="21"/>
              </w:rPr>
            </w:pPr>
          </w:p>
        </w:tc>
        <w:tc>
          <w:tcPr>
            <w:tcW w:w="740" w:type="dxa"/>
            <w:vMerge w:val="continue"/>
            <w:tcBorders>
              <w:left w:val="single" w:color="auto" w:sz="4" w:space="0"/>
              <w:right w:val="single" w:color="auto" w:sz="4" w:space="0"/>
            </w:tcBorders>
            <w:vAlign w:val="center"/>
          </w:tcPr>
          <w:p>
            <w:pPr>
              <w:pStyle w:val="5"/>
              <w:ind w:firstLine="0"/>
              <w:jc w:val="center"/>
              <w:rPr>
                <w:sz w:val="21"/>
                <w:szCs w:val="21"/>
              </w:rPr>
            </w:pPr>
          </w:p>
        </w:tc>
        <w:tc>
          <w:tcPr>
            <w:tcW w:w="975" w:type="dxa"/>
            <w:tcBorders>
              <w:left w:val="single" w:color="auto" w:sz="4" w:space="0"/>
              <w:right w:val="single" w:color="auto" w:sz="4" w:space="0"/>
            </w:tcBorders>
            <w:vAlign w:val="center"/>
          </w:tcPr>
          <w:p>
            <w:pPr>
              <w:pStyle w:val="5"/>
              <w:ind w:firstLine="0"/>
              <w:jc w:val="center"/>
              <w:rPr>
                <w:sz w:val="21"/>
                <w:szCs w:val="21"/>
              </w:rPr>
            </w:pPr>
            <w:r>
              <w:rPr>
                <w:rFonts w:hint="eastAsia"/>
                <w:sz w:val="21"/>
                <w:szCs w:val="21"/>
              </w:rPr>
              <w:t>变更控制方案    （6分）</w:t>
            </w:r>
          </w:p>
        </w:tc>
        <w:tc>
          <w:tcPr>
            <w:tcW w:w="6790" w:type="dxa"/>
            <w:tcBorders>
              <w:top w:val="single" w:color="auto" w:sz="4" w:space="0"/>
              <w:left w:val="single" w:color="auto" w:sz="4" w:space="0"/>
            </w:tcBorders>
            <w:vAlign w:val="center"/>
          </w:tcPr>
          <w:p>
            <w:pPr>
              <w:pStyle w:val="5"/>
              <w:ind w:firstLine="0"/>
              <w:jc w:val="both"/>
              <w:rPr>
                <w:sz w:val="21"/>
                <w:szCs w:val="21"/>
              </w:rPr>
            </w:pPr>
            <w:r>
              <w:rPr>
                <w:rFonts w:hint="eastAsia"/>
                <w:b/>
                <w:bCs/>
                <w:sz w:val="21"/>
                <w:szCs w:val="21"/>
              </w:rPr>
              <w:t>变更控制方案：</w:t>
            </w:r>
          </w:p>
          <w:p>
            <w:pPr>
              <w:pStyle w:val="5"/>
              <w:ind w:firstLine="0"/>
              <w:rPr>
                <w:sz w:val="21"/>
                <w:szCs w:val="21"/>
              </w:rPr>
            </w:pPr>
            <w:r>
              <w:rPr>
                <w:rFonts w:hint="eastAsia"/>
                <w:sz w:val="21"/>
                <w:szCs w:val="21"/>
              </w:rPr>
              <w:t>（1）论述完整，不存在内容缺失，技术支撑充分，得6分；</w:t>
            </w:r>
          </w:p>
          <w:p>
            <w:pPr>
              <w:pStyle w:val="5"/>
              <w:ind w:firstLine="0"/>
              <w:rPr>
                <w:sz w:val="21"/>
                <w:szCs w:val="21"/>
              </w:rPr>
            </w:pPr>
            <w:r>
              <w:rPr>
                <w:rFonts w:hint="eastAsia"/>
                <w:sz w:val="21"/>
                <w:szCs w:val="21"/>
              </w:rPr>
              <w:t>（2）论述完整，不存在内容缺失，但存在技术支撑缺陷，得4分；</w:t>
            </w:r>
          </w:p>
          <w:p>
            <w:pPr>
              <w:pStyle w:val="5"/>
              <w:ind w:firstLine="0"/>
              <w:rPr>
                <w:sz w:val="21"/>
                <w:szCs w:val="21"/>
              </w:rPr>
            </w:pPr>
            <w:r>
              <w:rPr>
                <w:rFonts w:hint="eastAsia"/>
                <w:sz w:val="21"/>
                <w:szCs w:val="21"/>
              </w:rPr>
              <w:t>（3）论述存在缺失及技术支撑缺陷，得2分；</w:t>
            </w:r>
          </w:p>
          <w:p>
            <w:pPr>
              <w:pStyle w:val="5"/>
              <w:ind w:firstLine="0"/>
              <w:jc w:val="both"/>
              <w:rPr>
                <w:sz w:val="21"/>
                <w:szCs w:val="21"/>
              </w:rPr>
            </w:pPr>
            <w:r>
              <w:rPr>
                <w:rFonts w:hint="eastAsia"/>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0"/>
              <w:jc w:val="center"/>
              <w:rPr>
                <w:sz w:val="21"/>
                <w:szCs w:val="21"/>
              </w:rPr>
            </w:pPr>
          </w:p>
        </w:tc>
        <w:tc>
          <w:tcPr>
            <w:tcW w:w="740" w:type="dxa"/>
            <w:vMerge w:val="continue"/>
            <w:tcBorders>
              <w:left w:val="single" w:color="auto" w:sz="4" w:space="0"/>
              <w:right w:val="single" w:color="auto" w:sz="4" w:space="0"/>
            </w:tcBorders>
            <w:vAlign w:val="center"/>
          </w:tcPr>
          <w:p>
            <w:pPr>
              <w:pStyle w:val="5"/>
              <w:ind w:firstLine="0"/>
              <w:jc w:val="center"/>
              <w:rPr>
                <w:sz w:val="21"/>
                <w:szCs w:val="21"/>
              </w:rPr>
            </w:pPr>
          </w:p>
        </w:tc>
        <w:tc>
          <w:tcPr>
            <w:tcW w:w="975" w:type="dxa"/>
            <w:tcBorders>
              <w:left w:val="single" w:color="auto" w:sz="4" w:space="0"/>
              <w:right w:val="single" w:color="auto" w:sz="4" w:space="0"/>
            </w:tcBorders>
            <w:vAlign w:val="center"/>
          </w:tcPr>
          <w:p>
            <w:pPr>
              <w:pStyle w:val="5"/>
              <w:ind w:firstLine="0"/>
              <w:jc w:val="center"/>
              <w:rPr>
                <w:sz w:val="21"/>
                <w:szCs w:val="21"/>
              </w:rPr>
            </w:pPr>
            <w:r>
              <w:rPr>
                <w:rFonts w:hint="eastAsia"/>
                <w:sz w:val="21"/>
                <w:szCs w:val="21"/>
              </w:rPr>
              <w:t>合同管理方案    （6分）</w:t>
            </w:r>
          </w:p>
        </w:tc>
        <w:tc>
          <w:tcPr>
            <w:tcW w:w="6790" w:type="dxa"/>
            <w:tcBorders>
              <w:top w:val="single" w:color="auto" w:sz="4" w:space="0"/>
              <w:left w:val="single" w:color="auto" w:sz="4" w:space="0"/>
            </w:tcBorders>
            <w:vAlign w:val="center"/>
          </w:tcPr>
          <w:p>
            <w:pPr>
              <w:pStyle w:val="5"/>
              <w:ind w:firstLine="0"/>
              <w:jc w:val="both"/>
              <w:rPr>
                <w:sz w:val="21"/>
                <w:szCs w:val="21"/>
              </w:rPr>
            </w:pPr>
            <w:r>
              <w:rPr>
                <w:rFonts w:hint="eastAsia"/>
                <w:b/>
                <w:bCs/>
                <w:sz w:val="21"/>
                <w:szCs w:val="21"/>
              </w:rPr>
              <w:t>合同管理方案：</w:t>
            </w:r>
          </w:p>
          <w:p>
            <w:pPr>
              <w:pStyle w:val="5"/>
              <w:ind w:firstLine="0"/>
              <w:rPr>
                <w:sz w:val="21"/>
                <w:szCs w:val="21"/>
              </w:rPr>
            </w:pPr>
            <w:r>
              <w:rPr>
                <w:rFonts w:hint="eastAsia"/>
                <w:sz w:val="21"/>
                <w:szCs w:val="21"/>
              </w:rPr>
              <w:t>（1）论述完整，不存在内容缺失，技术支撑充分，得6分；</w:t>
            </w:r>
          </w:p>
          <w:p>
            <w:pPr>
              <w:pStyle w:val="5"/>
              <w:ind w:firstLine="0"/>
              <w:rPr>
                <w:sz w:val="21"/>
                <w:szCs w:val="21"/>
              </w:rPr>
            </w:pPr>
            <w:r>
              <w:rPr>
                <w:rFonts w:hint="eastAsia"/>
                <w:sz w:val="21"/>
                <w:szCs w:val="21"/>
              </w:rPr>
              <w:t>（2）论述完整，不存在内容缺失，但存在技术支撑缺陷，得4分；</w:t>
            </w:r>
          </w:p>
          <w:p>
            <w:pPr>
              <w:pStyle w:val="5"/>
              <w:ind w:firstLine="0"/>
              <w:rPr>
                <w:sz w:val="21"/>
                <w:szCs w:val="21"/>
              </w:rPr>
            </w:pPr>
            <w:r>
              <w:rPr>
                <w:rFonts w:hint="eastAsia"/>
                <w:sz w:val="21"/>
                <w:szCs w:val="21"/>
              </w:rPr>
              <w:t>（3）论述存在缺失及技术支撑缺陷，得2分；</w:t>
            </w:r>
          </w:p>
          <w:p>
            <w:pPr>
              <w:pStyle w:val="5"/>
              <w:ind w:firstLine="0"/>
              <w:jc w:val="both"/>
              <w:rPr>
                <w:sz w:val="21"/>
                <w:szCs w:val="21"/>
              </w:rPr>
            </w:pPr>
            <w:r>
              <w:rPr>
                <w:rFonts w:hint="eastAsia"/>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0"/>
              <w:jc w:val="center"/>
              <w:rPr>
                <w:sz w:val="21"/>
                <w:szCs w:val="21"/>
              </w:rPr>
            </w:pPr>
          </w:p>
        </w:tc>
        <w:tc>
          <w:tcPr>
            <w:tcW w:w="740" w:type="dxa"/>
            <w:vMerge w:val="continue"/>
            <w:tcBorders>
              <w:left w:val="single" w:color="auto" w:sz="4" w:space="0"/>
              <w:right w:val="single" w:color="auto" w:sz="4" w:space="0"/>
            </w:tcBorders>
            <w:vAlign w:val="center"/>
          </w:tcPr>
          <w:p>
            <w:pPr>
              <w:pStyle w:val="5"/>
              <w:ind w:firstLine="0"/>
              <w:jc w:val="center"/>
              <w:rPr>
                <w:sz w:val="21"/>
                <w:szCs w:val="21"/>
              </w:rPr>
            </w:pPr>
          </w:p>
        </w:tc>
        <w:tc>
          <w:tcPr>
            <w:tcW w:w="975" w:type="dxa"/>
            <w:tcBorders>
              <w:left w:val="single" w:color="auto" w:sz="4" w:space="0"/>
              <w:right w:val="single" w:color="auto" w:sz="4" w:space="0"/>
            </w:tcBorders>
            <w:vAlign w:val="center"/>
          </w:tcPr>
          <w:p>
            <w:pPr>
              <w:pStyle w:val="5"/>
              <w:ind w:firstLine="0"/>
              <w:jc w:val="center"/>
              <w:rPr>
                <w:sz w:val="21"/>
                <w:szCs w:val="21"/>
              </w:rPr>
            </w:pPr>
            <w:r>
              <w:rPr>
                <w:rFonts w:hint="eastAsia"/>
                <w:sz w:val="21"/>
                <w:szCs w:val="21"/>
              </w:rPr>
              <w:t>信息管理方案    （6分）</w:t>
            </w:r>
          </w:p>
        </w:tc>
        <w:tc>
          <w:tcPr>
            <w:tcW w:w="6790" w:type="dxa"/>
            <w:tcBorders>
              <w:top w:val="single" w:color="auto" w:sz="4" w:space="0"/>
              <w:left w:val="single" w:color="auto" w:sz="4" w:space="0"/>
            </w:tcBorders>
            <w:vAlign w:val="center"/>
          </w:tcPr>
          <w:p>
            <w:pPr>
              <w:pStyle w:val="5"/>
              <w:ind w:firstLine="0"/>
              <w:jc w:val="both"/>
              <w:rPr>
                <w:sz w:val="21"/>
                <w:szCs w:val="21"/>
              </w:rPr>
            </w:pPr>
            <w:r>
              <w:rPr>
                <w:rFonts w:hint="eastAsia"/>
                <w:b/>
                <w:bCs/>
                <w:sz w:val="21"/>
                <w:szCs w:val="21"/>
              </w:rPr>
              <w:t>信息管理方案：</w:t>
            </w:r>
          </w:p>
          <w:p>
            <w:pPr>
              <w:pStyle w:val="5"/>
              <w:ind w:firstLine="0"/>
              <w:rPr>
                <w:sz w:val="21"/>
                <w:szCs w:val="21"/>
              </w:rPr>
            </w:pPr>
            <w:r>
              <w:rPr>
                <w:rFonts w:hint="eastAsia"/>
                <w:sz w:val="21"/>
                <w:szCs w:val="21"/>
              </w:rPr>
              <w:t>（1）论述完整，不存在内容缺失，技术支撑充分，得6分；</w:t>
            </w:r>
          </w:p>
          <w:p>
            <w:pPr>
              <w:pStyle w:val="5"/>
              <w:ind w:firstLine="0"/>
              <w:rPr>
                <w:sz w:val="21"/>
                <w:szCs w:val="21"/>
              </w:rPr>
            </w:pPr>
            <w:r>
              <w:rPr>
                <w:rFonts w:hint="eastAsia"/>
                <w:sz w:val="21"/>
                <w:szCs w:val="21"/>
              </w:rPr>
              <w:t>（2）论述完整，不存在内容缺失，但存在技术支撑缺陷，得4分；</w:t>
            </w:r>
          </w:p>
          <w:p>
            <w:pPr>
              <w:pStyle w:val="5"/>
              <w:ind w:firstLine="0"/>
              <w:rPr>
                <w:sz w:val="21"/>
                <w:szCs w:val="21"/>
              </w:rPr>
            </w:pPr>
            <w:r>
              <w:rPr>
                <w:rFonts w:hint="eastAsia"/>
                <w:sz w:val="21"/>
                <w:szCs w:val="21"/>
              </w:rPr>
              <w:t>（3）论述存在缺失及技术支撑缺陷，得2分；</w:t>
            </w:r>
          </w:p>
          <w:p>
            <w:pPr>
              <w:pStyle w:val="5"/>
              <w:ind w:firstLine="0"/>
              <w:jc w:val="both"/>
              <w:rPr>
                <w:b/>
                <w:kern w:val="2"/>
                <w:sz w:val="21"/>
                <w:szCs w:val="21"/>
              </w:rPr>
            </w:pPr>
            <w:r>
              <w:rPr>
                <w:rFonts w:hint="eastAsia"/>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5"/>
              <w:ind w:firstLine="0"/>
              <w:jc w:val="center"/>
              <w:rPr>
                <w:sz w:val="21"/>
                <w:szCs w:val="21"/>
              </w:rPr>
            </w:pPr>
          </w:p>
        </w:tc>
        <w:tc>
          <w:tcPr>
            <w:tcW w:w="740" w:type="dxa"/>
            <w:vMerge w:val="continue"/>
            <w:tcBorders>
              <w:left w:val="single" w:color="auto" w:sz="4" w:space="0"/>
              <w:right w:val="single" w:color="auto" w:sz="4" w:space="0"/>
            </w:tcBorders>
            <w:vAlign w:val="center"/>
          </w:tcPr>
          <w:p>
            <w:pPr>
              <w:pStyle w:val="5"/>
              <w:ind w:firstLine="0"/>
              <w:jc w:val="center"/>
              <w:rPr>
                <w:sz w:val="21"/>
                <w:szCs w:val="21"/>
              </w:rPr>
            </w:pPr>
          </w:p>
        </w:tc>
        <w:tc>
          <w:tcPr>
            <w:tcW w:w="975" w:type="dxa"/>
            <w:tcBorders>
              <w:left w:val="single" w:color="auto" w:sz="4" w:space="0"/>
              <w:right w:val="single" w:color="auto" w:sz="4" w:space="0"/>
            </w:tcBorders>
            <w:vAlign w:val="center"/>
          </w:tcPr>
          <w:p>
            <w:pPr>
              <w:pStyle w:val="5"/>
              <w:ind w:firstLine="0"/>
              <w:jc w:val="center"/>
              <w:rPr>
                <w:sz w:val="21"/>
                <w:szCs w:val="21"/>
              </w:rPr>
            </w:pPr>
            <w:r>
              <w:rPr>
                <w:rFonts w:hint="eastAsia"/>
                <w:sz w:val="21"/>
                <w:szCs w:val="21"/>
              </w:rPr>
              <w:t>组织协调方案    （6分）</w:t>
            </w:r>
          </w:p>
        </w:tc>
        <w:tc>
          <w:tcPr>
            <w:tcW w:w="6790" w:type="dxa"/>
            <w:tcBorders>
              <w:top w:val="single" w:color="auto" w:sz="4" w:space="0"/>
              <w:left w:val="single" w:color="auto" w:sz="4" w:space="0"/>
            </w:tcBorders>
            <w:vAlign w:val="center"/>
          </w:tcPr>
          <w:p>
            <w:pPr>
              <w:pStyle w:val="5"/>
              <w:ind w:firstLine="0"/>
              <w:jc w:val="both"/>
              <w:rPr>
                <w:sz w:val="21"/>
                <w:szCs w:val="21"/>
              </w:rPr>
            </w:pPr>
            <w:r>
              <w:rPr>
                <w:rFonts w:hint="eastAsia"/>
                <w:b/>
                <w:bCs/>
                <w:sz w:val="21"/>
                <w:szCs w:val="21"/>
              </w:rPr>
              <w:t>组织协调方案：</w:t>
            </w:r>
          </w:p>
          <w:p>
            <w:pPr>
              <w:pStyle w:val="5"/>
              <w:ind w:firstLine="0"/>
              <w:rPr>
                <w:sz w:val="21"/>
                <w:szCs w:val="21"/>
              </w:rPr>
            </w:pPr>
            <w:r>
              <w:rPr>
                <w:rFonts w:hint="eastAsia"/>
                <w:sz w:val="21"/>
                <w:szCs w:val="21"/>
              </w:rPr>
              <w:t>（1）论述完整，不存在内容缺失，技术支撑充分，得6分；</w:t>
            </w:r>
          </w:p>
          <w:p>
            <w:pPr>
              <w:pStyle w:val="5"/>
              <w:ind w:firstLine="0"/>
              <w:rPr>
                <w:sz w:val="21"/>
                <w:szCs w:val="21"/>
              </w:rPr>
            </w:pPr>
            <w:r>
              <w:rPr>
                <w:rFonts w:hint="eastAsia"/>
                <w:sz w:val="21"/>
                <w:szCs w:val="21"/>
              </w:rPr>
              <w:t>（2）论述完整，不存在内容缺失，但存在技术支撑缺陷，得4分；</w:t>
            </w:r>
          </w:p>
          <w:p>
            <w:pPr>
              <w:pStyle w:val="5"/>
              <w:ind w:firstLine="0"/>
              <w:rPr>
                <w:sz w:val="21"/>
                <w:szCs w:val="21"/>
              </w:rPr>
            </w:pPr>
            <w:r>
              <w:rPr>
                <w:rFonts w:hint="eastAsia"/>
                <w:sz w:val="21"/>
                <w:szCs w:val="21"/>
              </w:rPr>
              <w:t>（3）论述存在缺失及技术支撑缺陷，得2分；</w:t>
            </w:r>
          </w:p>
          <w:p>
            <w:pPr>
              <w:pStyle w:val="5"/>
              <w:ind w:firstLine="0"/>
              <w:jc w:val="both"/>
              <w:rPr>
                <w:sz w:val="21"/>
                <w:szCs w:val="21"/>
              </w:rPr>
            </w:pPr>
            <w:r>
              <w:rPr>
                <w:rFonts w:hint="eastAsia"/>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Times New Roman" w:hAnsi="Times New Roman"/>
                <w:kern w:val="0"/>
                <w:szCs w:val="21"/>
              </w:rPr>
            </w:pPr>
          </w:p>
        </w:tc>
        <w:tc>
          <w:tcPr>
            <w:tcW w:w="740"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Times New Roman" w:hAnsi="Times New Roman"/>
                <w:kern w:val="0"/>
                <w:szCs w:val="21"/>
              </w:rPr>
            </w:pPr>
          </w:p>
        </w:tc>
        <w:tc>
          <w:tcPr>
            <w:tcW w:w="975" w:type="dxa"/>
            <w:vMerge w:val="restart"/>
            <w:tcBorders>
              <w:left w:val="single" w:color="auto" w:sz="4" w:space="0"/>
              <w:right w:val="single" w:color="auto" w:sz="4" w:space="0"/>
            </w:tcBorders>
            <w:vAlign w:val="center"/>
          </w:tcPr>
          <w:p>
            <w:pPr>
              <w:widowControl/>
              <w:jc w:val="center"/>
              <w:rPr>
                <w:kern w:val="0"/>
                <w:szCs w:val="21"/>
              </w:rPr>
            </w:pPr>
            <w:r>
              <w:rPr>
                <w:rFonts w:hint="eastAsia"/>
                <w:kern w:val="0"/>
                <w:szCs w:val="21"/>
              </w:rPr>
              <w:t>项目团队</w:t>
            </w:r>
          </w:p>
          <w:p>
            <w:pPr>
              <w:widowControl/>
              <w:jc w:val="center"/>
              <w:rPr>
                <w:rFonts w:ascii="Times New Roman" w:hAnsi="Times New Roman"/>
                <w:kern w:val="0"/>
                <w:szCs w:val="21"/>
              </w:rPr>
            </w:pPr>
            <w:r>
              <w:rPr>
                <w:rFonts w:hint="eastAsia"/>
                <w:kern w:val="0"/>
                <w:szCs w:val="21"/>
              </w:rPr>
              <w:t>（24分）</w:t>
            </w:r>
          </w:p>
        </w:tc>
        <w:tc>
          <w:tcPr>
            <w:tcW w:w="6790" w:type="dxa"/>
            <w:tcBorders>
              <w:top w:val="single" w:color="auto" w:sz="4" w:space="0"/>
              <w:left w:val="single" w:color="auto" w:sz="4" w:space="0"/>
              <w:right w:val="single" w:color="auto" w:sz="4" w:space="0"/>
            </w:tcBorders>
            <w:vAlign w:val="center"/>
          </w:tcPr>
          <w:p>
            <w:pPr>
              <w:rPr>
                <w:rFonts w:ascii="Times New Roman" w:hAnsi="Times New Roman"/>
                <w:b/>
                <w:szCs w:val="21"/>
              </w:rPr>
            </w:pPr>
            <w:r>
              <w:rPr>
                <w:rFonts w:ascii="Times New Roman" w:hAnsi="Times New Roman"/>
                <w:b/>
                <w:szCs w:val="21"/>
              </w:rPr>
              <w:t>总监理工程师</w:t>
            </w:r>
            <w:r>
              <w:rPr>
                <w:bCs/>
                <w:szCs w:val="21"/>
              </w:rPr>
              <w:t>具有</w:t>
            </w:r>
            <w:r>
              <w:rPr>
                <w:b/>
                <w:szCs w:val="21"/>
              </w:rPr>
              <w:t>信息系统监理师（中级）证书</w:t>
            </w:r>
            <w:r>
              <w:rPr>
                <w:bCs/>
                <w:szCs w:val="21"/>
              </w:rPr>
              <w:t>，否则此项整体不得分</w:t>
            </w:r>
            <w:r>
              <w:rPr>
                <w:rFonts w:hint="eastAsia"/>
                <w:bCs/>
                <w:szCs w:val="21"/>
              </w:rPr>
              <w:t>。在此基础上，每具备以下资质证书中的1项得1分，该项最多得9分</w:t>
            </w:r>
            <w:r>
              <w:rPr>
                <w:rFonts w:ascii="Times New Roman" w:hAnsi="Times New Roman"/>
                <w:b/>
                <w:szCs w:val="21"/>
              </w:rPr>
              <w:t>（须提供证书复印件，并加盖投标人公章）：</w:t>
            </w:r>
          </w:p>
          <w:p>
            <w:pPr>
              <w:rPr>
                <w:kern w:val="0"/>
                <w:szCs w:val="21"/>
              </w:rPr>
            </w:pPr>
            <w:r>
              <w:rPr>
                <w:kern w:val="0"/>
                <w:szCs w:val="21"/>
              </w:rPr>
              <w:t>（1）咨询工程师（投资）证书；</w:t>
            </w:r>
          </w:p>
          <w:p>
            <w:pPr>
              <w:rPr>
                <w:kern w:val="0"/>
                <w:szCs w:val="21"/>
              </w:rPr>
            </w:pPr>
            <w:r>
              <w:rPr>
                <w:kern w:val="0"/>
                <w:szCs w:val="21"/>
              </w:rPr>
              <w:t>（2）系统分析师（高级）证书；</w:t>
            </w:r>
          </w:p>
          <w:p>
            <w:pPr>
              <w:rPr>
                <w:kern w:val="0"/>
                <w:szCs w:val="21"/>
              </w:rPr>
            </w:pPr>
            <w:r>
              <w:rPr>
                <w:kern w:val="0"/>
                <w:szCs w:val="21"/>
              </w:rPr>
              <w:t>（3）信息系统项目管理师（高级）证书；</w:t>
            </w:r>
          </w:p>
          <w:p>
            <w:pPr>
              <w:rPr>
                <w:kern w:val="0"/>
                <w:szCs w:val="21"/>
              </w:rPr>
            </w:pPr>
            <w:r>
              <w:rPr>
                <w:kern w:val="0"/>
                <w:szCs w:val="21"/>
              </w:rPr>
              <w:t>（4）数据库系统工程师（中级）证书；</w:t>
            </w:r>
          </w:p>
          <w:p>
            <w:pPr>
              <w:rPr>
                <w:kern w:val="0"/>
                <w:szCs w:val="21"/>
              </w:rPr>
            </w:pPr>
            <w:r>
              <w:rPr>
                <w:kern w:val="0"/>
                <w:szCs w:val="21"/>
              </w:rPr>
              <w:t>（</w:t>
            </w:r>
            <w:r>
              <w:rPr>
                <w:rFonts w:hint="eastAsia"/>
                <w:kern w:val="0"/>
                <w:szCs w:val="21"/>
              </w:rPr>
              <w:t>5</w:t>
            </w:r>
            <w:r>
              <w:rPr>
                <w:kern w:val="0"/>
                <w:szCs w:val="21"/>
              </w:rPr>
              <w:t>）软件设计师（中级）；</w:t>
            </w:r>
          </w:p>
          <w:p>
            <w:pPr>
              <w:rPr>
                <w:kern w:val="0"/>
                <w:szCs w:val="21"/>
              </w:rPr>
            </w:pPr>
            <w:r>
              <w:rPr>
                <w:kern w:val="0"/>
                <w:szCs w:val="21"/>
              </w:rPr>
              <w:t>（</w:t>
            </w:r>
            <w:r>
              <w:rPr>
                <w:rFonts w:hint="eastAsia"/>
                <w:kern w:val="0"/>
                <w:szCs w:val="21"/>
              </w:rPr>
              <w:t>6</w:t>
            </w:r>
            <w:r>
              <w:rPr>
                <w:kern w:val="0"/>
                <w:szCs w:val="21"/>
              </w:rPr>
              <w:t>）软件工程造价师证书；</w:t>
            </w:r>
          </w:p>
          <w:p>
            <w:pPr>
              <w:rPr>
                <w:kern w:val="0"/>
                <w:szCs w:val="21"/>
              </w:rPr>
            </w:pPr>
            <w:r>
              <w:rPr>
                <w:kern w:val="0"/>
                <w:szCs w:val="21"/>
              </w:rPr>
              <w:t>（</w:t>
            </w:r>
            <w:r>
              <w:rPr>
                <w:rFonts w:hint="eastAsia"/>
                <w:kern w:val="0"/>
                <w:szCs w:val="21"/>
              </w:rPr>
              <w:t>7</w:t>
            </w:r>
            <w:r>
              <w:rPr>
                <w:kern w:val="0"/>
                <w:szCs w:val="21"/>
              </w:rPr>
              <w:t>）注册信息安全专业人员证书（CISP）证书；</w:t>
            </w:r>
          </w:p>
          <w:p>
            <w:pPr>
              <w:rPr>
                <w:kern w:val="0"/>
                <w:szCs w:val="21"/>
              </w:rPr>
            </w:pPr>
            <w:r>
              <w:rPr>
                <w:kern w:val="0"/>
                <w:szCs w:val="21"/>
              </w:rPr>
              <w:t>（</w:t>
            </w:r>
            <w:r>
              <w:rPr>
                <w:rFonts w:hint="eastAsia"/>
                <w:kern w:val="0"/>
                <w:szCs w:val="21"/>
              </w:rPr>
              <w:t>8</w:t>
            </w:r>
            <w:r>
              <w:rPr>
                <w:kern w:val="0"/>
                <w:szCs w:val="21"/>
              </w:rPr>
              <w:t>）有关部门或有关部门授权评定的高级工程师职称证书；</w:t>
            </w:r>
          </w:p>
          <w:p>
            <w:pPr>
              <w:rPr>
                <w:rFonts w:ascii="Times New Roman" w:hAnsi="Times New Roman"/>
                <w:kern w:val="0"/>
                <w:szCs w:val="21"/>
              </w:rPr>
            </w:pPr>
            <w:r>
              <w:rPr>
                <w:rFonts w:hint="eastAsia"/>
                <w:kern w:val="0"/>
                <w:szCs w:val="21"/>
              </w:rPr>
              <w:t>（9）系统规划与管理师（高级）证书。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Times New Roman" w:hAnsi="Times New Roman"/>
                <w:kern w:val="0"/>
                <w:szCs w:val="21"/>
              </w:rPr>
            </w:pPr>
          </w:p>
        </w:tc>
        <w:tc>
          <w:tcPr>
            <w:tcW w:w="740"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Times New Roman" w:hAnsi="Times New Roman"/>
                <w:kern w:val="0"/>
                <w:szCs w:val="21"/>
              </w:rPr>
            </w:pPr>
          </w:p>
        </w:tc>
        <w:tc>
          <w:tcPr>
            <w:tcW w:w="975" w:type="dxa"/>
            <w:vMerge w:val="continue"/>
            <w:tcBorders>
              <w:left w:val="single" w:color="auto" w:sz="4" w:space="0"/>
              <w:right w:val="single" w:color="auto" w:sz="4" w:space="0"/>
            </w:tcBorders>
            <w:vAlign w:val="center"/>
          </w:tcPr>
          <w:p>
            <w:pPr>
              <w:widowControl/>
              <w:jc w:val="center"/>
              <w:rPr>
                <w:rFonts w:ascii="Times New Roman" w:hAnsi="Times New Roman"/>
                <w:kern w:val="0"/>
                <w:szCs w:val="21"/>
              </w:rPr>
            </w:pPr>
          </w:p>
        </w:tc>
        <w:tc>
          <w:tcPr>
            <w:tcW w:w="6790" w:type="dxa"/>
            <w:tcBorders>
              <w:top w:val="single" w:color="auto" w:sz="4" w:space="0"/>
              <w:left w:val="single" w:color="auto" w:sz="4" w:space="0"/>
              <w:right w:val="single" w:color="auto" w:sz="4" w:space="0"/>
            </w:tcBorders>
            <w:vAlign w:val="center"/>
          </w:tcPr>
          <w:p>
            <w:pPr>
              <w:rPr>
                <w:rFonts w:ascii="Times New Roman" w:hAnsi="Times New Roman"/>
                <w:b/>
                <w:szCs w:val="21"/>
              </w:rPr>
            </w:pPr>
            <w:r>
              <w:rPr>
                <w:b/>
                <w:bCs/>
                <w:kern w:val="0"/>
                <w:szCs w:val="21"/>
              </w:rPr>
              <w:t>总监理工程师代表</w:t>
            </w:r>
            <w:r>
              <w:rPr>
                <w:bCs/>
                <w:szCs w:val="21"/>
              </w:rPr>
              <w:t>具有</w:t>
            </w:r>
            <w:r>
              <w:rPr>
                <w:b/>
                <w:szCs w:val="21"/>
              </w:rPr>
              <w:t>信息系统监理师（中级）证书</w:t>
            </w:r>
            <w:r>
              <w:rPr>
                <w:bCs/>
                <w:szCs w:val="21"/>
              </w:rPr>
              <w:t>，否则此项整体不得分</w:t>
            </w:r>
            <w:r>
              <w:rPr>
                <w:rFonts w:hint="eastAsia"/>
                <w:bCs/>
                <w:szCs w:val="21"/>
              </w:rPr>
              <w:t>。在此基础上，每具备以下资质证书中的1项得1分，该项最多得5分</w:t>
            </w:r>
            <w:r>
              <w:rPr>
                <w:rFonts w:ascii="Times New Roman" w:hAnsi="Times New Roman"/>
                <w:b/>
                <w:szCs w:val="21"/>
              </w:rPr>
              <w:t>（须提供证书复印件，并加盖投标人公章）：</w:t>
            </w:r>
          </w:p>
          <w:p>
            <w:pPr>
              <w:rPr>
                <w:kern w:val="0"/>
                <w:szCs w:val="21"/>
              </w:rPr>
            </w:pPr>
            <w:r>
              <w:rPr>
                <w:kern w:val="0"/>
                <w:szCs w:val="21"/>
              </w:rPr>
              <w:t>（1）咨询工程师（投资）证书</w:t>
            </w:r>
          </w:p>
          <w:p>
            <w:pPr>
              <w:rPr>
                <w:kern w:val="0"/>
                <w:szCs w:val="21"/>
              </w:rPr>
            </w:pPr>
            <w:r>
              <w:rPr>
                <w:kern w:val="0"/>
                <w:szCs w:val="21"/>
              </w:rPr>
              <w:t>（2）信息系统项目管理师（高级）证书；</w:t>
            </w:r>
          </w:p>
          <w:p>
            <w:pPr>
              <w:rPr>
                <w:kern w:val="0"/>
                <w:szCs w:val="21"/>
              </w:rPr>
            </w:pPr>
            <w:r>
              <w:rPr>
                <w:kern w:val="0"/>
                <w:szCs w:val="21"/>
              </w:rPr>
              <w:t>（3）有关部门或有关部门授权评定的高级工程师职称证书；</w:t>
            </w:r>
          </w:p>
          <w:p>
            <w:pPr>
              <w:rPr>
                <w:kern w:val="0"/>
                <w:szCs w:val="21"/>
              </w:rPr>
            </w:pPr>
            <w:r>
              <w:rPr>
                <w:kern w:val="0"/>
                <w:szCs w:val="21"/>
              </w:rPr>
              <w:t>（4）注册信息安全专业人员证书（CISP）证书；</w:t>
            </w:r>
          </w:p>
          <w:p>
            <w:pPr>
              <w:rPr>
                <w:szCs w:val="21"/>
              </w:rPr>
            </w:pPr>
            <w:r>
              <w:rPr>
                <w:kern w:val="0"/>
                <w:szCs w:val="21"/>
              </w:rPr>
              <w:t>（5）</w:t>
            </w:r>
            <w:r>
              <w:rPr>
                <w:rFonts w:hint="eastAsia"/>
                <w:kern w:val="0"/>
                <w:szCs w:val="21"/>
              </w:rPr>
              <w:t>软件工程造价师证书。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vMerge w:val="continue"/>
            <w:tcBorders>
              <w:left w:val="single" w:color="auto" w:sz="4" w:space="0"/>
              <w:right w:val="single" w:color="auto" w:sz="4" w:space="0"/>
            </w:tcBorders>
            <w:vAlign w:val="center"/>
          </w:tcPr>
          <w:p>
            <w:pPr>
              <w:widowControl/>
              <w:jc w:val="left"/>
              <w:rPr>
                <w:rFonts w:ascii="Times New Roman" w:hAnsi="Times New Roman"/>
                <w:kern w:val="0"/>
                <w:szCs w:val="21"/>
              </w:rPr>
            </w:pPr>
          </w:p>
        </w:tc>
        <w:tc>
          <w:tcPr>
            <w:tcW w:w="740" w:type="dxa"/>
            <w:vMerge w:val="continue"/>
            <w:tcBorders>
              <w:left w:val="single" w:color="auto" w:sz="4" w:space="0"/>
              <w:right w:val="single" w:color="auto" w:sz="4" w:space="0"/>
            </w:tcBorders>
            <w:vAlign w:val="center"/>
          </w:tcPr>
          <w:p>
            <w:pPr>
              <w:widowControl/>
              <w:jc w:val="left"/>
              <w:rPr>
                <w:rFonts w:ascii="Times New Roman" w:hAnsi="Times New Roman"/>
                <w:kern w:val="0"/>
                <w:szCs w:val="21"/>
              </w:rPr>
            </w:pPr>
          </w:p>
        </w:tc>
        <w:tc>
          <w:tcPr>
            <w:tcW w:w="975" w:type="dxa"/>
            <w:vMerge w:val="continue"/>
            <w:tcBorders>
              <w:left w:val="single" w:color="auto" w:sz="4" w:space="0"/>
              <w:right w:val="single" w:color="auto" w:sz="4" w:space="0"/>
            </w:tcBorders>
            <w:vAlign w:val="center"/>
          </w:tcPr>
          <w:p>
            <w:pPr>
              <w:widowControl/>
              <w:jc w:val="center"/>
              <w:rPr>
                <w:rFonts w:ascii="Times New Roman" w:hAnsi="Times New Roman"/>
                <w:kern w:val="0"/>
                <w:szCs w:val="21"/>
              </w:rPr>
            </w:pPr>
          </w:p>
        </w:tc>
        <w:tc>
          <w:tcPr>
            <w:tcW w:w="6790" w:type="dxa"/>
            <w:tcBorders>
              <w:top w:val="single" w:color="auto" w:sz="4" w:space="0"/>
              <w:left w:val="single" w:color="auto" w:sz="4" w:space="0"/>
              <w:right w:val="single" w:color="auto" w:sz="4" w:space="0"/>
            </w:tcBorders>
            <w:vAlign w:val="center"/>
          </w:tcPr>
          <w:p>
            <w:pPr>
              <w:rPr>
                <w:rFonts w:ascii="Times New Roman" w:hAnsi="Times New Roman"/>
                <w:b/>
                <w:szCs w:val="21"/>
              </w:rPr>
            </w:pPr>
            <w:r>
              <w:rPr>
                <w:rFonts w:hint="eastAsia"/>
                <w:b/>
                <w:szCs w:val="21"/>
              </w:rPr>
              <w:t>项目团队成员全部</w:t>
            </w:r>
            <w:r>
              <w:rPr>
                <w:bCs/>
                <w:szCs w:val="21"/>
              </w:rPr>
              <w:t>具有</w:t>
            </w:r>
            <w:r>
              <w:rPr>
                <w:b/>
                <w:szCs w:val="21"/>
              </w:rPr>
              <w:t>信息系统监理师（中级）证书</w:t>
            </w:r>
            <w:r>
              <w:rPr>
                <w:bCs/>
                <w:szCs w:val="21"/>
              </w:rPr>
              <w:t>，否则此项整体不得分</w:t>
            </w:r>
            <w:r>
              <w:rPr>
                <w:rFonts w:hint="eastAsia"/>
                <w:bCs/>
                <w:szCs w:val="21"/>
              </w:rPr>
              <w:t>。在此基础上，每具备以下资质证书中的1项得1分，该项最多得10分</w:t>
            </w:r>
            <w:r>
              <w:rPr>
                <w:rFonts w:ascii="Times New Roman" w:hAnsi="Times New Roman"/>
                <w:b/>
                <w:szCs w:val="21"/>
              </w:rPr>
              <w:t>（须提供证书复印件，并加盖投标人公章）：</w:t>
            </w:r>
          </w:p>
          <w:p>
            <w:pPr>
              <w:rPr>
                <w:kern w:val="0"/>
                <w:szCs w:val="21"/>
              </w:rPr>
            </w:pPr>
            <w:r>
              <w:rPr>
                <w:kern w:val="0"/>
                <w:szCs w:val="21"/>
              </w:rPr>
              <w:t>（1）系统规划与管理师（高级）证书；</w:t>
            </w:r>
          </w:p>
          <w:p>
            <w:pPr>
              <w:rPr>
                <w:kern w:val="0"/>
                <w:szCs w:val="21"/>
              </w:rPr>
            </w:pPr>
            <w:r>
              <w:rPr>
                <w:kern w:val="0"/>
                <w:szCs w:val="21"/>
              </w:rPr>
              <w:t>（2）信息系统项目管理师（高级）证书；</w:t>
            </w:r>
          </w:p>
          <w:p>
            <w:pPr>
              <w:rPr>
                <w:kern w:val="0"/>
                <w:szCs w:val="21"/>
              </w:rPr>
            </w:pPr>
            <w:r>
              <w:rPr>
                <w:kern w:val="0"/>
                <w:szCs w:val="21"/>
              </w:rPr>
              <w:t>（3）系统集成项目管理工程师（中级）证书；</w:t>
            </w:r>
          </w:p>
          <w:p>
            <w:pPr>
              <w:rPr>
                <w:kern w:val="0"/>
                <w:szCs w:val="21"/>
              </w:rPr>
            </w:pPr>
            <w:r>
              <w:rPr>
                <w:kern w:val="0"/>
                <w:szCs w:val="21"/>
              </w:rPr>
              <w:t>（4）软件评测师（中级）证书；</w:t>
            </w:r>
          </w:p>
          <w:p>
            <w:pPr>
              <w:rPr>
                <w:kern w:val="0"/>
                <w:szCs w:val="21"/>
              </w:rPr>
            </w:pPr>
            <w:r>
              <w:rPr>
                <w:kern w:val="0"/>
                <w:szCs w:val="21"/>
              </w:rPr>
              <w:t>（5）咨询工程师（投资）证书；</w:t>
            </w:r>
          </w:p>
          <w:p>
            <w:pPr>
              <w:rPr>
                <w:kern w:val="0"/>
                <w:szCs w:val="21"/>
              </w:rPr>
            </w:pPr>
            <w:r>
              <w:rPr>
                <w:kern w:val="0"/>
                <w:szCs w:val="21"/>
              </w:rPr>
              <w:t>（6）软件工程造价师证书；</w:t>
            </w:r>
          </w:p>
          <w:p>
            <w:pPr>
              <w:rPr>
                <w:kern w:val="0"/>
                <w:szCs w:val="21"/>
              </w:rPr>
            </w:pPr>
            <w:r>
              <w:rPr>
                <w:kern w:val="0"/>
                <w:szCs w:val="21"/>
              </w:rPr>
              <w:t>（7）注册信息安全专业人员（CISP）证书；</w:t>
            </w:r>
          </w:p>
          <w:p>
            <w:pPr>
              <w:rPr>
                <w:kern w:val="0"/>
                <w:szCs w:val="21"/>
              </w:rPr>
            </w:pPr>
            <w:r>
              <w:rPr>
                <w:kern w:val="0"/>
                <w:szCs w:val="21"/>
              </w:rPr>
              <w:t>（8）IT服务管理认证（ITIL）证书；</w:t>
            </w:r>
          </w:p>
          <w:p>
            <w:pPr>
              <w:rPr>
                <w:kern w:val="0"/>
                <w:szCs w:val="21"/>
              </w:rPr>
            </w:pPr>
            <w:r>
              <w:rPr>
                <w:kern w:val="0"/>
                <w:szCs w:val="21"/>
              </w:rPr>
              <w:t>（9）</w:t>
            </w:r>
            <w:r>
              <w:rPr>
                <w:rFonts w:hint="eastAsia"/>
                <w:kern w:val="0"/>
                <w:szCs w:val="21"/>
              </w:rPr>
              <w:t>数据库系统工程师（中级）证书；</w:t>
            </w:r>
          </w:p>
          <w:p>
            <w:pPr>
              <w:rPr>
                <w:rFonts w:ascii="Times New Roman" w:hAnsi="Times New Roman"/>
                <w:kern w:val="0"/>
                <w:szCs w:val="21"/>
              </w:rPr>
            </w:pPr>
            <w:r>
              <w:rPr>
                <w:rFonts w:hint="eastAsia"/>
                <w:kern w:val="0"/>
                <w:szCs w:val="21"/>
              </w:rPr>
              <w:t>（10）</w:t>
            </w:r>
            <w:r>
              <w:rPr>
                <w:kern w:val="0"/>
                <w:szCs w:val="21"/>
              </w:rPr>
              <w:t>信息安全保障人员认证证书（</w:t>
            </w:r>
            <w:r>
              <w:rPr>
                <w:rFonts w:hint="eastAsia"/>
                <w:kern w:val="0"/>
                <w:szCs w:val="21"/>
              </w:rPr>
              <w:t>安全运维</w:t>
            </w:r>
            <w:r>
              <w:rPr>
                <w:kern w:val="0"/>
                <w:szCs w:val="21"/>
              </w:rPr>
              <w:t>专业级）。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5"/>
              <w:ind w:firstLine="0"/>
              <w:jc w:val="center"/>
              <w:rPr>
                <w:sz w:val="21"/>
                <w:szCs w:val="21"/>
              </w:rPr>
            </w:pPr>
            <w:r>
              <w:rPr>
                <w:sz w:val="21"/>
                <w:szCs w:val="21"/>
              </w:rPr>
              <w:t>3</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价格</w:t>
            </w:r>
          </w:p>
          <w:p>
            <w:pPr>
              <w:jc w:val="center"/>
              <w:rPr>
                <w:rFonts w:ascii="Times New Roman" w:hAnsi="Times New Roman"/>
                <w:szCs w:val="21"/>
              </w:rPr>
            </w:pPr>
            <w:r>
              <w:rPr>
                <w:rFonts w:ascii="Times New Roman" w:hAnsi="Times New Roman"/>
                <w:szCs w:val="21"/>
              </w:rPr>
              <w:t>（10分）</w:t>
            </w:r>
          </w:p>
        </w:tc>
        <w:tc>
          <w:tcPr>
            <w:tcW w:w="77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ascii="Times New Roman" w:hAnsi="Times New Roman"/>
                <w:szCs w:val="21"/>
              </w:rPr>
              <w:t>满足招标文件要求且投标价格最低的投标报价为评标基准价，其价格分为满分。其他投标人的价格分统一按照下列公式计算：</w:t>
            </w:r>
          </w:p>
          <w:p>
            <w:pPr>
              <w:jc w:val="left"/>
              <w:rPr>
                <w:rFonts w:ascii="Times New Roman" w:hAnsi="Times New Roman"/>
                <w:szCs w:val="21"/>
              </w:rPr>
            </w:pPr>
            <w:r>
              <w:rPr>
                <w:rFonts w:ascii="Times New Roman" w:hAnsi="Times New Roman"/>
                <w:szCs w:val="21"/>
              </w:rPr>
              <w:t>投标报价得分＝（评标基准价/投标报价）×10分。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2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合计：100分</w:t>
            </w:r>
          </w:p>
        </w:tc>
      </w:tr>
    </w:tbl>
    <w:p>
      <w:pPr>
        <w:pStyle w:val="5"/>
        <w:ind w:firstLine="400"/>
        <w:jc w:val="center"/>
        <w:rPr>
          <w:rFonts w:ascii="宋体" w:hAnsi="宋体" w:cs="宋体"/>
        </w:rPr>
      </w:pPr>
      <w:r>
        <w:rPr>
          <w:rFonts w:hint="eastAsia" w:ascii="宋体" w:hAnsi="宋体" w:cs="宋体"/>
        </w:rPr>
        <w:br w:type="page"/>
      </w:r>
    </w:p>
    <w:p>
      <w:pPr>
        <w:pStyle w:val="45"/>
        <w:spacing w:line="360" w:lineRule="auto"/>
        <w:ind w:firstLine="602"/>
        <w:rPr>
          <w:rFonts w:ascii="宋体" w:hAnsi="宋体" w:eastAsia="宋体" w:cs="宋体"/>
          <w:sz w:val="30"/>
          <w:szCs w:val="30"/>
        </w:rPr>
      </w:pPr>
      <w:bookmarkStart w:id="848" w:name="_Toc100786195"/>
      <w:r>
        <w:rPr>
          <w:rFonts w:hint="eastAsia" w:ascii="宋体" w:hAnsi="宋体" w:eastAsia="宋体" w:cs="宋体"/>
          <w:sz w:val="30"/>
          <w:szCs w:val="30"/>
        </w:rPr>
        <w:t>第七章  采购需求</w:t>
      </w:r>
      <w:bookmarkEnd w:id="848"/>
    </w:p>
    <w:p>
      <w:pPr>
        <w:spacing w:line="360" w:lineRule="auto"/>
        <w:rPr>
          <w:b/>
          <w:sz w:val="36"/>
          <w:szCs w:val="36"/>
        </w:rPr>
      </w:pPr>
      <w:bookmarkStart w:id="849" w:name="一、产品需求及规格一览表"/>
      <w:bookmarkEnd w:id="849"/>
      <w:bookmarkStart w:id="850" w:name="OLE_LINK1"/>
      <w:bookmarkStart w:id="851" w:name="_Toc85461449"/>
      <w:bookmarkStart w:id="852" w:name="_Toc83722637"/>
      <w:bookmarkStart w:id="853" w:name="_Toc92789349"/>
      <w:bookmarkStart w:id="854" w:name="_Toc50760978"/>
      <w:bookmarkStart w:id="855" w:name="_Toc15435093"/>
      <w:bookmarkStart w:id="856" w:name="_Toc8999376"/>
      <w:bookmarkStart w:id="857" w:name="_Toc497489390"/>
      <w:r>
        <w:rPr>
          <w:rFonts w:hint="eastAsia"/>
          <w:b/>
          <w:sz w:val="36"/>
          <w:szCs w:val="36"/>
        </w:rPr>
        <w:t>第一包：多语言网站内容建设与运营推广</w:t>
      </w:r>
    </w:p>
    <w:bookmarkEnd w:id="850"/>
    <w:p>
      <w:pPr>
        <w:spacing w:line="360" w:lineRule="auto"/>
        <w:rPr>
          <w:rFonts w:asciiTheme="minorEastAsia" w:hAnsiTheme="minorEastAsia"/>
          <w:b/>
          <w:sz w:val="24"/>
        </w:rPr>
      </w:pPr>
      <w:bookmarkStart w:id="858" w:name="_Toc100786196"/>
      <w:r>
        <w:rPr>
          <w:rFonts w:hint="eastAsia" w:asciiTheme="minorEastAsia" w:hAnsiTheme="minorEastAsia"/>
          <w:b/>
          <w:sz w:val="24"/>
        </w:rPr>
        <w:t>一、概况</w:t>
      </w:r>
    </w:p>
    <w:p>
      <w:pPr>
        <w:spacing w:line="360" w:lineRule="auto"/>
        <w:ind w:firstLine="480" w:firstLineChars="200"/>
        <w:rPr>
          <w:rFonts w:asciiTheme="minorEastAsia" w:hAnsiTheme="minorEastAsia"/>
          <w:sz w:val="24"/>
        </w:rPr>
      </w:pPr>
      <w:r>
        <w:rPr>
          <w:rFonts w:hint="eastAsia" w:asciiTheme="minorEastAsia" w:hAnsiTheme="minorEastAsia"/>
          <w:sz w:val="24"/>
        </w:rPr>
        <w:t>北京旅游网（www.visitbeijing.com.cn）是北京市文化和旅游局监管的公共服务的官方网站，由北京市文化和旅游局宣传中心负责运营和监管。目前，网站提供中文（简/繁）、中文3G、英文、英文3G、法文、西文、日文、韩文、韩文3G、俄文7个语种、8种语言版本。网站面向海内外游客提供公共旅游和文化信息服务，宣传推广文旅资源和文旅服务，内容覆盖玩、吃、住、购、行、娱、展、演八大业态；同时，网站向世界展示北京的城市风貌，全面展现北京丰富的公共文化资源与旅游资源以及深厚的历史文化，讲述北京文化故事，有色彩、有温度地讲述北京源远流长的古都文化、蓬勃兴起的创新文化，让用户感受最新、最美、最好北京。</w:t>
      </w:r>
    </w:p>
    <w:p>
      <w:pPr>
        <w:spacing w:line="360" w:lineRule="auto"/>
        <w:ind w:firstLine="480" w:firstLineChars="200"/>
        <w:rPr>
          <w:rFonts w:asciiTheme="minorEastAsia" w:hAnsiTheme="minorEastAsia"/>
          <w:sz w:val="24"/>
        </w:rPr>
      </w:pPr>
      <w:r>
        <w:rPr>
          <w:rFonts w:hint="eastAsia" w:asciiTheme="minorEastAsia" w:hAnsiTheme="minorEastAsia"/>
          <w:sz w:val="24"/>
        </w:rPr>
        <w:t>北京旅游网于2010年年底上线，经过14年的持续建设与运营，建成PC端（多语言网站）和移动端（中英韩文3G网站）网站，为游客提供全方位的文旅信息服务、导航导览服务和资讯服务等。</w:t>
      </w:r>
    </w:p>
    <w:p>
      <w:pPr>
        <w:spacing w:line="360" w:lineRule="auto"/>
        <w:rPr>
          <w:rFonts w:asciiTheme="minorEastAsia" w:hAnsiTheme="minorEastAsia"/>
          <w:b/>
          <w:sz w:val="24"/>
        </w:rPr>
      </w:pPr>
    </w:p>
    <w:p>
      <w:pPr>
        <w:spacing w:line="360" w:lineRule="auto"/>
        <w:rPr>
          <w:rFonts w:asciiTheme="minorEastAsia" w:hAnsiTheme="minorEastAsia"/>
          <w:b/>
          <w:sz w:val="24"/>
        </w:rPr>
      </w:pPr>
      <w:r>
        <w:rPr>
          <w:rFonts w:hint="eastAsia" w:asciiTheme="minorEastAsia" w:hAnsiTheme="minorEastAsia"/>
          <w:b/>
          <w:sz w:val="24"/>
        </w:rPr>
        <w:t>二、项目建设内容</w:t>
      </w:r>
    </w:p>
    <w:p>
      <w:pPr>
        <w:spacing w:line="360" w:lineRule="auto"/>
        <w:ind w:firstLine="480" w:firstLineChars="200"/>
        <w:rPr>
          <w:rFonts w:asciiTheme="minorEastAsia" w:hAnsiTheme="minorEastAsia"/>
          <w:sz w:val="24"/>
        </w:rPr>
      </w:pPr>
      <w:bookmarkStart w:id="859" w:name="OLE_LINK4"/>
      <w:r>
        <w:rPr>
          <w:rFonts w:hint="eastAsia" w:asciiTheme="minorEastAsia" w:hAnsiTheme="minorEastAsia"/>
          <w:sz w:val="24"/>
        </w:rPr>
        <w:t>项目内容主要是对中文、英文、法文、西文、韩文、日文、俄文、繁体中文</w:t>
      </w:r>
      <w:r>
        <w:rPr>
          <w:rFonts w:asciiTheme="minorEastAsia" w:hAnsiTheme="minorEastAsia"/>
          <w:sz w:val="24"/>
        </w:rPr>
        <w:t>7个语种站、8种语言版本网站进行内容运维与宣传推广工作；对中英韩文的3G网站进行内容运维；维护旅游资源库平台；版权图库采购：借助多种渠道和资源对重点工作、重大活动进行宣推。</w:t>
      </w:r>
    </w:p>
    <w:bookmarkEnd w:id="859"/>
    <w:p>
      <w:pPr>
        <w:spacing w:line="360" w:lineRule="auto"/>
        <w:ind w:firstLine="482" w:firstLineChars="200"/>
        <w:rPr>
          <w:rFonts w:asciiTheme="minorEastAsia" w:hAnsiTheme="minorEastAsia"/>
          <w:b/>
          <w:sz w:val="24"/>
        </w:rPr>
      </w:pPr>
    </w:p>
    <w:p>
      <w:pPr>
        <w:spacing w:line="360" w:lineRule="auto"/>
        <w:rPr>
          <w:rFonts w:asciiTheme="minorEastAsia" w:hAnsiTheme="minorEastAsia"/>
          <w:b/>
          <w:sz w:val="24"/>
        </w:rPr>
      </w:pPr>
      <w:r>
        <w:rPr>
          <w:rFonts w:hint="eastAsia" w:asciiTheme="minorEastAsia" w:hAnsiTheme="minorEastAsia"/>
          <w:b/>
          <w:sz w:val="24"/>
        </w:rPr>
        <w:t>三、项目运营总体目标</w:t>
      </w:r>
    </w:p>
    <w:p>
      <w:pPr>
        <w:spacing w:line="360" w:lineRule="auto"/>
        <w:ind w:firstLine="480" w:firstLineChars="200"/>
        <w:rPr>
          <w:rFonts w:asciiTheme="minorEastAsia" w:hAnsiTheme="minorEastAsia"/>
          <w:sz w:val="24"/>
        </w:rPr>
      </w:pPr>
      <w:r>
        <w:rPr>
          <w:rFonts w:hint="eastAsia" w:asciiTheme="minorEastAsia" w:hAnsiTheme="minorEastAsia"/>
          <w:sz w:val="24"/>
        </w:rPr>
        <w:t>到</w:t>
      </w:r>
      <w:r>
        <w:rPr>
          <w:rFonts w:asciiTheme="minorEastAsia" w:hAnsiTheme="minorEastAsia"/>
          <w:sz w:val="24"/>
        </w:rPr>
        <w:t>2026年3月底</w:t>
      </w:r>
      <w:r>
        <w:rPr>
          <w:rFonts w:hint="eastAsia" w:asciiTheme="minorEastAsia" w:hAnsiTheme="minorEastAsia"/>
          <w:sz w:val="24"/>
        </w:rPr>
        <w:t>，将北京旅游网打造成面向主要海外客源地的多语种网站，将文旅产品、旅游线路、旅游入境政策和海外宣传推广活动信息及时准确地传递给国内外游客，扩大北京旅游网的知名度和影响力，提升北京旅游网的信息服务水平。为北京市政府国际版门户网站提供有关景区、交通、气象、餐饮、住宿等信息，根据需要发布突发事件预警、应急处置和救援等信息。按照《北京市</w:t>
      </w:r>
      <w:r>
        <w:rPr>
          <w:rFonts w:asciiTheme="minorEastAsia" w:hAnsiTheme="minorEastAsia"/>
          <w:sz w:val="24"/>
        </w:rPr>
        <w:t>“</w:t>
      </w:r>
      <w:r>
        <w:rPr>
          <w:rFonts w:hint="eastAsia" w:asciiTheme="minorEastAsia" w:hAnsiTheme="minorEastAsia"/>
          <w:sz w:val="24"/>
        </w:rPr>
        <w:t>十四五</w:t>
      </w:r>
      <w:r>
        <w:rPr>
          <w:rFonts w:asciiTheme="minorEastAsia" w:hAnsiTheme="minorEastAsia"/>
          <w:sz w:val="24"/>
        </w:rPr>
        <w:t>”</w:t>
      </w:r>
      <w:r>
        <w:rPr>
          <w:rFonts w:hint="eastAsia" w:asciiTheme="minorEastAsia" w:hAnsiTheme="minorEastAsia"/>
          <w:sz w:val="24"/>
        </w:rPr>
        <w:t>时期文化和旅游发展规划》要求（以实际实施要求及进度为准），升级针对境外游客精准信息资讯服务的</w:t>
      </w:r>
      <w:r>
        <w:rPr>
          <w:rFonts w:asciiTheme="minorEastAsia" w:hAnsiTheme="minorEastAsia"/>
          <w:sz w:val="24"/>
        </w:rPr>
        <w:t>“</w:t>
      </w:r>
      <w:r>
        <w:rPr>
          <w:rFonts w:hint="eastAsia" w:asciiTheme="minorEastAsia" w:hAnsiTheme="minorEastAsia"/>
          <w:sz w:val="24"/>
        </w:rPr>
        <w:t>智慧旅游</w:t>
      </w:r>
      <w:r>
        <w:rPr>
          <w:rFonts w:asciiTheme="minorEastAsia" w:hAnsiTheme="minorEastAsia"/>
          <w:sz w:val="24"/>
        </w:rPr>
        <w:t>”</w:t>
      </w:r>
      <w:r>
        <w:rPr>
          <w:rFonts w:hint="eastAsia" w:asciiTheme="minorEastAsia" w:hAnsiTheme="minorEastAsia"/>
          <w:sz w:val="24"/>
        </w:rPr>
        <w:t>服务体系；随着公共文化服务数字化建设工作的推进，在“北京旅游”形成集成式、多媒体覆盖的公共文化服务；依托北京博物馆之城建设，充分利用现有的以及规划建设中的各类博物馆资源，加大中华优秀传统文化的宣传教育力度，创新表达方式，大力彰显中华优秀传统文化魅力；宣传“大戏看北京”、“北京文化论坛”、“北京国际非遗周”等活动，增强品牌活动影响力；积极推进京郊乡村文化振兴，推动休闲生活与传统文化融合发展，宣传符合现代人需求的传统休闲文化；积极宣传体现首都特色的大型实景旅游演艺项目以及舞台艺术作品，提升首都旅游演艺国内外影响力；着力宣传长城精神文化，将长城国家文化公园打造为弘扬民族精神、传承中华文明的重要标志；促进非遗展示传播，加强非遗在国内外的推广传播。扩大北京旅游网的知名度和影响力，提升北京旅游网的信息服务水平。</w:t>
      </w:r>
    </w:p>
    <w:p>
      <w:pPr>
        <w:spacing w:line="360" w:lineRule="auto"/>
        <w:ind w:firstLine="480" w:firstLineChars="200"/>
        <w:rPr>
          <w:rFonts w:asciiTheme="minorEastAsia" w:hAnsiTheme="minorEastAsia"/>
          <w:sz w:val="24"/>
        </w:rPr>
      </w:pPr>
      <w:r>
        <w:rPr>
          <w:rFonts w:hint="eastAsia" w:asciiTheme="minorEastAsia" w:hAnsiTheme="minorEastAsia"/>
          <w:sz w:val="24"/>
        </w:rPr>
        <w:t>北京旅游网中文</w:t>
      </w:r>
      <w:r>
        <w:rPr>
          <w:rFonts w:asciiTheme="minorEastAsia" w:hAnsiTheme="minorEastAsia"/>
          <w:sz w:val="24"/>
        </w:rPr>
        <w:t>PC</w:t>
      </w:r>
      <w:r>
        <w:rPr>
          <w:rFonts w:hint="eastAsia" w:asciiTheme="minorEastAsia" w:hAnsiTheme="minorEastAsia"/>
          <w:sz w:val="24"/>
        </w:rPr>
        <w:t>网站在全国政府旅游网站群中居于前五位；全面提升北京旅游网多语言网站的访问数量，力争在到</w:t>
      </w:r>
      <w:r>
        <w:rPr>
          <w:rFonts w:asciiTheme="minorEastAsia" w:hAnsiTheme="minorEastAsia"/>
          <w:sz w:val="24"/>
        </w:rPr>
        <w:t>2026年3月底</w:t>
      </w:r>
      <w:r>
        <w:rPr>
          <w:rFonts w:hint="eastAsia" w:asciiTheme="minorEastAsia" w:hAnsiTheme="minorEastAsia"/>
          <w:sz w:val="24"/>
        </w:rPr>
        <w:t>完成原创文章数量≥6125篇，完成精编文章≥3593篇、翻译和转载文章数量≥43325篇，完成专题数量≥244个，资源库数据更新量≥</w:t>
      </w:r>
      <w:r>
        <w:rPr>
          <w:rFonts w:asciiTheme="minorEastAsia" w:hAnsiTheme="minorEastAsia"/>
          <w:sz w:val="24"/>
        </w:rPr>
        <w:t>4188</w:t>
      </w:r>
      <w:r>
        <w:rPr>
          <w:rFonts w:hint="eastAsia" w:asciiTheme="minorEastAsia" w:hAnsiTheme="minorEastAsia"/>
          <w:sz w:val="24"/>
        </w:rPr>
        <w:t>条，上传高清图片≥37500张，上传高清视频≥1650条。产生社会效益，为市民和游客做好文化旅游资讯服务，提升北京文化旅游工作的影响力。</w:t>
      </w:r>
    </w:p>
    <w:p>
      <w:pPr>
        <w:spacing w:line="360" w:lineRule="auto"/>
        <w:ind w:firstLine="480" w:firstLineChars="200"/>
        <w:rPr>
          <w:rFonts w:asciiTheme="minorEastAsia" w:hAnsiTheme="minorEastAsia"/>
          <w:sz w:val="24"/>
        </w:rPr>
      </w:pPr>
      <w:r>
        <w:rPr>
          <w:rFonts w:hint="eastAsia" w:asciiTheme="minorEastAsia" w:hAnsiTheme="minorEastAsia"/>
          <w:sz w:val="24"/>
        </w:rPr>
        <w:t>图像、视频后期制作：负责北京旅游网网站的所有图片加工处理、视频剪辑工作；完成所有拍摄的后期处理加工工作，形成可发布的图片和视频，供北京旅游网使用；需配合直播活动后期制作；熟练运用PC端专业剪辑软件和移动端快捷剪辑软件开展视频剪辑工作。</w:t>
      </w:r>
    </w:p>
    <w:p>
      <w:pPr>
        <w:spacing w:line="360" w:lineRule="auto"/>
        <w:ind w:firstLine="480" w:firstLineChars="200"/>
        <w:rPr>
          <w:rFonts w:asciiTheme="minorEastAsia" w:hAnsiTheme="minorEastAsia"/>
          <w:sz w:val="24"/>
        </w:rPr>
      </w:pPr>
      <w:r>
        <w:rPr>
          <w:rFonts w:hint="eastAsia" w:asciiTheme="minorEastAsia" w:hAnsiTheme="minorEastAsia"/>
          <w:sz w:val="24"/>
        </w:rPr>
        <w:t>摄影摄像：负责北京旅游网网站的所有摄影、摄像工作。</w:t>
      </w:r>
    </w:p>
    <w:p>
      <w:pPr>
        <w:spacing w:line="360" w:lineRule="auto"/>
        <w:ind w:firstLine="480" w:firstLineChars="200"/>
        <w:rPr>
          <w:rFonts w:asciiTheme="minorEastAsia" w:hAnsiTheme="minorEastAsia"/>
          <w:sz w:val="24"/>
        </w:rPr>
      </w:pPr>
      <w:r>
        <w:rPr>
          <w:rFonts w:hint="eastAsia" w:asciiTheme="minorEastAsia" w:hAnsiTheme="minorEastAsia" w:eastAsiaTheme="minorEastAsia"/>
          <w:sz w:val="24"/>
        </w:rPr>
        <w:t>部分指标将根据工作实际需要进行微调，各平台稿件可以共用，但要根据各语种站受众偏好进行必要的编辑。</w:t>
      </w:r>
    </w:p>
    <w:p>
      <w:pPr>
        <w:spacing w:line="360" w:lineRule="auto"/>
        <w:rPr>
          <w:rFonts w:asciiTheme="minorEastAsia" w:hAnsiTheme="minorEastAsia"/>
          <w:b/>
          <w:sz w:val="24"/>
        </w:rPr>
      </w:pPr>
    </w:p>
    <w:p>
      <w:pPr>
        <w:spacing w:line="360" w:lineRule="auto"/>
        <w:rPr>
          <w:rFonts w:asciiTheme="minorEastAsia" w:hAnsiTheme="minorEastAsia"/>
          <w:b/>
          <w:sz w:val="24"/>
        </w:rPr>
      </w:pPr>
      <w:r>
        <w:rPr>
          <w:rFonts w:hint="eastAsia" w:asciiTheme="minorEastAsia" w:hAnsiTheme="minorEastAsia"/>
          <w:b/>
          <w:sz w:val="24"/>
        </w:rPr>
        <w:t>四、</w:t>
      </w:r>
      <w:r>
        <w:rPr>
          <w:rFonts w:asciiTheme="minorEastAsia" w:hAnsiTheme="minorEastAsia"/>
          <w:b/>
          <w:sz w:val="24"/>
        </w:rPr>
        <w:t>8</w:t>
      </w:r>
      <w:r>
        <w:rPr>
          <w:rFonts w:hint="eastAsia" w:asciiTheme="minorEastAsia" w:hAnsiTheme="minorEastAsia"/>
          <w:b/>
          <w:sz w:val="24"/>
        </w:rPr>
        <w:t>种语言网站内容建设需求</w:t>
      </w:r>
    </w:p>
    <w:p>
      <w:pPr>
        <w:spacing w:line="360" w:lineRule="auto"/>
        <w:ind w:firstLine="482" w:firstLineChars="200"/>
        <w:rPr>
          <w:rFonts w:asciiTheme="minorEastAsia" w:hAnsiTheme="minorEastAsia"/>
          <w:b/>
          <w:sz w:val="24"/>
        </w:rPr>
      </w:pPr>
      <w:r>
        <w:rPr>
          <w:rFonts w:hint="eastAsia" w:asciiTheme="minorEastAsia" w:hAnsiTheme="minorEastAsia"/>
          <w:b/>
          <w:sz w:val="24"/>
        </w:rPr>
        <w:t>（一）中文</w:t>
      </w:r>
      <w:r>
        <w:rPr>
          <w:rFonts w:asciiTheme="minorEastAsia" w:hAnsiTheme="minorEastAsia"/>
          <w:b/>
          <w:sz w:val="24"/>
        </w:rPr>
        <w:t>PC</w:t>
      </w:r>
      <w:r>
        <w:rPr>
          <w:rFonts w:hint="eastAsia" w:asciiTheme="minorEastAsia" w:hAnsiTheme="minorEastAsia"/>
          <w:b/>
          <w:sz w:val="24"/>
        </w:rPr>
        <w:t>版网站和手机</w:t>
      </w:r>
      <w:r>
        <w:rPr>
          <w:rFonts w:asciiTheme="minorEastAsia" w:hAnsiTheme="minorEastAsia"/>
          <w:b/>
          <w:sz w:val="24"/>
        </w:rPr>
        <w:t>3G</w:t>
      </w:r>
      <w:r>
        <w:rPr>
          <w:rFonts w:hint="eastAsia" w:asciiTheme="minorEastAsia" w:hAnsiTheme="minorEastAsia"/>
          <w:b/>
          <w:sz w:val="24"/>
        </w:rPr>
        <w:t>版内容建设需求</w:t>
      </w:r>
    </w:p>
    <w:p>
      <w:pPr>
        <w:spacing w:line="360" w:lineRule="auto"/>
        <w:ind w:firstLine="480" w:firstLineChars="200"/>
        <w:rPr>
          <w:rFonts w:asciiTheme="minorEastAsia" w:hAnsiTheme="minorEastAsia"/>
          <w:sz w:val="24"/>
        </w:rPr>
      </w:pPr>
      <w:r>
        <w:rPr>
          <w:rFonts w:hint="eastAsia" w:asciiTheme="minorEastAsia" w:hAnsiTheme="minorEastAsia"/>
          <w:sz w:val="24"/>
        </w:rPr>
        <w:t>参考全球</w:t>
      </w:r>
      <w:r>
        <w:rPr>
          <w:rFonts w:asciiTheme="minorEastAsia" w:hAnsiTheme="minorEastAsia"/>
          <w:sz w:val="24"/>
        </w:rPr>
        <w:t>Alexa</w:t>
      </w:r>
      <w:r>
        <w:rPr>
          <w:rFonts w:hint="eastAsia" w:asciiTheme="minorEastAsia" w:hAnsiTheme="minorEastAsia"/>
          <w:sz w:val="24"/>
        </w:rPr>
        <w:t>综合排名中文</w:t>
      </w:r>
      <w:r>
        <w:rPr>
          <w:rFonts w:asciiTheme="minorEastAsia" w:hAnsiTheme="minorEastAsia"/>
          <w:sz w:val="24"/>
        </w:rPr>
        <w:t>PC</w:t>
      </w:r>
      <w:r>
        <w:rPr>
          <w:rFonts w:hint="eastAsia" w:asciiTheme="minorEastAsia" w:hAnsiTheme="minorEastAsia"/>
          <w:sz w:val="24"/>
        </w:rPr>
        <w:t>网站在全国政府文化旅游类网站群中居于前五位；全年365天网站运营维护；</w:t>
      </w:r>
      <w:r>
        <w:rPr>
          <w:rFonts w:asciiTheme="minorEastAsia" w:hAnsiTheme="minorEastAsia"/>
          <w:sz w:val="24"/>
        </w:rPr>
        <w:t>2026年3月底</w:t>
      </w:r>
      <w:r>
        <w:rPr>
          <w:rFonts w:hint="eastAsia" w:asciiTheme="minorEastAsia" w:hAnsiTheme="minorEastAsia"/>
          <w:sz w:val="24"/>
        </w:rPr>
        <w:t>完成原创文章</w:t>
      </w:r>
      <w:r>
        <w:rPr>
          <w:rFonts w:asciiTheme="minorEastAsia" w:hAnsiTheme="minorEastAsia"/>
          <w:sz w:val="24"/>
        </w:rPr>
        <w:t>3313</w:t>
      </w:r>
      <w:r>
        <w:rPr>
          <w:rFonts w:hint="eastAsia" w:asciiTheme="minorEastAsia" w:hAnsiTheme="minorEastAsia"/>
          <w:sz w:val="24"/>
        </w:rPr>
        <w:t>篇；精编文章</w:t>
      </w:r>
      <w:r>
        <w:rPr>
          <w:rFonts w:asciiTheme="minorEastAsia" w:hAnsiTheme="minorEastAsia"/>
          <w:sz w:val="24"/>
        </w:rPr>
        <w:t>3593</w:t>
      </w:r>
      <w:r>
        <w:rPr>
          <w:rFonts w:hint="eastAsia" w:asciiTheme="minorEastAsia" w:hAnsiTheme="minorEastAsia"/>
          <w:sz w:val="24"/>
        </w:rPr>
        <w:t>篇；转载文章</w:t>
      </w:r>
      <w:r>
        <w:rPr>
          <w:rFonts w:asciiTheme="minorEastAsia" w:hAnsiTheme="minorEastAsia"/>
          <w:sz w:val="24"/>
        </w:rPr>
        <w:t>24325</w:t>
      </w:r>
      <w:r>
        <w:rPr>
          <w:rFonts w:hint="eastAsia" w:asciiTheme="minorEastAsia" w:hAnsiTheme="minorEastAsia"/>
          <w:sz w:val="24"/>
        </w:rPr>
        <w:t>篇；上传高清图片</w:t>
      </w:r>
      <w:r>
        <w:rPr>
          <w:rFonts w:asciiTheme="minorEastAsia" w:hAnsiTheme="minorEastAsia"/>
          <w:sz w:val="24"/>
        </w:rPr>
        <w:t>31250</w:t>
      </w:r>
      <w:r>
        <w:rPr>
          <w:rFonts w:hint="eastAsia" w:asciiTheme="minorEastAsia" w:hAnsiTheme="minorEastAsia"/>
          <w:sz w:val="24"/>
        </w:rPr>
        <w:t>张；上传高清视频</w:t>
      </w:r>
      <w:r>
        <w:rPr>
          <w:rFonts w:asciiTheme="minorEastAsia" w:hAnsiTheme="minorEastAsia"/>
          <w:sz w:val="24"/>
        </w:rPr>
        <w:t>1000</w:t>
      </w:r>
      <w:r>
        <w:rPr>
          <w:rFonts w:hint="eastAsia" w:asciiTheme="minorEastAsia" w:hAnsiTheme="minorEastAsia"/>
          <w:sz w:val="24"/>
        </w:rPr>
        <w:t>个；专题制作上线</w:t>
      </w:r>
      <w:r>
        <w:rPr>
          <w:rFonts w:asciiTheme="minorEastAsia" w:hAnsiTheme="minorEastAsia"/>
          <w:sz w:val="24"/>
        </w:rPr>
        <w:t>113</w:t>
      </w:r>
      <w:r>
        <w:rPr>
          <w:rFonts w:hint="eastAsia" w:asciiTheme="minorEastAsia" w:hAnsiTheme="minorEastAsia"/>
          <w:sz w:val="24"/>
        </w:rPr>
        <w:t>个；全年配合支持宣传活动不少于</w:t>
      </w:r>
      <w:r>
        <w:rPr>
          <w:rFonts w:asciiTheme="minorEastAsia" w:hAnsiTheme="minorEastAsia"/>
          <w:sz w:val="24"/>
        </w:rPr>
        <w:t>38</w:t>
      </w:r>
      <w:r>
        <w:rPr>
          <w:rFonts w:hint="eastAsia" w:asciiTheme="minorEastAsia" w:hAnsiTheme="minorEastAsia"/>
          <w:sz w:val="24"/>
        </w:rPr>
        <w:t>个（包括漫步北京、网红打卡地、品读建筑、畅游京郊、文旅体验基地、非遗传承、中</w:t>
      </w:r>
      <w:r>
        <w:rPr>
          <w:rFonts w:asciiTheme="minorEastAsia" w:hAnsiTheme="minorEastAsia"/>
          <w:sz w:val="24"/>
        </w:rPr>
        <w:t>国</w:t>
      </w:r>
      <w:r>
        <w:rPr>
          <w:rFonts w:hint="eastAsia" w:asciiTheme="minorEastAsia" w:hAnsiTheme="minorEastAsia"/>
          <w:sz w:val="24"/>
        </w:rPr>
        <w:t>戏曲周等）；各类会议、活动、主题专访不少于</w:t>
      </w:r>
      <w:r>
        <w:rPr>
          <w:rFonts w:asciiTheme="minorEastAsia" w:hAnsiTheme="minorEastAsia"/>
          <w:sz w:val="24"/>
        </w:rPr>
        <w:t>25</w:t>
      </w:r>
      <w:r>
        <w:rPr>
          <w:rFonts w:hint="eastAsia" w:asciiTheme="minorEastAsia" w:hAnsiTheme="minorEastAsia"/>
          <w:sz w:val="24"/>
        </w:rPr>
        <w:t>个；网站舆情监控。</w:t>
      </w:r>
    </w:p>
    <w:p>
      <w:pPr>
        <w:spacing w:line="360" w:lineRule="auto"/>
        <w:ind w:firstLine="480" w:firstLineChars="200"/>
        <w:rPr>
          <w:rFonts w:asciiTheme="minorEastAsia" w:hAnsiTheme="minorEastAsia"/>
          <w:sz w:val="24"/>
        </w:rPr>
      </w:pPr>
      <w:r>
        <w:rPr>
          <w:rFonts w:hint="eastAsia" w:asciiTheme="minorEastAsia" w:hAnsiTheme="minorEastAsia"/>
          <w:sz w:val="24"/>
        </w:rPr>
        <w:t>根据北京未来的城市发展战略定位，突出京津冀旅游协同发展需要，紧贴时代背景、重大事件，请投标人结合运营总体目标，给出中文</w:t>
      </w:r>
      <w:r>
        <w:rPr>
          <w:rFonts w:asciiTheme="minorEastAsia" w:hAnsiTheme="minorEastAsia"/>
          <w:sz w:val="24"/>
        </w:rPr>
        <w:t>PC</w:t>
      </w:r>
      <w:r>
        <w:rPr>
          <w:rFonts w:hint="eastAsia" w:asciiTheme="minorEastAsia" w:hAnsiTheme="minorEastAsia"/>
          <w:sz w:val="24"/>
        </w:rPr>
        <w:t>网站和手机</w:t>
      </w:r>
      <w:r>
        <w:rPr>
          <w:rFonts w:asciiTheme="minorEastAsia" w:hAnsiTheme="minorEastAsia"/>
          <w:sz w:val="24"/>
        </w:rPr>
        <w:t>3G</w:t>
      </w:r>
      <w:r>
        <w:rPr>
          <w:rFonts w:hint="eastAsia" w:asciiTheme="minorEastAsia" w:hAnsiTheme="minorEastAsia"/>
          <w:sz w:val="24"/>
        </w:rPr>
        <w:t>网站的内容建设与运营总体方案，包括但不限于人员配备、采编来源、重点内容建设方向、专题计划、编辑团队管理及运营规范、版权管理方案、网站流量提升方案、手机</w:t>
      </w:r>
      <w:r>
        <w:rPr>
          <w:rFonts w:asciiTheme="minorEastAsia" w:hAnsiTheme="minorEastAsia"/>
          <w:sz w:val="24"/>
        </w:rPr>
        <w:t>3G</w:t>
      </w:r>
      <w:r>
        <w:rPr>
          <w:rFonts w:hint="eastAsia" w:asciiTheme="minorEastAsia" w:hAnsiTheme="minorEastAsia"/>
          <w:sz w:val="24"/>
        </w:rPr>
        <w:t>网站运营总体方案和提升计划等。要求中文</w:t>
      </w:r>
      <w:r>
        <w:rPr>
          <w:rFonts w:asciiTheme="minorEastAsia" w:hAnsiTheme="minorEastAsia"/>
          <w:sz w:val="24"/>
        </w:rPr>
        <w:t>PC</w:t>
      </w:r>
      <w:r>
        <w:rPr>
          <w:rFonts w:hint="eastAsia" w:asciiTheme="minorEastAsia" w:hAnsiTheme="minorEastAsia"/>
          <w:sz w:val="24"/>
        </w:rPr>
        <w:t>网站和中文</w:t>
      </w:r>
      <w:r>
        <w:rPr>
          <w:rFonts w:asciiTheme="minorEastAsia" w:hAnsiTheme="minorEastAsia"/>
          <w:sz w:val="24"/>
        </w:rPr>
        <w:t>3G</w:t>
      </w:r>
      <w:r>
        <w:rPr>
          <w:rFonts w:hint="eastAsia" w:asciiTheme="minorEastAsia" w:hAnsiTheme="minorEastAsia"/>
          <w:sz w:val="24"/>
        </w:rPr>
        <w:t>网站在内容建设上，根据各自受众用户需求，提供准确、丰富、实用的文化旅游资讯。</w:t>
      </w:r>
    </w:p>
    <w:p>
      <w:pPr>
        <w:spacing w:line="360" w:lineRule="auto"/>
        <w:ind w:firstLine="480" w:firstLineChars="200"/>
        <w:rPr>
          <w:rFonts w:asciiTheme="minorEastAsia" w:hAnsiTheme="minorEastAsia"/>
          <w:b/>
          <w:sz w:val="24"/>
        </w:rPr>
      </w:pPr>
      <w:r>
        <w:rPr>
          <w:rFonts w:hint="eastAsia" w:asciiTheme="minorEastAsia" w:hAnsiTheme="minorEastAsia"/>
          <w:sz w:val="24"/>
        </w:rPr>
        <w:t>北京旅游网中文</w:t>
      </w:r>
      <w:r>
        <w:rPr>
          <w:rFonts w:asciiTheme="minorEastAsia" w:hAnsiTheme="minorEastAsia"/>
          <w:sz w:val="24"/>
        </w:rPr>
        <w:t>PC</w:t>
      </w:r>
      <w:r>
        <w:rPr>
          <w:rFonts w:hint="eastAsia" w:asciiTheme="minorEastAsia" w:hAnsiTheme="minorEastAsia"/>
          <w:sz w:val="24"/>
        </w:rPr>
        <w:t>网站版面是</w:t>
      </w:r>
      <w:r>
        <w:rPr>
          <w:rFonts w:asciiTheme="minorEastAsia" w:hAnsiTheme="minorEastAsia"/>
          <w:sz w:val="24"/>
        </w:rPr>
        <w:t>2019</w:t>
      </w:r>
      <w:r>
        <w:rPr>
          <w:rFonts w:hint="eastAsia" w:asciiTheme="minorEastAsia" w:hAnsiTheme="minorEastAsia"/>
          <w:sz w:val="24"/>
        </w:rPr>
        <w:t>年上线的，</w:t>
      </w:r>
      <w:r>
        <w:rPr>
          <w:rFonts w:asciiTheme="minorEastAsia" w:hAnsiTheme="minorEastAsia"/>
          <w:sz w:val="24"/>
        </w:rPr>
        <w:t>2022</w:t>
      </w:r>
      <w:r>
        <w:rPr>
          <w:rFonts w:hint="eastAsia" w:asciiTheme="minorEastAsia" w:hAnsiTheme="minorEastAsia"/>
          <w:sz w:val="24"/>
        </w:rPr>
        <w:t>年对版面进行改版升级，将根据网站定位、功能特点以及北京市文化和旅游局的功能定位和工作需要，优化中文版网站栏目和版面，继续增加文化内容占比，全面展现北京首都源远流长的古都文化、丰富厚重的红色文化、特色鲜明的京味文化和蓬勃兴起的创新文化。请投标人在充分了解北京旅游网中文版网站现有内容组成以及用户群体特征基础上，提出中文版网站运营方案，包括但不限于版面设计、内容建设、导航栏优化、服务与交互功能提升、技术运维等。</w:t>
      </w:r>
    </w:p>
    <w:p>
      <w:pPr>
        <w:spacing w:line="360" w:lineRule="auto"/>
        <w:ind w:firstLine="482" w:firstLineChars="200"/>
        <w:rPr>
          <w:rFonts w:asciiTheme="minorEastAsia" w:hAnsiTheme="minorEastAsia"/>
          <w:b/>
          <w:sz w:val="24"/>
        </w:rPr>
      </w:pPr>
      <w:r>
        <w:rPr>
          <w:rFonts w:hint="eastAsia" w:asciiTheme="minorEastAsia" w:hAnsiTheme="minorEastAsia"/>
          <w:b/>
          <w:sz w:val="24"/>
        </w:rPr>
        <w:t>（二）英文</w:t>
      </w:r>
      <w:r>
        <w:rPr>
          <w:rFonts w:asciiTheme="minorEastAsia" w:hAnsiTheme="minorEastAsia"/>
          <w:b/>
          <w:sz w:val="24"/>
        </w:rPr>
        <w:t>PC</w:t>
      </w:r>
      <w:r>
        <w:rPr>
          <w:rFonts w:hint="eastAsia" w:asciiTheme="minorEastAsia" w:hAnsiTheme="minorEastAsia"/>
          <w:b/>
          <w:sz w:val="24"/>
        </w:rPr>
        <w:t>版网站和手机</w:t>
      </w:r>
      <w:r>
        <w:rPr>
          <w:rFonts w:asciiTheme="minorEastAsia" w:hAnsiTheme="minorEastAsia"/>
          <w:b/>
          <w:sz w:val="24"/>
        </w:rPr>
        <w:t>3G</w:t>
      </w:r>
      <w:r>
        <w:rPr>
          <w:rFonts w:hint="eastAsia" w:asciiTheme="minorEastAsia" w:hAnsiTheme="minorEastAsia"/>
          <w:b/>
          <w:sz w:val="24"/>
        </w:rPr>
        <w:t>版内容建设需求</w:t>
      </w:r>
    </w:p>
    <w:p>
      <w:pPr>
        <w:spacing w:line="360" w:lineRule="auto"/>
        <w:ind w:firstLine="480" w:firstLineChars="200"/>
        <w:rPr>
          <w:rFonts w:asciiTheme="minorEastAsia" w:hAnsiTheme="minorEastAsia"/>
          <w:sz w:val="24"/>
        </w:rPr>
      </w:pPr>
      <w:r>
        <w:rPr>
          <w:rFonts w:hint="eastAsia" w:asciiTheme="minorEastAsia" w:hAnsiTheme="minorEastAsia"/>
          <w:sz w:val="24"/>
        </w:rPr>
        <w:t>全年</w:t>
      </w:r>
      <w:r>
        <w:rPr>
          <w:rFonts w:asciiTheme="minorEastAsia" w:hAnsiTheme="minorEastAsia"/>
          <w:sz w:val="24"/>
        </w:rPr>
        <w:t>365天网站运营维护；完成原创文章1838</w:t>
      </w:r>
      <w:r>
        <w:rPr>
          <w:rFonts w:hint="eastAsia" w:asciiTheme="minorEastAsia" w:hAnsiTheme="minorEastAsia"/>
          <w:sz w:val="24"/>
        </w:rPr>
        <w:t>篇；转载文章</w:t>
      </w:r>
      <w:r>
        <w:rPr>
          <w:rFonts w:asciiTheme="minorEastAsia" w:hAnsiTheme="minorEastAsia"/>
          <w:sz w:val="24"/>
        </w:rPr>
        <w:t>6875</w:t>
      </w:r>
      <w:r>
        <w:rPr>
          <w:rFonts w:hint="eastAsia" w:asciiTheme="minorEastAsia" w:hAnsiTheme="minorEastAsia"/>
          <w:sz w:val="24"/>
        </w:rPr>
        <w:t>篇；翻译文章</w:t>
      </w:r>
      <w:r>
        <w:rPr>
          <w:rFonts w:asciiTheme="minorEastAsia" w:hAnsiTheme="minorEastAsia"/>
          <w:sz w:val="24"/>
        </w:rPr>
        <w:t>5625</w:t>
      </w:r>
      <w:r>
        <w:rPr>
          <w:rFonts w:hint="eastAsia" w:asciiTheme="minorEastAsia" w:hAnsiTheme="minorEastAsia"/>
          <w:sz w:val="24"/>
        </w:rPr>
        <w:t>篇；采集上传高清图片</w:t>
      </w:r>
      <w:r>
        <w:rPr>
          <w:rFonts w:asciiTheme="minorEastAsia" w:hAnsiTheme="minorEastAsia"/>
          <w:sz w:val="24"/>
        </w:rPr>
        <w:t>5000</w:t>
      </w:r>
      <w:r>
        <w:rPr>
          <w:rFonts w:hint="eastAsia" w:asciiTheme="minorEastAsia" w:hAnsiTheme="minorEastAsia"/>
          <w:sz w:val="24"/>
        </w:rPr>
        <w:t>张；采集上传高清视频</w:t>
      </w:r>
      <w:r>
        <w:rPr>
          <w:rFonts w:asciiTheme="minorEastAsia" w:hAnsiTheme="minorEastAsia"/>
          <w:sz w:val="24"/>
        </w:rPr>
        <w:t>250</w:t>
      </w:r>
      <w:r>
        <w:rPr>
          <w:rFonts w:hint="eastAsia" w:asciiTheme="minorEastAsia" w:hAnsiTheme="minorEastAsia"/>
          <w:sz w:val="24"/>
        </w:rPr>
        <w:t>个；制作专题</w:t>
      </w:r>
      <w:r>
        <w:rPr>
          <w:rFonts w:asciiTheme="minorEastAsia" w:hAnsiTheme="minorEastAsia"/>
          <w:sz w:val="24"/>
        </w:rPr>
        <w:t>57</w:t>
      </w:r>
      <w:r>
        <w:rPr>
          <w:rFonts w:hint="eastAsia" w:asciiTheme="minorEastAsia" w:hAnsiTheme="minorEastAsia"/>
          <w:sz w:val="24"/>
        </w:rPr>
        <w:t>个；全年配合支持宣传活动不少于</w:t>
      </w:r>
      <w:r>
        <w:rPr>
          <w:rFonts w:asciiTheme="minorEastAsia" w:hAnsiTheme="minorEastAsia"/>
          <w:sz w:val="24"/>
        </w:rPr>
        <w:t>38</w:t>
      </w:r>
      <w:r>
        <w:rPr>
          <w:rFonts w:hint="eastAsia" w:asciiTheme="minorEastAsia" w:hAnsiTheme="minorEastAsia"/>
          <w:sz w:val="24"/>
        </w:rPr>
        <w:t>个（包括围绕市文化和旅游局系统的重要活动进行宣传）；完成各类会议、活动、主题专访不少于</w:t>
      </w:r>
      <w:r>
        <w:rPr>
          <w:rFonts w:asciiTheme="minorEastAsia" w:hAnsiTheme="minorEastAsia"/>
          <w:sz w:val="24"/>
        </w:rPr>
        <w:t>13</w:t>
      </w:r>
      <w:r>
        <w:rPr>
          <w:rFonts w:hint="eastAsia" w:asciiTheme="minorEastAsia" w:hAnsiTheme="minorEastAsia"/>
          <w:sz w:val="24"/>
        </w:rPr>
        <w:t>个；网站舆情监控等。</w:t>
      </w:r>
    </w:p>
    <w:p>
      <w:pPr>
        <w:spacing w:line="360" w:lineRule="auto"/>
        <w:ind w:firstLine="480" w:firstLineChars="200"/>
        <w:rPr>
          <w:rFonts w:asciiTheme="minorEastAsia" w:hAnsiTheme="minorEastAsia"/>
          <w:sz w:val="24"/>
        </w:rPr>
      </w:pPr>
      <w:r>
        <w:rPr>
          <w:rFonts w:hint="eastAsia" w:asciiTheme="minorEastAsia" w:hAnsiTheme="minorEastAsia"/>
          <w:sz w:val="24"/>
        </w:rPr>
        <w:t>英文版</w:t>
      </w:r>
      <w:r>
        <w:rPr>
          <w:rFonts w:asciiTheme="minorEastAsia" w:hAnsiTheme="minorEastAsia"/>
          <w:sz w:val="24"/>
        </w:rPr>
        <w:t>PC</w:t>
      </w:r>
      <w:r>
        <w:rPr>
          <w:rFonts w:hint="eastAsia" w:asciiTheme="minorEastAsia" w:hAnsiTheme="minorEastAsia"/>
          <w:sz w:val="24"/>
        </w:rPr>
        <w:t>网站面向海外旅游市场，切实为游客提供旅游参考信息，宣传推介北京优质旅游资源、北京深厚的文化底蕴和城市风貌，力求成为海外游客了解北京文化旅游资源、文化旅游产品的窗口和有效途径。请投标人在充分了解现有北京旅游网英文版</w:t>
      </w:r>
      <w:r>
        <w:rPr>
          <w:rFonts w:asciiTheme="minorEastAsia" w:hAnsiTheme="minorEastAsia"/>
          <w:sz w:val="24"/>
        </w:rPr>
        <w:t>PC</w:t>
      </w:r>
      <w:r>
        <w:rPr>
          <w:rFonts w:hint="eastAsia" w:asciiTheme="minorEastAsia" w:hAnsiTheme="minorEastAsia"/>
          <w:sz w:val="24"/>
        </w:rPr>
        <w:t>网站和</w:t>
      </w:r>
      <w:r>
        <w:rPr>
          <w:rFonts w:asciiTheme="minorEastAsia" w:hAnsiTheme="minorEastAsia"/>
          <w:sz w:val="24"/>
        </w:rPr>
        <w:t>3G</w:t>
      </w:r>
      <w:r>
        <w:rPr>
          <w:rFonts w:hint="eastAsia" w:asciiTheme="minorEastAsia" w:hAnsiTheme="minorEastAsia"/>
          <w:sz w:val="24"/>
        </w:rPr>
        <w:t>网站内容组成以及目标用户群体特征和习惯，给出合理完善的英文版内容建设总体方案，包括但不限于采编来源、重点内容建设方向、专题计划、编辑团队管理及运营规范、</w:t>
      </w:r>
      <w:r>
        <w:rPr>
          <w:rFonts w:asciiTheme="minorEastAsia" w:hAnsiTheme="minorEastAsia"/>
          <w:sz w:val="24"/>
        </w:rPr>
        <w:t>3G</w:t>
      </w:r>
      <w:r>
        <w:rPr>
          <w:rFonts w:hint="eastAsia" w:asciiTheme="minorEastAsia" w:hAnsiTheme="minorEastAsia"/>
          <w:sz w:val="24"/>
        </w:rPr>
        <w:t>版网站运营总体方案、英文</w:t>
      </w:r>
      <w:r>
        <w:rPr>
          <w:rFonts w:asciiTheme="minorEastAsia" w:hAnsiTheme="minorEastAsia"/>
          <w:sz w:val="24"/>
        </w:rPr>
        <w:t>PC</w:t>
      </w:r>
      <w:r>
        <w:rPr>
          <w:rFonts w:hint="eastAsia" w:asciiTheme="minorEastAsia" w:hAnsiTheme="minorEastAsia"/>
          <w:sz w:val="24"/>
        </w:rPr>
        <w:t>网站与</w:t>
      </w:r>
      <w:r>
        <w:rPr>
          <w:rFonts w:asciiTheme="minorEastAsia" w:hAnsiTheme="minorEastAsia"/>
          <w:sz w:val="24"/>
        </w:rPr>
        <w:t>3G</w:t>
      </w:r>
      <w:r>
        <w:rPr>
          <w:rFonts w:hint="eastAsia" w:asciiTheme="minorEastAsia" w:hAnsiTheme="minorEastAsia"/>
          <w:sz w:val="24"/>
        </w:rPr>
        <w:t>网站运营的衍接与融合方案、重大活动的营销方案，突发及负面事件应急预案，用户需求调研及服务提升方案等，要求投标人综合北京市的城市发展定位与规划，聚焦入境旅游市场，彰显首都文化自信等方面，在功能、内容和互动方面有所创新，打造特色，增加用户粘性。</w:t>
      </w:r>
    </w:p>
    <w:p>
      <w:pPr>
        <w:spacing w:line="360" w:lineRule="auto"/>
        <w:ind w:firstLine="482" w:firstLineChars="200"/>
        <w:rPr>
          <w:rFonts w:asciiTheme="minorEastAsia" w:hAnsiTheme="minorEastAsia"/>
          <w:b/>
          <w:sz w:val="24"/>
        </w:rPr>
      </w:pPr>
      <w:r>
        <w:rPr>
          <w:rFonts w:hint="eastAsia" w:asciiTheme="minorEastAsia" w:hAnsiTheme="minorEastAsia"/>
          <w:b/>
          <w:sz w:val="24"/>
        </w:rPr>
        <w:t>（三）韩文</w:t>
      </w:r>
      <w:r>
        <w:rPr>
          <w:rFonts w:asciiTheme="minorEastAsia" w:hAnsiTheme="minorEastAsia"/>
          <w:b/>
          <w:sz w:val="24"/>
        </w:rPr>
        <w:t>PC</w:t>
      </w:r>
      <w:r>
        <w:rPr>
          <w:rFonts w:hint="eastAsia" w:asciiTheme="minorEastAsia" w:hAnsiTheme="minorEastAsia"/>
          <w:b/>
          <w:sz w:val="24"/>
        </w:rPr>
        <w:t>版网站和</w:t>
      </w:r>
      <w:r>
        <w:rPr>
          <w:rFonts w:asciiTheme="minorEastAsia" w:hAnsiTheme="minorEastAsia"/>
          <w:b/>
          <w:sz w:val="24"/>
        </w:rPr>
        <w:t>3G</w:t>
      </w:r>
      <w:r>
        <w:rPr>
          <w:rFonts w:hint="eastAsia" w:asciiTheme="minorEastAsia" w:hAnsiTheme="minorEastAsia"/>
          <w:b/>
          <w:sz w:val="24"/>
        </w:rPr>
        <w:t>版内容建设需求</w:t>
      </w:r>
    </w:p>
    <w:p>
      <w:pPr>
        <w:spacing w:line="360" w:lineRule="auto"/>
        <w:ind w:firstLine="480" w:firstLineChars="200"/>
        <w:rPr>
          <w:rFonts w:asciiTheme="minorEastAsia" w:hAnsiTheme="minorEastAsia"/>
          <w:sz w:val="24"/>
        </w:rPr>
      </w:pPr>
      <w:r>
        <w:rPr>
          <w:rFonts w:hint="eastAsia" w:asciiTheme="minorEastAsia" w:hAnsiTheme="minorEastAsia"/>
          <w:sz w:val="24"/>
        </w:rPr>
        <w:t>全年</w:t>
      </w:r>
      <w:r>
        <w:rPr>
          <w:rFonts w:asciiTheme="minorEastAsia" w:hAnsiTheme="minorEastAsia"/>
          <w:sz w:val="24"/>
        </w:rPr>
        <w:t>365天网站运营维护；完成原创文章</w:t>
      </w:r>
      <w:r>
        <w:rPr>
          <w:rFonts w:hint="eastAsia" w:asciiTheme="minorEastAsia" w:hAnsiTheme="minorEastAsia"/>
          <w:sz w:val="24"/>
        </w:rPr>
        <w:t>195篇；翻译转载文章2305篇；上传高清图片1875张；上传高清视频</w:t>
      </w:r>
      <w:r>
        <w:rPr>
          <w:rFonts w:asciiTheme="minorEastAsia" w:hAnsiTheme="minorEastAsia"/>
          <w:sz w:val="24"/>
        </w:rPr>
        <w:t>1</w:t>
      </w:r>
      <w:r>
        <w:rPr>
          <w:rFonts w:hint="eastAsia" w:asciiTheme="minorEastAsia" w:hAnsiTheme="minorEastAsia"/>
          <w:sz w:val="24"/>
        </w:rPr>
        <w:t>25个；专题制作</w:t>
      </w:r>
      <w:r>
        <w:rPr>
          <w:rFonts w:asciiTheme="minorEastAsia" w:hAnsiTheme="minorEastAsia"/>
          <w:sz w:val="24"/>
        </w:rPr>
        <w:t>15</w:t>
      </w:r>
      <w:r>
        <w:rPr>
          <w:rFonts w:hint="eastAsia" w:asciiTheme="minorEastAsia" w:hAnsiTheme="minorEastAsia"/>
          <w:sz w:val="24"/>
        </w:rPr>
        <w:t>个；配合支持宣传活动不少于38个（包括围绕市文化和旅游局系统的重要活动进行宣传）；需配合完成各类会议、活动、主题专访不少于13个；网站舆情监控等。</w:t>
      </w:r>
    </w:p>
    <w:p>
      <w:pPr>
        <w:spacing w:line="360" w:lineRule="auto"/>
        <w:ind w:firstLine="480" w:firstLineChars="200"/>
        <w:rPr>
          <w:rFonts w:asciiTheme="minorEastAsia" w:hAnsiTheme="minorEastAsia"/>
          <w:sz w:val="24"/>
          <w:shd w:val="clear" w:color="auto" w:fill="8DB3E2"/>
        </w:rPr>
      </w:pPr>
      <w:r>
        <w:rPr>
          <w:rFonts w:hint="eastAsia" w:asciiTheme="minorEastAsia" w:hAnsiTheme="minorEastAsia"/>
          <w:sz w:val="24"/>
        </w:rPr>
        <w:t>请投标人在充分了解现有北京旅游网韩文版</w:t>
      </w:r>
      <w:r>
        <w:rPr>
          <w:rFonts w:asciiTheme="minorEastAsia" w:hAnsiTheme="minorEastAsia"/>
          <w:sz w:val="24"/>
        </w:rPr>
        <w:t>PC</w:t>
      </w:r>
      <w:r>
        <w:rPr>
          <w:rFonts w:hint="eastAsia" w:asciiTheme="minorEastAsia" w:hAnsiTheme="minorEastAsia"/>
          <w:sz w:val="24"/>
        </w:rPr>
        <w:t>网站和</w:t>
      </w:r>
      <w:r>
        <w:rPr>
          <w:rFonts w:asciiTheme="minorEastAsia" w:hAnsiTheme="minorEastAsia"/>
          <w:sz w:val="24"/>
        </w:rPr>
        <w:t>3G</w:t>
      </w:r>
      <w:r>
        <w:rPr>
          <w:rFonts w:hint="eastAsia" w:asciiTheme="minorEastAsia" w:hAnsiTheme="minorEastAsia"/>
          <w:sz w:val="24"/>
        </w:rPr>
        <w:t>网站内容组成以及目标用户群体特征和习惯，给出合理完善的韩文版内容建设总体方案，包括但不限于采编来源、重点内容建设方向、专题计划、编辑团队管理及运营规范、</w:t>
      </w:r>
      <w:r>
        <w:rPr>
          <w:rFonts w:asciiTheme="minorEastAsia" w:hAnsiTheme="minorEastAsia"/>
          <w:sz w:val="24"/>
        </w:rPr>
        <w:t>3G</w:t>
      </w:r>
      <w:r>
        <w:rPr>
          <w:rFonts w:hint="eastAsia" w:asciiTheme="minorEastAsia" w:hAnsiTheme="minorEastAsia"/>
          <w:sz w:val="24"/>
        </w:rPr>
        <w:t>版网站运营总体方案、重大活动的营销方案，突发及负面事件应急预案，用户需求调研及服务提升方案等。在人员配备上，需要提供至少一名外籍母语专家。韩文改版方案力争在功能、内容和互动方面有所创新，打造特色，增加用户粘性。</w:t>
      </w:r>
    </w:p>
    <w:p>
      <w:pPr>
        <w:spacing w:line="360" w:lineRule="auto"/>
        <w:ind w:firstLine="482" w:firstLineChars="200"/>
        <w:rPr>
          <w:rFonts w:asciiTheme="minorEastAsia" w:hAnsiTheme="minorEastAsia"/>
          <w:b/>
          <w:sz w:val="24"/>
        </w:rPr>
      </w:pPr>
      <w:r>
        <w:rPr>
          <w:rFonts w:hint="eastAsia" w:asciiTheme="minorEastAsia" w:hAnsiTheme="minorEastAsia"/>
          <w:b/>
          <w:sz w:val="24"/>
        </w:rPr>
        <w:t>（四）日文</w:t>
      </w:r>
      <w:r>
        <w:rPr>
          <w:rFonts w:asciiTheme="minorEastAsia" w:hAnsiTheme="minorEastAsia"/>
          <w:b/>
          <w:sz w:val="24"/>
        </w:rPr>
        <w:t>PC</w:t>
      </w:r>
      <w:r>
        <w:rPr>
          <w:rFonts w:hint="eastAsia" w:asciiTheme="minorEastAsia" w:hAnsiTheme="minorEastAsia"/>
          <w:b/>
          <w:sz w:val="24"/>
        </w:rPr>
        <w:t>版网站内容建设需求</w:t>
      </w:r>
    </w:p>
    <w:p>
      <w:pPr>
        <w:spacing w:line="360" w:lineRule="auto"/>
        <w:ind w:firstLine="480" w:firstLineChars="200"/>
        <w:rPr>
          <w:rFonts w:asciiTheme="minorEastAsia" w:hAnsiTheme="minorEastAsia"/>
          <w:sz w:val="24"/>
        </w:rPr>
      </w:pPr>
      <w:r>
        <w:rPr>
          <w:rFonts w:hint="eastAsia" w:asciiTheme="minorEastAsia" w:hAnsiTheme="minorEastAsia"/>
          <w:sz w:val="24"/>
        </w:rPr>
        <w:t>全年</w:t>
      </w:r>
      <w:r>
        <w:rPr>
          <w:rFonts w:asciiTheme="minorEastAsia" w:hAnsiTheme="minorEastAsia"/>
          <w:sz w:val="24"/>
        </w:rPr>
        <w:t>365天网站运营维护；完成原创文章</w:t>
      </w:r>
      <w:r>
        <w:rPr>
          <w:rFonts w:hint="eastAsia" w:asciiTheme="minorEastAsia" w:hAnsiTheme="minorEastAsia"/>
          <w:sz w:val="24"/>
        </w:rPr>
        <w:t>195篇；翻译转载文章2305篇；上传高清图片1875张；上传高清视频</w:t>
      </w:r>
      <w:r>
        <w:rPr>
          <w:rFonts w:asciiTheme="minorEastAsia" w:hAnsiTheme="minorEastAsia"/>
          <w:sz w:val="24"/>
        </w:rPr>
        <w:t>1</w:t>
      </w:r>
      <w:r>
        <w:rPr>
          <w:rFonts w:hint="eastAsia" w:asciiTheme="minorEastAsia" w:hAnsiTheme="minorEastAsia"/>
          <w:sz w:val="24"/>
        </w:rPr>
        <w:t>25个；专题制作</w:t>
      </w:r>
      <w:r>
        <w:rPr>
          <w:rFonts w:asciiTheme="minorEastAsia" w:hAnsiTheme="minorEastAsia"/>
          <w:sz w:val="24"/>
        </w:rPr>
        <w:t>15</w:t>
      </w:r>
      <w:r>
        <w:rPr>
          <w:rFonts w:hint="eastAsia" w:asciiTheme="minorEastAsia" w:hAnsiTheme="minorEastAsia"/>
          <w:sz w:val="24"/>
        </w:rPr>
        <w:t>个；配合支持宣传活动不少于38个（包括围绕市文化和旅游局系统的重要活动进行宣传）；需配合完成各类会议、活动、主题专访不少于13个；网站舆情监控等。</w:t>
      </w:r>
    </w:p>
    <w:p>
      <w:pPr>
        <w:spacing w:line="360" w:lineRule="auto"/>
        <w:ind w:firstLine="480" w:firstLineChars="200"/>
        <w:rPr>
          <w:rFonts w:asciiTheme="minorEastAsia" w:hAnsiTheme="minorEastAsia"/>
          <w:sz w:val="24"/>
        </w:rPr>
      </w:pPr>
      <w:r>
        <w:rPr>
          <w:rFonts w:hint="eastAsia" w:asciiTheme="minorEastAsia" w:hAnsiTheme="minorEastAsia"/>
          <w:sz w:val="24"/>
        </w:rPr>
        <w:t>请投标人在充分了解现有北京旅游网日文版网站内容组成以及目标用户群体特征和习惯，给出合理完善日文版内容建设总体方案，包括但不限于采编来源、重点内容建设方向、专题计划、编辑团队管理及运营规范、重大活动的营销方案，突发及负面事件应急预案，用户需求调研及服务提升方案等。日文改版方案力争在功能、内容和互动方面有所创新，打造特色，增加用户粘性。</w:t>
      </w:r>
    </w:p>
    <w:p>
      <w:pPr>
        <w:spacing w:line="360" w:lineRule="auto"/>
        <w:ind w:firstLine="482" w:firstLineChars="200"/>
        <w:rPr>
          <w:rFonts w:asciiTheme="minorEastAsia" w:hAnsiTheme="minorEastAsia"/>
          <w:b/>
          <w:sz w:val="24"/>
        </w:rPr>
      </w:pPr>
      <w:r>
        <w:rPr>
          <w:rFonts w:hint="eastAsia" w:asciiTheme="minorEastAsia" w:hAnsiTheme="minorEastAsia"/>
          <w:b/>
          <w:sz w:val="24"/>
        </w:rPr>
        <w:t>（五）法、西、俄文版和繁体版网站内容建设需求</w:t>
      </w:r>
    </w:p>
    <w:p>
      <w:pPr>
        <w:spacing w:line="360" w:lineRule="auto"/>
        <w:ind w:firstLine="480" w:firstLineChars="200"/>
        <w:rPr>
          <w:rFonts w:asciiTheme="minorEastAsia" w:hAnsiTheme="minorEastAsia"/>
          <w:sz w:val="24"/>
        </w:rPr>
      </w:pPr>
      <w:r>
        <w:rPr>
          <w:rFonts w:hint="eastAsia" w:asciiTheme="minorEastAsia" w:hAnsiTheme="minorEastAsia"/>
          <w:sz w:val="24"/>
        </w:rPr>
        <w:t>全年法、俄、西文版网站</w:t>
      </w:r>
      <w:r>
        <w:rPr>
          <w:rFonts w:asciiTheme="minorEastAsia" w:hAnsiTheme="minorEastAsia"/>
          <w:sz w:val="24"/>
        </w:rPr>
        <w:t>365</w:t>
      </w:r>
      <w:r>
        <w:rPr>
          <w:rFonts w:hint="eastAsia" w:asciiTheme="minorEastAsia" w:hAnsiTheme="minorEastAsia"/>
          <w:sz w:val="24"/>
        </w:rPr>
        <w:t>天网站运营维护，分别完成原创文章195篇；翻译转载文章630篇；上传高清图片750张，上传视频50个；制作专题</w:t>
      </w:r>
      <w:r>
        <w:rPr>
          <w:rFonts w:asciiTheme="minorEastAsia" w:hAnsiTheme="minorEastAsia"/>
          <w:sz w:val="24"/>
        </w:rPr>
        <w:t>15</w:t>
      </w:r>
      <w:r>
        <w:rPr>
          <w:rFonts w:hint="eastAsia" w:asciiTheme="minorEastAsia" w:hAnsiTheme="minorEastAsia"/>
          <w:sz w:val="24"/>
        </w:rPr>
        <w:t>个；全年配合支持宣传活动不少于25个（包括围绕市文化和旅游局系统的重要活动进行宣传）；全年需配合完成各类会议、活动、主题专访不少于5个；网站舆情监控等。</w:t>
      </w:r>
    </w:p>
    <w:p>
      <w:pPr>
        <w:spacing w:line="360" w:lineRule="auto"/>
        <w:ind w:firstLine="480" w:firstLineChars="200"/>
        <w:rPr>
          <w:rFonts w:asciiTheme="minorEastAsia" w:hAnsiTheme="minorEastAsia"/>
          <w:sz w:val="24"/>
        </w:rPr>
      </w:pPr>
      <w:r>
        <w:rPr>
          <w:rFonts w:hint="eastAsia" w:asciiTheme="minorEastAsia" w:hAnsiTheme="minorEastAsia"/>
          <w:sz w:val="24"/>
        </w:rPr>
        <w:t>繁体版网站文章发布同中文简体。</w:t>
      </w:r>
    </w:p>
    <w:p>
      <w:pPr>
        <w:spacing w:line="360" w:lineRule="auto"/>
        <w:ind w:firstLine="480" w:firstLineChars="200"/>
        <w:rPr>
          <w:rFonts w:asciiTheme="minorEastAsia" w:hAnsiTheme="minorEastAsia"/>
          <w:sz w:val="24"/>
        </w:rPr>
      </w:pPr>
      <w:r>
        <w:rPr>
          <w:rFonts w:hint="eastAsia" w:asciiTheme="minorEastAsia" w:hAnsiTheme="minorEastAsia"/>
          <w:sz w:val="24"/>
        </w:rPr>
        <w:t>请投标人在充分了解现有北京旅游网法、西、俄文版和繁体版网站内容组成以及目标用户群体特征，理解上述指标基础上进行任务分解并形成内容建设与运营计划，包括但不限于采编来源、重点内容建设方向、专题计划、编辑团队管理及运营规范、推广方案、重大活动的营销方案，突发及负面事件应急预案，用户需求调研及服务提升方案等。</w:t>
      </w:r>
    </w:p>
    <w:p>
      <w:pPr>
        <w:spacing w:after="120"/>
        <w:ind w:firstLine="482" w:firstLineChars="200"/>
        <w:rPr>
          <w:rFonts w:asciiTheme="minorEastAsia" w:hAnsiTheme="minorEastAsia"/>
          <w:b/>
          <w:bCs/>
          <w:sz w:val="24"/>
        </w:rPr>
      </w:pPr>
      <w:r>
        <w:rPr>
          <w:rFonts w:hint="eastAsia" w:asciiTheme="minorEastAsia" w:hAnsiTheme="minorEastAsia"/>
          <w:b/>
          <w:bCs/>
          <w:sz w:val="24"/>
        </w:rPr>
        <w:t>（六）版权图库</w:t>
      </w:r>
    </w:p>
    <w:p>
      <w:pPr>
        <w:spacing w:line="360" w:lineRule="auto"/>
        <w:ind w:firstLine="480" w:firstLineChars="200"/>
        <w:rPr>
          <w:rFonts w:asciiTheme="minorEastAsia" w:hAnsiTheme="minorEastAsia"/>
          <w:sz w:val="24"/>
        </w:rPr>
      </w:pPr>
      <w:r>
        <w:rPr>
          <w:rFonts w:hint="eastAsia" w:asciiTheme="minorEastAsia" w:hAnsiTheme="minorEastAsia"/>
          <w:sz w:val="24"/>
        </w:rPr>
        <w:t>投标人需购买或自建版权图库图片，规避版权风险。</w:t>
      </w:r>
    </w:p>
    <w:p>
      <w:pPr>
        <w:spacing w:line="360" w:lineRule="auto"/>
        <w:rPr>
          <w:rFonts w:asciiTheme="minorEastAsia" w:hAnsiTheme="minorEastAsia"/>
          <w:b/>
          <w:sz w:val="24"/>
        </w:rPr>
      </w:pPr>
    </w:p>
    <w:p>
      <w:pPr>
        <w:spacing w:line="360" w:lineRule="auto"/>
        <w:rPr>
          <w:rFonts w:asciiTheme="minorEastAsia" w:hAnsiTheme="minorEastAsia"/>
          <w:b/>
          <w:sz w:val="24"/>
        </w:rPr>
      </w:pPr>
      <w:r>
        <w:rPr>
          <w:rFonts w:hint="eastAsia" w:asciiTheme="minorEastAsia" w:hAnsiTheme="minorEastAsia"/>
          <w:b/>
          <w:sz w:val="24"/>
        </w:rPr>
        <w:t>五、网站应用系统、网络、安全运行维护需求</w:t>
      </w:r>
    </w:p>
    <w:p>
      <w:pPr>
        <w:spacing w:line="360" w:lineRule="auto"/>
        <w:ind w:firstLine="482" w:firstLineChars="200"/>
        <w:rPr>
          <w:rFonts w:asciiTheme="minorEastAsia" w:hAnsiTheme="minorEastAsia"/>
          <w:b/>
          <w:sz w:val="24"/>
        </w:rPr>
      </w:pPr>
      <w:r>
        <w:rPr>
          <w:rFonts w:hint="eastAsia" w:asciiTheme="minorEastAsia" w:hAnsiTheme="minorEastAsia"/>
          <w:b/>
          <w:sz w:val="24"/>
        </w:rPr>
        <w:t>（一）应用系统：</w:t>
      </w:r>
    </w:p>
    <w:p>
      <w:pPr>
        <w:spacing w:line="360" w:lineRule="auto"/>
        <w:rPr>
          <w:rFonts w:asciiTheme="minorEastAsia" w:hAnsiTheme="minorEastAsia"/>
          <w:sz w:val="24"/>
        </w:rPr>
      </w:pPr>
      <w:r>
        <w:rPr>
          <w:rFonts w:hint="eastAsia" w:asciiTheme="minorEastAsia" w:hAnsiTheme="minorEastAsia"/>
          <w:sz w:val="24"/>
        </w:rPr>
        <w:t>目前北京旅游网基础性应用技术系统由</w:t>
      </w:r>
      <w:r>
        <w:rPr>
          <w:rFonts w:asciiTheme="minorEastAsia" w:hAnsiTheme="minorEastAsia"/>
          <w:sz w:val="24"/>
        </w:rPr>
        <w:t>11</w:t>
      </w:r>
      <w:r>
        <w:rPr>
          <w:rFonts w:hint="eastAsia" w:asciiTheme="minorEastAsia" w:hAnsiTheme="minorEastAsia"/>
          <w:sz w:val="24"/>
        </w:rPr>
        <w:t>个应用系统组成，具体如下表所示：</w:t>
      </w:r>
    </w:p>
    <w:tbl>
      <w:tblPr>
        <w:tblStyle w:val="48"/>
        <w:tblW w:w="8075" w:type="dxa"/>
        <w:tblInd w:w="0" w:type="dxa"/>
        <w:tblLayout w:type="fixed"/>
        <w:tblCellMar>
          <w:top w:w="0" w:type="dxa"/>
          <w:left w:w="108" w:type="dxa"/>
          <w:bottom w:w="0" w:type="dxa"/>
          <w:right w:w="108" w:type="dxa"/>
        </w:tblCellMar>
      </w:tblPr>
      <w:tblGrid>
        <w:gridCol w:w="1045"/>
        <w:gridCol w:w="7030"/>
      </w:tblGrid>
      <w:tr>
        <w:tblPrEx>
          <w:tblCellMar>
            <w:top w:w="0" w:type="dxa"/>
            <w:left w:w="108" w:type="dxa"/>
            <w:bottom w:w="0" w:type="dxa"/>
            <w:right w:w="108" w:type="dxa"/>
          </w:tblCellMar>
        </w:tblPrEx>
        <w:trPr>
          <w:trHeight w:val="270" w:hRule="atLeast"/>
        </w:trPr>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hint="eastAsia" w:asciiTheme="minorEastAsia" w:hAnsiTheme="minorEastAsia"/>
                <w:sz w:val="24"/>
              </w:rPr>
              <w:t>序号</w:t>
            </w:r>
          </w:p>
        </w:tc>
        <w:tc>
          <w:tcPr>
            <w:tcW w:w="7030" w:type="dxa"/>
            <w:tcBorders>
              <w:top w:val="single" w:color="auto" w:sz="4" w:space="0"/>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名称</w:t>
            </w:r>
          </w:p>
        </w:tc>
      </w:tr>
      <w:tr>
        <w:tblPrEx>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1</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多语种内容发布系统（</w:t>
            </w:r>
            <w:r>
              <w:rPr>
                <w:rFonts w:asciiTheme="minorEastAsia" w:hAnsiTheme="minorEastAsia"/>
                <w:sz w:val="24"/>
              </w:rPr>
              <w:t>CS</w:t>
            </w:r>
            <w:r>
              <w:rPr>
                <w:rFonts w:hint="eastAsia" w:asciiTheme="minorEastAsia" w:hAnsiTheme="minorEastAsia"/>
                <w:sz w:val="24"/>
              </w:rPr>
              <w:t>）</w:t>
            </w:r>
          </w:p>
        </w:tc>
      </w:tr>
      <w:tr>
        <w:tblPrEx>
          <w:tblCellMar>
            <w:top w:w="0" w:type="dxa"/>
            <w:left w:w="108" w:type="dxa"/>
            <w:bottom w:w="0" w:type="dxa"/>
            <w:right w:w="108" w:type="dxa"/>
          </w:tblCellMar>
        </w:tblPrEx>
        <w:trPr>
          <w:trHeight w:val="285"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2</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中文资源库系统</w:t>
            </w:r>
          </w:p>
        </w:tc>
      </w:tr>
      <w:tr>
        <w:tblPrEx>
          <w:tblCellMar>
            <w:top w:w="0" w:type="dxa"/>
            <w:left w:w="108" w:type="dxa"/>
            <w:bottom w:w="0" w:type="dxa"/>
            <w:right w:w="108" w:type="dxa"/>
          </w:tblCellMar>
        </w:tblPrEx>
        <w:trPr>
          <w:trHeight w:val="285"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3</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英文资源库系统</w:t>
            </w:r>
          </w:p>
        </w:tc>
      </w:tr>
      <w:tr>
        <w:tblPrEx>
          <w:tblCellMar>
            <w:top w:w="0" w:type="dxa"/>
            <w:left w:w="108" w:type="dxa"/>
            <w:bottom w:w="0" w:type="dxa"/>
            <w:right w:w="108" w:type="dxa"/>
          </w:tblCellMar>
        </w:tblPrEx>
        <w:trPr>
          <w:trHeight w:val="285"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4</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日文资源库系统</w:t>
            </w:r>
          </w:p>
        </w:tc>
      </w:tr>
      <w:tr>
        <w:tblPrEx>
          <w:tblCellMar>
            <w:top w:w="0" w:type="dxa"/>
            <w:left w:w="108" w:type="dxa"/>
            <w:bottom w:w="0" w:type="dxa"/>
            <w:right w:w="108" w:type="dxa"/>
          </w:tblCellMar>
        </w:tblPrEx>
        <w:trPr>
          <w:trHeight w:val="285"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5</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韩文资源库系统</w:t>
            </w:r>
          </w:p>
        </w:tc>
      </w:tr>
      <w:tr>
        <w:tblPrEx>
          <w:tblCellMar>
            <w:top w:w="0" w:type="dxa"/>
            <w:left w:w="108" w:type="dxa"/>
            <w:bottom w:w="0" w:type="dxa"/>
            <w:right w:w="108" w:type="dxa"/>
          </w:tblCellMar>
        </w:tblPrEx>
        <w:trPr>
          <w:trHeight w:val="285"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6</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法文资源库系统</w:t>
            </w:r>
          </w:p>
        </w:tc>
      </w:tr>
      <w:tr>
        <w:tblPrEx>
          <w:tblCellMar>
            <w:top w:w="0" w:type="dxa"/>
            <w:left w:w="108" w:type="dxa"/>
            <w:bottom w:w="0" w:type="dxa"/>
            <w:right w:w="108" w:type="dxa"/>
          </w:tblCellMar>
        </w:tblPrEx>
        <w:trPr>
          <w:trHeight w:val="285"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7</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西文资源库系统</w:t>
            </w:r>
          </w:p>
        </w:tc>
      </w:tr>
      <w:tr>
        <w:tblPrEx>
          <w:tblCellMar>
            <w:top w:w="0" w:type="dxa"/>
            <w:left w:w="108" w:type="dxa"/>
            <w:bottom w:w="0" w:type="dxa"/>
            <w:right w:w="108" w:type="dxa"/>
          </w:tblCellMar>
        </w:tblPrEx>
        <w:trPr>
          <w:trHeight w:val="285"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8</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俄文资源库系统</w:t>
            </w:r>
          </w:p>
        </w:tc>
      </w:tr>
      <w:tr>
        <w:tblPrEx>
          <w:tblCellMar>
            <w:top w:w="0" w:type="dxa"/>
            <w:left w:w="108" w:type="dxa"/>
            <w:bottom w:w="0" w:type="dxa"/>
            <w:right w:w="108" w:type="dxa"/>
          </w:tblCellMar>
        </w:tblPrEx>
        <w:trPr>
          <w:trHeight w:val="285"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9</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中文地图信息系统</w:t>
            </w:r>
          </w:p>
        </w:tc>
      </w:tr>
      <w:tr>
        <w:tblPrEx>
          <w:tblCellMar>
            <w:top w:w="0" w:type="dxa"/>
            <w:left w:w="108" w:type="dxa"/>
            <w:bottom w:w="0" w:type="dxa"/>
            <w:right w:w="108" w:type="dxa"/>
          </w:tblCellMar>
        </w:tblPrEx>
        <w:trPr>
          <w:trHeight w:val="285"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10</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景点流量监测发布系统</w:t>
            </w:r>
          </w:p>
        </w:tc>
      </w:tr>
      <w:tr>
        <w:tblPrEx>
          <w:tblCellMar>
            <w:top w:w="0" w:type="dxa"/>
            <w:left w:w="108" w:type="dxa"/>
            <w:bottom w:w="0" w:type="dxa"/>
            <w:right w:w="108" w:type="dxa"/>
          </w:tblCellMar>
        </w:tblPrEx>
        <w:trPr>
          <w:trHeight w:val="285" w:hRule="atLeast"/>
        </w:trPr>
        <w:tc>
          <w:tcPr>
            <w:tcW w:w="104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 w:val="24"/>
              </w:rPr>
            </w:pPr>
            <w:r>
              <w:rPr>
                <w:rFonts w:asciiTheme="minorEastAsia" w:hAnsiTheme="minorEastAsia"/>
                <w:sz w:val="24"/>
              </w:rPr>
              <w:t>11</w:t>
            </w:r>
          </w:p>
        </w:tc>
        <w:tc>
          <w:tcPr>
            <w:tcW w:w="7030" w:type="dxa"/>
            <w:tcBorders>
              <w:top w:val="nil"/>
              <w:left w:val="nil"/>
              <w:bottom w:val="single" w:color="auto" w:sz="4" w:space="0"/>
              <w:right w:val="single" w:color="auto" w:sz="4" w:space="0"/>
            </w:tcBorders>
            <w:vAlign w:val="center"/>
          </w:tcPr>
          <w:p>
            <w:pPr>
              <w:widowControl/>
              <w:spacing w:line="360" w:lineRule="auto"/>
              <w:rPr>
                <w:rFonts w:asciiTheme="minorEastAsia" w:hAnsiTheme="minorEastAsia"/>
                <w:sz w:val="24"/>
              </w:rPr>
            </w:pPr>
            <w:r>
              <w:rPr>
                <w:rFonts w:hint="eastAsia" w:asciiTheme="minorEastAsia" w:hAnsiTheme="minorEastAsia"/>
                <w:sz w:val="24"/>
              </w:rPr>
              <w:t>多语种虚拟旅游系统</w:t>
            </w:r>
          </w:p>
        </w:tc>
      </w:tr>
    </w:tbl>
    <w:p>
      <w:pPr>
        <w:spacing w:line="360" w:lineRule="auto"/>
        <w:ind w:left="420"/>
        <w:outlineLvl w:val="0"/>
        <w:rPr>
          <w:rFonts w:asciiTheme="minorEastAsia" w:hAnsiTheme="minorEastAsia"/>
          <w:b/>
          <w:sz w:val="24"/>
        </w:rPr>
      </w:pPr>
      <w:bookmarkStart w:id="860" w:name="_Toc465242201"/>
      <w:r>
        <w:rPr>
          <w:rFonts w:hint="eastAsia" w:asciiTheme="minorEastAsia" w:hAnsiTheme="minorEastAsia"/>
          <w:b/>
          <w:sz w:val="24"/>
        </w:rPr>
        <w:t>各应用系统主要功能：</w:t>
      </w:r>
      <w:bookmarkEnd w:id="860"/>
    </w:p>
    <w:p>
      <w:pPr>
        <w:spacing w:line="360" w:lineRule="auto"/>
        <w:ind w:firstLine="480" w:firstLineChars="200"/>
        <w:rPr>
          <w:rFonts w:asciiTheme="minorEastAsia" w:hAnsiTheme="minorEastAsia"/>
          <w:sz w:val="24"/>
        </w:rPr>
      </w:pPr>
      <w:r>
        <w:rPr>
          <w:rFonts w:hint="eastAsia" w:asciiTheme="minorEastAsia" w:hAnsiTheme="minorEastAsia"/>
          <w:sz w:val="24"/>
        </w:rPr>
        <w:t>多语种内容发布系统（</w:t>
      </w:r>
      <w:r>
        <w:rPr>
          <w:rFonts w:asciiTheme="minorEastAsia" w:hAnsiTheme="minorEastAsia"/>
          <w:sz w:val="24"/>
        </w:rPr>
        <w:t>CS</w:t>
      </w:r>
      <w:r>
        <w:rPr>
          <w:rFonts w:hint="eastAsia" w:asciiTheme="minorEastAsia" w:hAnsiTheme="minorEastAsia"/>
          <w:sz w:val="24"/>
        </w:rPr>
        <w:t>）：包括内容管理、模板管理、权限管理、搜索、系统管理、站点管理、专题系统、图片视频管理等。</w:t>
      </w:r>
    </w:p>
    <w:p>
      <w:pPr>
        <w:spacing w:line="360" w:lineRule="auto"/>
        <w:ind w:firstLine="480" w:firstLineChars="200"/>
        <w:rPr>
          <w:rFonts w:asciiTheme="minorEastAsia" w:hAnsiTheme="minorEastAsia"/>
          <w:sz w:val="24"/>
        </w:rPr>
      </w:pPr>
      <w:r>
        <w:rPr>
          <w:rFonts w:hint="eastAsia" w:asciiTheme="minorEastAsia" w:hAnsiTheme="minorEastAsia"/>
          <w:sz w:val="24"/>
        </w:rPr>
        <w:t>资源库系统：包括中文、英文、日文、韩文、法文、西文、俄文系统，包括业态数据展示、综合查询、数据维护及后台管理等。</w:t>
      </w:r>
    </w:p>
    <w:p>
      <w:pPr>
        <w:spacing w:line="360" w:lineRule="auto"/>
        <w:ind w:firstLine="480" w:firstLineChars="200"/>
        <w:rPr>
          <w:rFonts w:asciiTheme="minorEastAsia" w:hAnsiTheme="minorEastAsia"/>
          <w:sz w:val="24"/>
        </w:rPr>
      </w:pPr>
      <w:r>
        <w:rPr>
          <w:rFonts w:hint="eastAsia" w:asciiTheme="minorEastAsia" w:hAnsiTheme="minorEastAsia"/>
          <w:sz w:val="24"/>
        </w:rPr>
        <w:t>中文地图信息系统：包括多单点定位、缩放、漫游、标注、高级搜索及周边查询。</w:t>
      </w:r>
    </w:p>
    <w:p>
      <w:pPr>
        <w:spacing w:line="360" w:lineRule="auto"/>
        <w:ind w:firstLine="480" w:firstLineChars="200"/>
        <w:rPr>
          <w:rFonts w:asciiTheme="minorEastAsia" w:hAnsiTheme="minorEastAsia"/>
          <w:sz w:val="24"/>
        </w:rPr>
      </w:pPr>
      <w:r>
        <w:rPr>
          <w:rFonts w:hint="eastAsia" w:asciiTheme="minorEastAsia" w:hAnsiTheme="minorEastAsia"/>
          <w:sz w:val="24"/>
        </w:rPr>
        <w:t>景点流量监测发布系统：包括舒适度指数发布、数据接口及管理。</w:t>
      </w:r>
    </w:p>
    <w:p>
      <w:pPr>
        <w:widowControl/>
        <w:spacing w:line="360" w:lineRule="auto"/>
        <w:ind w:firstLine="420"/>
        <w:jc w:val="left"/>
        <w:rPr>
          <w:rFonts w:asciiTheme="minorEastAsia" w:hAnsiTheme="minorEastAsia"/>
          <w:sz w:val="24"/>
        </w:rPr>
      </w:pPr>
      <w:r>
        <w:rPr>
          <w:rFonts w:hint="eastAsia" w:asciiTheme="minorEastAsia" w:hAnsiTheme="minorEastAsia"/>
          <w:sz w:val="24"/>
        </w:rPr>
        <w:t>多语种虚拟旅游系统：包括整合各类资源，如图片、视频、音频、</w:t>
      </w:r>
      <w:r>
        <w:rPr>
          <w:rFonts w:asciiTheme="minorEastAsia" w:hAnsiTheme="minorEastAsia"/>
          <w:sz w:val="24"/>
        </w:rPr>
        <w:t>3D</w:t>
      </w:r>
      <w:r>
        <w:rPr>
          <w:rFonts w:hint="eastAsia" w:asciiTheme="minorEastAsia" w:hAnsiTheme="minorEastAsia"/>
          <w:sz w:val="24"/>
        </w:rPr>
        <w:t>技术、等，展示各个景点的内容。</w:t>
      </w:r>
    </w:p>
    <w:p>
      <w:pPr>
        <w:spacing w:line="360" w:lineRule="auto"/>
        <w:ind w:left="420"/>
        <w:rPr>
          <w:rFonts w:asciiTheme="minorEastAsia" w:hAnsiTheme="minorEastAsia"/>
          <w:b/>
          <w:sz w:val="24"/>
        </w:rPr>
      </w:pPr>
      <w:r>
        <w:rPr>
          <w:rFonts w:hint="eastAsia" w:asciiTheme="minorEastAsia" w:hAnsiTheme="minorEastAsia"/>
          <w:b/>
          <w:sz w:val="24"/>
        </w:rPr>
        <w:t>运行维护及二次开发需求：</w:t>
      </w:r>
    </w:p>
    <w:p>
      <w:pPr>
        <w:pStyle w:val="458"/>
        <w:numPr>
          <w:ilvl w:val="0"/>
          <w:numId w:val="9"/>
        </w:numPr>
        <w:spacing w:line="360" w:lineRule="auto"/>
        <w:ind w:firstLineChars="0"/>
        <w:rPr>
          <w:rFonts w:asciiTheme="minorEastAsia" w:hAnsiTheme="minorEastAsia"/>
          <w:b/>
          <w:sz w:val="24"/>
          <w:szCs w:val="24"/>
        </w:rPr>
      </w:pPr>
      <w:r>
        <w:rPr>
          <w:rFonts w:hint="eastAsia" w:asciiTheme="minorEastAsia" w:hAnsiTheme="minorEastAsia"/>
          <w:sz w:val="24"/>
          <w:szCs w:val="24"/>
        </w:rPr>
        <w:t>投标人结合总体应用系统给出人员配备、岗位职责以及运营维护流程。</w:t>
      </w:r>
    </w:p>
    <w:p>
      <w:pPr>
        <w:pStyle w:val="458"/>
        <w:numPr>
          <w:ilvl w:val="0"/>
          <w:numId w:val="9"/>
        </w:numPr>
        <w:spacing w:line="360" w:lineRule="auto"/>
        <w:ind w:firstLineChars="0"/>
        <w:rPr>
          <w:rFonts w:asciiTheme="minorEastAsia" w:hAnsiTheme="minorEastAsia"/>
          <w:b/>
          <w:sz w:val="24"/>
          <w:szCs w:val="24"/>
        </w:rPr>
      </w:pPr>
      <w:r>
        <w:rPr>
          <w:rFonts w:hint="eastAsia" w:asciiTheme="minorEastAsia" w:hAnsiTheme="minorEastAsia"/>
          <w:sz w:val="24"/>
          <w:szCs w:val="24"/>
        </w:rPr>
        <w:t>投标人根据自有了解情况下给出各个系统详细的功能描述及设置方法并确保系统</w:t>
      </w:r>
      <w:r>
        <w:rPr>
          <w:rFonts w:asciiTheme="minorEastAsia" w:hAnsiTheme="minorEastAsia"/>
          <w:sz w:val="24"/>
          <w:szCs w:val="24"/>
        </w:rPr>
        <w:t>7x24</w:t>
      </w:r>
      <w:r>
        <w:rPr>
          <w:rFonts w:hint="eastAsia" w:asciiTheme="minorEastAsia" w:hAnsiTheme="minorEastAsia"/>
          <w:sz w:val="24"/>
          <w:szCs w:val="24"/>
        </w:rPr>
        <w:t>小时平稳安全运行。</w:t>
      </w:r>
    </w:p>
    <w:p>
      <w:pPr>
        <w:pStyle w:val="458"/>
        <w:numPr>
          <w:ilvl w:val="0"/>
          <w:numId w:val="9"/>
        </w:numPr>
        <w:spacing w:line="360" w:lineRule="auto"/>
        <w:ind w:firstLineChars="0"/>
        <w:rPr>
          <w:rFonts w:asciiTheme="minorEastAsia" w:hAnsiTheme="minorEastAsia"/>
          <w:b/>
          <w:sz w:val="24"/>
          <w:szCs w:val="24"/>
        </w:rPr>
      </w:pPr>
      <w:r>
        <w:rPr>
          <w:rFonts w:hint="eastAsia" w:asciiTheme="minorEastAsia" w:hAnsiTheme="minorEastAsia"/>
          <w:sz w:val="24"/>
          <w:szCs w:val="24"/>
        </w:rPr>
        <w:t>投标人应在总体运营框架下，给出技术运营与内容、商务结合运营流程。</w:t>
      </w:r>
    </w:p>
    <w:p>
      <w:pPr>
        <w:spacing w:line="360" w:lineRule="auto"/>
        <w:ind w:firstLine="480" w:firstLineChars="200"/>
        <w:rPr>
          <w:rFonts w:asciiTheme="minorEastAsia" w:hAnsiTheme="minorEastAsia"/>
          <w:sz w:val="24"/>
        </w:rPr>
      </w:pPr>
      <w:r>
        <w:rPr>
          <w:rFonts w:hint="eastAsia" w:asciiTheme="minorEastAsia" w:hAnsiTheme="minorEastAsia"/>
          <w:sz w:val="24"/>
        </w:rPr>
        <w:t>服务指标：</w:t>
      </w:r>
    </w:p>
    <w:p>
      <w:pPr>
        <w:spacing w:line="360" w:lineRule="auto"/>
        <w:ind w:firstLine="480" w:firstLineChars="200"/>
        <w:rPr>
          <w:rFonts w:asciiTheme="minorEastAsia" w:hAnsiTheme="minorEastAsia"/>
          <w:sz w:val="24"/>
        </w:rPr>
      </w:pPr>
      <w:r>
        <w:rPr>
          <w:rFonts w:hint="eastAsia" w:asciiTheme="minorEastAsia" w:hAnsiTheme="minorEastAsia"/>
          <w:sz w:val="24"/>
        </w:rPr>
        <w:t>确保现有技术支撑系统</w:t>
      </w:r>
      <w:r>
        <w:rPr>
          <w:rFonts w:asciiTheme="minorEastAsia" w:hAnsiTheme="minorEastAsia"/>
          <w:sz w:val="24"/>
        </w:rPr>
        <w:t>7x24</w:t>
      </w:r>
      <w:r>
        <w:rPr>
          <w:rFonts w:hint="eastAsia" w:asciiTheme="minorEastAsia" w:hAnsiTheme="minorEastAsia"/>
          <w:sz w:val="24"/>
        </w:rPr>
        <w:t>小时不间断服务；投标人结合运营方案给出确保服务指标的</w:t>
      </w:r>
      <w:r>
        <w:rPr>
          <w:rFonts w:asciiTheme="minorEastAsia" w:hAnsiTheme="minorEastAsia"/>
          <w:sz w:val="24"/>
        </w:rPr>
        <w:t>SLA(</w:t>
      </w:r>
      <w:r>
        <w:rPr>
          <w:rFonts w:hint="eastAsia" w:asciiTheme="minorEastAsia" w:hAnsiTheme="minorEastAsia"/>
          <w:sz w:val="24"/>
        </w:rPr>
        <w:t>服务等级协议</w:t>
      </w:r>
      <w:r>
        <w:rPr>
          <w:rFonts w:asciiTheme="minorEastAsia" w:hAnsiTheme="minorEastAsia"/>
          <w:sz w:val="24"/>
        </w:rPr>
        <w:t>)</w:t>
      </w:r>
      <w:r>
        <w:rPr>
          <w:rFonts w:hint="eastAsia" w:asciiTheme="minorEastAsia" w:hAnsiTheme="minorEastAsia"/>
          <w:sz w:val="24"/>
        </w:rPr>
        <w:t>；应急预案，包括但不限于应急备份，通报流程和应答时间。</w:t>
      </w:r>
    </w:p>
    <w:p>
      <w:pPr>
        <w:pStyle w:val="458"/>
        <w:numPr>
          <w:ilvl w:val="0"/>
          <w:numId w:val="10"/>
        </w:numPr>
        <w:spacing w:line="360" w:lineRule="auto"/>
        <w:ind w:firstLineChars="0"/>
        <w:rPr>
          <w:rFonts w:asciiTheme="minorEastAsia" w:hAnsiTheme="minorEastAsia"/>
          <w:b/>
          <w:sz w:val="24"/>
          <w:szCs w:val="24"/>
        </w:rPr>
      </w:pPr>
      <w:r>
        <w:rPr>
          <w:rFonts w:hint="eastAsia" w:asciiTheme="minorEastAsia" w:hAnsiTheme="minorEastAsia"/>
          <w:b/>
          <w:sz w:val="24"/>
          <w:szCs w:val="24"/>
        </w:rPr>
        <w:t>网站硬件网络环境</w:t>
      </w:r>
    </w:p>
    <w:p>
      <w:pPr>
        <w:spacing w:line="360" w:lineRule="auto"/>
        <w:ind w:left="480"/>
        <w:rPr>
          <w:rFonts w:asciiTheme="minorEastAsia" w:hAnsiTheme="minorEastAsia"/>
          <w:sz w:val="24"/>
        </w:rPr>
      </w:pPr>
      <w:r>
        <w:rPr>
          <w:rFonts w:hint="eastAsia" w:asciiTheme="minorEastAsia" w:hAnsiTheme="minorEastAsia"/>
          <w:sz w:val="24"/>
        </w:rPr>
        <w:t>北京旅游网目前使用金山云作为基础服务支撑，根据业务类型和技术架构使</w:t>
      </w:r>
    </w:p>
    <w:p>
      <w:pPr>
        <w:spacing w:line="360" w:lineRule="auto"/>
        <w:rPr>
          <w:rFonts w:asciiTheme="minorEastAsia" w:hAnsiTheme="minorEastAsia"/>
          <w:sz w:val="24"/>
        </w:rPr>
      </w:pPr>
      <w:r>
        <w:rPr>
          <w:rFonts w:hint="eastAsia" w:asciiTheme="minorEastAsia" w:hAnsiTheme="minorEastAsia"/>
          <w:sz w:val="24"/>
        </w:rPr>
        <w:t>用云服务器</w:t>
      </w:r>
      <w:r>
        <w:rPr>
          <w:rFonts w:asciiTheme="minorEastAsia" w:hAnsiTheme="minorEastAsia"/>
          <w:sz w:val="24"/>
        </w:rPr>
        <w:t>25</w:t>
      </w:r>
      <w:r>
        <w:rPr>
          <w:rFonts w:hint="eastAsia" w:asciiTheme="minorEastAsia" w:hAnsiTheme="minorEastAsia"/>
          <w:sz w:val="24"/>
        </w:rPr>
        <w:t>台，云存储，云数据库等。投标人应给出云环境部署意见（不局限于原有云环境），具体部署的环境建议、云环境调整方案以及详细系统网络安全和可持续维护全方位方案，包括但不限于服务器资源业务资源分配、系统维护、网络维护、安全维护以及服务标准。</w:t>
      </w:r>
    </w:p>
    <w:p>
      <w:pPr>
        <w:spacing w:line="360" w:lineRule="auto"/>
        <w:ind w:left="480"/>
        <w:rPr>
          <w:rFonts w:asciiTheme="minorEastAsia" w:hAnsiTheme="minorEastAsia"/>
          <w:sz w:val="24"/>
        </w:rPr>
      </w:pPr>
      <w:r>
        <w:rPr>
          <w:rFonts w:hint="eastAsia" w:asciiTheme="minorEastAsia" w:hAnsiTheme="minorEastAsia"/>
          <w:b/>
          <w:sz w:val="24"/>
        </w:rPr>
        <w:t>（三）安全运维要求</w:t>
      </w:r>
    </w:p>
    <w:p>
      <w:pPr>
        <w:spacing w:line="360" w:lineRule="auto"/>
        <w:ind w:firstLine="480" w:firstLineChars="200"/>
        <w:rPr>
          <w:rFonts w:asciiTheme="minorEastAsia" w:hAnsiTheme="minorEastAsia"/>
          <w:sz w:val="24"/>
        </w:rPr>
      </w:pPr>
      <w:r>
        <w:rPr>
          <w:rFonts w:hint="eastAsia" w:asciiTheme="minorEastAsia" w:hAnsiTheme="minorEastAsia"/>
          <w:sz w:val="24"/>
        </w:rPr>
        <w:t>在安全维护方案中需要包括但不限于</w:t>
      </w:r>
      <w:r>
        <w:rPr>
          <w:rFonts w:asciiTheme="minorEastAsia" w:hAnsiTheme="minorEastAsia"/>
          <w:sz w:val="24"/>
        </w:rPr>
        <w:t>WAF</w:t>
      </w:r>
      <w:r>
        <w:rPr>
          <w:rFonts w:hint="eastAsia" w:asciiTheme="minorEastAsia" w:hAnsiTheme="minorEastAsia"/>
          <w:sz w:val="24"/>
        </w:rPr>
        <w:t>服务、主机安全组、跨站攻击、木马、系统漏洞、网站漏洞、主机加固、</w:t>
      </w:r>
      <w:r>
        <w:rPr>
          <w:rFonts w:asciiTheme="minorEastAsia" w:hAnsiTheme="minorEastAsia"/>
          <w:sz w:val="24"/>
        </w:rPr>
        <w:t xml:space="preserve">WEB </w:t>
      </w:r>
      <w:r>
        <w:rPr>
          <w:rFonts w:hint="eastAsia" w:asciiTheme="minorEastAsia" w:hAnsiTheme="minorEastAsia"/>
          <w:sz w:val="24"/>
        </w:rPr>
        <w:t>服务加固、内容检测等防护措施。运维值守和日常安全巡检方案，每逢重大事件时全天候值班计划方案。应有可行的应急预案和一次以上应急演练方案。</w:t>
      </w:r>
    </w:p>
    <w:p>
      <w:pPr>
        <w:spacing w:line="360" w:lineRule="auto"/>
        <w:rPr>
          <w:rFonts w:asciiTheme="minorEastAsia" w:hAnsiTheme="minorEastAsia"/>
          <w:b/>
          <w:sz w:val="24"/>
        </w:rPr>
      </w:pPr>
    </w:p>
    <w:p>
      <w:pPr>
        <w:spacing w:line="360" w:lineRule="auto"/>
        <w:rPr>
          <w:rFonts w:asciiTheme="minorEastAsia" w:hAnsiTheme="minorEastAsia"/>
          <w:b/>
          <w:sz w:val="24"/>
        </w:rPr>
      </w:pPr>
      <w:r>
        <w:rPr>
          <w:rFonts w:hint="eastAsia" w:asciiTheme="minorEastAsia" w:hAnsiTheme="minorEastAsia"/>
          <w:b/>
          <w:sz w:val="24"/>
        </w:rPr>
        <w:t>六、旅游资源库平台维护与运营</w:t>
      </w:r>
    </w:p>
    <w:p>
      <w:pPr>
        <w:spacing w:line="360" w:lineRule="auto"/>
        <w:ind w:firstLine="480" w:firstLineChars="200"/>
        <w:rPr>
          <w:rFonts w:asciiTheme="minorEastAsia" w:hAnsiTheme="minorEastAsia"/>
          <w:sz w:val="24"/>
        </w:rPr>
      </w:pPr>
      <w:r>
        <w:rPr>
          <w:rFonts w:hint="eastAsia" w:asciiTheme="minorEastAsia" w:hAnsiTheme="minorEastAsia"/>
          <w:sz w:val="24"/>
        </w:rPr>
        <w:t>北京旅游资源库逐步完成了景区、酒店、老字号、旅行社、导游及领队等旅游业态数据建设，也是整个北京旅游网基础内容建设</w:t>
      </w:r>
      <w:r>
        <w:rPr>
          <w:rFonts w:asciiTheme="minorEastAsia" w:hAnsiTheme="minorEastAsia"/>
          <w:sz w:val="24"/>
        </w:rPr>
        <w:t>“</w:t>
      </w:r>
      <w:r>
        <w:rPr>
          <w:rFonts w:hint="eastAsia" w:asciiTheme="minorEastAsia" w:hAnsiTheme="minorEastAsia"/>
          <w:sz w:val="24"/>
        </w:rPr>
        <w:t>点、线、面</w:t>
      </w:r>
      <w:r>
        <w:rPr>
          <w:rFonts w:asciiTheme="minorEastAsia" w:hAnsiTheme="minorEastAsia"/>
          <w:sz w:val="24"/>
        </w:rPr>
        <w:t>”</w:t>
      </w:r>
      <w:r>
        <w:rPr>
          <w:rFonts w:hint="eastAsia" w:asciiTheme="minorEastAsia" w:hAnsiTheme="minorEastAsia"/>
          <w:sz w:val="24"/>
        </w:rPr>
        <w:t>三字方针重要组成部分，即建设</w:t>
      </w:r>
      <w:r>
        <w:rPr>
          <w:rFonts w:asciiTheme="minorEastAsia" w:hAnsiTheme="minorEastAsia"/>
          <w:sz w:val="24"/>
        </w:rPr>
        <w:t>“</w:t>
      </w:r>
      <w:r>
        <w:rPr>
          <w:rFonts w:hint="eastAsia" w:asciiTheme="minorEastAsia" w:hAnsiTheme="minorEastAsia"/>
          <w:sz w:val="24"/>
        </w:rPr>
        <w:t>点</w:t>
      </w:r>
      <w:r>
        <w:rPr>
          <w:rFonts w:asciiTheme="minorEastAsia" w:hAnsiTheme="minorEastAsia"/>
          <w:sz w:val="24"/>
        </w:rPr>
        <w:t>”</w:t>
      </w:r>
      <w:r>
        <w:rPr>
          <w:rFonts w:hint="eastAsia" w:asciiTheme="minorEastAsia" w:hAnsiTheme="minorEastAsia"/>
          <w:sz w:val="24"/>
        </w:rPr>
        <w:t>的资源库，形成</w:t>
      </w:r>
      <w:r>
        <w:rPr>
          <w:rFonts w:asciiTheme="minorEastAsia" w:hAnsiTheme="minorEastAsia"/>
          <w:sz w:val="24"/>
        </w:rPr>
        <w:t>“</w:t>
      </w:r>
      <w:r>
        <w:rPr>
          <w:rFonts w:hint="eastAsia" w:asciiTheme="minorEastAsia" w:hAnsiTheme="minorEastAsia"/>
          <w:sz w:val="24"/>
        </w:rPr>
        <w:t>线</w:t>
      </w:r>
      <w:r>
        <w:rPr>
          <w:rFonts w:asciiTheme="minorEastAsia" w:hAnsiTheme="minorEastAsia"/>
          <w:sz w:val="24"/>
        </w:rPr>
        <w:t>”</w:t>
      </w:r>
      <w:r>
        <w:rPr>
          <w:rFonts w:hint="eastAsia" w:asciiTheme="minorEastAsia" w:hAnsiTheme="minorEastAsia"/>
          <w:sz w:val="24"/>
        </w:rPr>
        <w:t>的线路，针对不同类型用户的全</w:t>
      </w:r>
      <w:r>
        <w:rPr>
          <w:rFonts w:asciiTheme="minorEastAsia" w:hAnsiTheme="minorEastAsia"/>
          <w:sz w:val="24"/>
        </w:rPr>
        <w:t>“</w:t>
      </w:r>
      <w:r>
        <w:rPr>
          <w:rFonts w:hint="eastAsia" w:asciiTheme="minorEastAsia" w:hAnsiTheme="minorEastAsia"/>
          <w:sz w:val="24"/>
        </w:rPr>
        <w:t>面</w:t>
      </w:r>
      <w:r>
        <w:rPr>
          <w:rFonts w:asciiTheme="minorEastAsia" w:hAnsiTheme="minorEastAsia"/>
          <w:sz w:val="24"/>
        </w:rPr>
        <w:t>”</w:t>
      </w:r>
      <w:r>
        <w:rPr>
          <w:rFonts w:hint="eastAsia" w:asciiTheme="minorEastAsia" w:hAnsiTheme="minorEastAsia"/>
          <w:sz w:val="24"/>
        </w:rPr>
        <w:t>内容组织。投标人在充分了解内容建设</w:t>
      </w:r>
      <w:r>
        <w:rPr>
          <w:rFonts w:asciiTheme="minorEastAsia" w:hAnsiTheme="minorEastAsia"/>
          <w:sz w:val="24"/>
        </w:rPr>
        <w:t>“</w:t>
      </w:r>
      <w:r>
        <w:rPr>
          <w:rFonts w:hint="eastAsia" w:asciiTheme="minorEastAsia" w:hAnsiTheme="minorEastAsia"/>
          <w:sz w:val="24"/>
        </w:rPr>
        <w:t>点、线、面</w:t>
      </w:r>
      <w:r>
        <w:rPr>
          <w:rFonts w:asciiTheme="minorEastAsia" w:hAnsiTheme="minorEastAsia"/>
          <w:sz w:val="24"/>
        </w:rPr>
        <w:t>”</w:t>
      </w:r>
      <w:r>
        <w:rPr>
          <w:rFonts w:hint="eastAsia" w:asciiTheme="minorEastAsia" w:hAnsiTheme="minorEastAsia"/>
          <w:sz w:val="24"/>
        </w:rPr>
        <w:t>基础上，给出旅游资源库平台的内容建设及运营思路，丰富文化方面的资源内容，包括但不限于人员组成、页面维护、数据优化等。</w:t>
      </w:r>
    </w:p>
    <w:p>
      <w:pPr>
        <w:spacing w:line="360" w:lineRule="auto"/>
        <w:ind w:firstLine="480" w:firstLineChars="200"/>
        <w:rPr>
          <w:rFonts w:asciiTheme="minorEastAsia" w:hAnsiTheme="minorEastAsia"/>
          <w:sz w:val="24"/>
        </w:rPr>
      </w:pPr>
      <w:r>
        <w:rPr>
          <w:rFonts w:hint="eastAsia" w:asciiTheme="minorEastAsia" w:hAnsiTheme="minorEastAsia"/>
          <w:sz w:val="24"/>
        </w:rPr>
        <w:t>资源库平台运维指标要求：完成不少于</w:t>
      </w:r>
      <w:r>
        <w:rPr>
          <w:rFonts w:asciiTheme="minorEastAsia" w:hAnsiTheme="minorEastAsia"/>
          <w:sz w:val="24"/>
        </w:rPr>
        <w:t>4188</w:t>
      </w:r>
      <w:r>
        <w:rPr>
          <w:rFonts w:hint="eastAsia" w:asciiTheme="minorEastAsia" w:hAnsiTheme="minorEastAsia"/>
          <w:sz w:val="24"/>
        </w:rPr>
        <w:t>条景区、住宿、线路、老字号、餐饮等内容及攻略收集与整理，其中中文资源库</w:t>
      </w:r>
      <w:r>
        <w:rPr>
          <w:rFonts w:asciiTheme="minorEastAsia" w:hAnsiTheme="minorEastAsia"/>
          <w:sz w:val="24"/>
        </w:rPr>
        <w:t>2500</w:t>
      </w:r>
      <w:r>
        <w:rPr>
          <w:rFonts w:hint="eastAsia" w:asciiTheme="minorEastAsia" w:hAnsiTheme="minorEastAsia"/>
          <w:sz w:val="24"/>
        </w:rPr>
        <w:t>条，英文资源库、韩文资源库、日文资源库各</w:t>
      </w:r>
      <w:r>
        <w:rPr>
          <w:rFonts w:asciiTheme="minorEastAsia" w:hAnsiTheme="minorEastAsia"/>
          <w:sz w:val="24"/>
        </w:rPr>
        <w:t>313</w:t>
      </w:r>
      <w:r>
        <w:rPr>
          <w:rFonts w:hint="eastAsia" w:asciiTheme="minorEastAsia" w:hAnsiTheme="minorEastAsia"/>
          <w:sz w:val="24"/>
        </w:rPr>
        <w:t>条，俄文、法文、西文资源库各</w:t>
      </w:r>
      <w:r>
        <w:rPr>
          <w:rFonts w:asciiTheme="minorEastAsia" w:hAnsiTheme="minorEastAsia"/>
          <w:sz w:val="24"/>
        </w:rPr>
        <w:t>250</w:t>
      </w:r>
      <w:r>
        <w:rPr>
          <w:rFonts w:hint="eastAsia" w:asciiTheme="minorEastAsia" w:hAnsiTheme="minorEastAsia"/>
          <w:sz w:val="24"/>
        </w:rPr>
        <w:t>条。</w:t>
      </w:r>
    </w:p>
    <w:p>
      <w:pPr>
        <w:spacing w:after="120"/>
        <w:rPr>
          <w:rFonts w:asciiTheme="minorEastAsia" w:hAnsiTheme="minorEastAsia"/>
          <w:b/>
          <w:sz w:val="24"/>
        </w:rPr>
      </w:pPr>
    </w:p>
    <w:p>
      <w:pPr>
        <w:spacing w:after="120"/>
        <w:rPr>
          <w:rFonts w:asciiTheme="minorEastAsia" w:hAnsiTheme="minorEastAsia"/>
          <w:b/>
          <w:sz w:val="24"/>
        </w:rPr>
      </w:pPr>
      <w:r>
        <w:rPr>
          <w:rFonts w:hint="eastAsia" w:asciiTheme="minorEastAsia" w:hAnsiTheme="minorEastAsia"/>
          <w:b/>
          <w:sz w:val="24"/>
        </w:rPr>
        <w:t>七、版权采购（版权图库）</w:t>
      </w:r>
    </w:p>
    <w:p>
      <w:pPr>
        <w:spacing w:line="360" w:lineRule="auto"/>
        <w:ind w:firstLine="480" w:firstLineChars="200"/>
        <w:rPr>
          <w:rFonts w:asciiTheme="minorEastAsia" w:hAnsiTheme="minorEastAsia"/>
          <w:sz w:val="24"/>
        </w:rPr>
      </w:pPr>
      <w:r>
        <w:rPr>
          <w:rFonts w:hint="eastAsia" w:asciiTheme="minorEastAsia" w:hAnsiTheme="minorEastAsia"/>
          <w:sz w:val="24"/>
        </w:rPr>
        <w:t>北京旅游网</w:t>
      </w:r>
      <w:r>
        <w:rPr>
          <w:rFonts w:asciiTheme="minorEastAsia" w:hAnsiTheme="minorEastAsia"/>
          <w:sz w:val="24"/>
        </w:rPr>
        <w:t>7个语种、8种语言版本资源库平台运维更新均需使用版权图库的版权图片或自有版权原创图片。北京旅游网</w:t>
      </w:r>
      <w:r>
        <w:rPr>
          <w:rFonts w:hint="eastAsia" w:asciiTheme="minorEastAsia" w:hAnsiTheme="minorEastAsia"/>
          <w:sz w:val="24"/>
        </w:rPr>
        <w:t>图片上传、更新指标为：37500张；视频上传、更新指标为：1650条。</w:t>
      </w:r>
    </w:p>
    <w:p>
      <w:pPr>
        <w:ind w:firstLine="480" w:firstLineChars="200"/>
        <w:rPr>
          <w:rFonts w:asciiTheme="minorEastAsia" w:hAnsiTheme="minorEastAsia"/>
          <w:sz w:val="24"/>
        </w:rPr>
      </w:pPr>
      <w:r>
        <w:rPr>
          <w:rFonts w:hint="eastAsia" w:asciiTheme="minorEastAsia" w:hAnsiTheme="minorEastAsia"/>
          <w:sz w:val="24"/>
        </w:rPr>
        <w:t>投标人需购买或自建版权图库图片，规避版权风险。</w:t>
      </w:r>
    </w:p>
    <w:p>
      <w:pPr>
        <w:spacing w:line="360" w:lineRule="auto"/>
        <w:rPr>
          <w:rFonts w:asciiTheme="minorEastAsia" w:hAnsiTheme="minorEastAsia"/>
          <w:b/>
          <w:bCs/>
          <w:sz w:val="24"/>
        </w:rPr>
      </w:pPr>
    </w:p>
    <w:p>
      <w:pPr>
        <w:spacing w:line="360" w:lineRule="auto"/>
        <w:rPr>
          <w:rFonts w:asciiTheme="minorEastAsia" w:hAnsiTheme="minorEastAsia"/>
          <w:b/>
          <w:bCs/>
          <w:sz w:val="24"/>
        </w:rPr>
      </w:pPr>
      <w:r>
        <w:rPr>
          <w:rFonts w:hint="eastAsia" w:asciiTheme="minorEastAsia" w:hAnsiTheme="minorEastAsia"/>
          <w:b/>
          <w:bCs/>
          <w:sz w:val="24"/>
        </w:rPr>
        <w:t>八、宣传推广</w:t>
      </w:r>
    </w:p>
    <w:p>
      <w:pPr>
        <w:spacing w:line="360" w:lineRule="auto"/>
        <w:ind w:firstLine="480" w:firstLineChars="200"/>
        <w:rPr>
          <w:rFonts w:asciiTheme="minorEastAsia" w:hAnsiTheme="minorEastAsia"/>
          <w:sz w:val="24"/>
        </w:rPr>
      </w:pPr>
      <w:r>
        <w:rPr>
          <w:rFonts w:hint="eastAsia" w:asciiTheme="minorEastAsia" w:hAnsiTheme="minorEastAsia"/>
          <w:sz w:val="24"/>
        </w:rPr>
        <w:t>请投标人在充分了解北京旅游网项目的建设需求，借助新技术手段，突出创新，给出北京旅游网服务</w:t>
      </w:r>
      <w:r>
        <w:rPr>
          <w:rFonts w:asciiTheme="minorEastAsia" w:hAnsiTheme="minorEastAsia"/>
          <w:sz w:val="24"/>
        </w:rPr>
        <w:t>期内的</w:t>
      </w:r>
      <w:r>
        <w:rPr>
          <w:rFonts w:hint="eastAsia" w:asciiTheme="minorEastAsia" w:hAnsiTheme="minorEastAsia"/>
          <w:sz w:val="24"/>
        </w:rPr>
        <w:t>宣传推广方案，方案要求根据受众用户特点精准策划、带动网友积极性，推广效果持续显著；紧贴最新时代背景，面向受众、面向国际展现北京形象；多角度展示北京文化和旅游资源；突出京津冀旅游协同发展需要，促进北京及周边地区文化和旅游行业发展。</w:t>
      </w:r>
    </w:p>
    <w:p>
      <w:pPr>
        <w:spacing w:line="360" w:lineRule="auto"/>
        <w:rPr>
          <w:rFonts w:asciiTheme="minorEastAsia" w:hAnsiTheme="minorEastAsia"/>
          <w:b/>
          <w:sz w:val="24"/>
        </w:rPr>
      </w:pPr>
    </w:p>
    <w:p>
      <w:pPr>
        <w:spacing w:line="360" w:lineRule="auto"/>
        <w:rPr>
          <w:rFonts w:asciiTheme="minorEastAsia" w:hAnsiTheme="minorEastAsia"/>
          <w:b/>
          <w:sz w:val="24"/>
        </w:rPr>
      </w:pPr>
      <w:r>
        <w:rPr>
          <w:rFonts w:hint="eastAsia" w:asciiTheme="minorEastAsia" w:hAnsiTheme="minorEastAsia"/>
          <w:b/>
          <w:sz w:val="24"/>
        </w:rPr>
        <w:t>九、非功能性需求</w:t>
      </w:r>
    </w:p>
    <w:p>
      <w:pPr>
        <w:spacing w:line="360" w:lineRule="auto"/>
        <w:ind w:firstLine="482" w:firstLineChars="200"/>
        <w:rPr>
          <w:rFonts w:asciiTheme="minorEastAsia" w:hAnsiTheme="minorEastAsia"/>
          <w:b/>
          <w:sz w:val="24"/>
        </w:rPr>
      </w:pPr>
      <w:r>
        <w:rPr>
          <w:rFonts w:hint="eastAsia" w:asciiTheme="minorEastAsia" w:hAnsiTheme="minorEastAsia"/>
          <w:b/>
          <w:sz w:val="24"/>
        </w:rPr>
        <w:t>（一）网站总体人员安排</w:t>
      </w:r>
    </w:p>
    <w:p>
      <w:pPr>
        <w:spacing w:line="360" w:lineRule="auto"/>
        <w:ind w:firstLine="480" w:firstLineChars="200"/>
        <w:rPr>
          <w:rFonts w:asciiTheme="minorEastAsia" w:hAnsiTheme="minorEastAsia"/>
          <w:b/>
          <w:sz w:val="24"/>
        </w:rPr>
      </w:pPr>
      <w:r>
        <w:rPr>
          <w:rFonts w:hint="eastAsia" w:asciiTheme="minorEastAsia" w:hAnsiTheme="minorEastAsia"/>
          <w:sz w:val="24"/>
        </w:rPr>
        <w:t>投标人结合运营方案，给出详细的人员安排，包括岗位、人数、人员来源、人员工作经历，总体人数不得少于</w:t>
      </w:r>
      <w:r>
        <w:rPr>
          <w:rFonts w:asciiTheme="minorEastAsia" w:hAnsiTheme="minorEastAsia"/>
          <w:sz w:val="24"/>
        </w:rPr>
        <w:t>45</w:t>
      </w:r>
      <w:r>
        <w:rPr>
          <w:rFonts w:hint="eastAsia" w:asciiTheme="minorEastAsia" w:hAnsiTheme="minorEastAsia"/>
          <w:sz w:val="24"/>
        </w:rPr>
        <w:t>人。</w:t>
      </w:r>
    </w:p>
    <w:p>
      <w:pPr>
        <w:spacing w:line="360" w:lineRule="auto"/>
        <w:ind w:firstLine="482" w:firstLineChars="200"/>
        <w:rPr>
          <w:rFonts w:asciiTheme="minorEastAsia" w:hAnsiTheme="minorEastAsia"/>
          <w:b/>
          <w:sz w:val="24"/>
        </w:rPr>
      </w:pPr>
      <w:r>
        <w:rPr>
          <w:rFonts w:hint="eastAsia" w:asciiTheme="minorEastAsia" w:hAnsiTheme="minorEastAsia"/>
          <w:b/>
          <w:sz w:val="24"/>
        </w:rPr>
        <w:t>（二）网站版权管理及内容管理</w:t>
      </w:r>
    </w:p>
    <w:p>
      <w:pPr>
        <w:spacing w:line="360" w:lineRule="auto"/>
        <w:ind w:firstLine="480" w:firstLineChars="200"/>
        <w:rPr>
          <w:rFonts w:asciiTheme="minorEastAsia" w:hAnsiTheme="minorEastAsia"/>
          <w:sz w:val="24"/>
        </w:rPr>
      </w:pPr>
      <w:r>
        <w:rPr>
          <w:rFonts w:hint="eastAsia" w:asciiTheme="minorEastAsia" w:hAnsiTheme="minorEastAsia"/>
          <w:sz w:val="24"/>
        </w:rPr>
        <w:t>投标人应说明网站信息资源，特别是图片资源的来源渠道。说明网站的版权管理和内容审核、团队管理等方案，确保网站信息资源真实有效，不侵犯第三方版权，不发生泄密等违法或损害甲方利益的事件。图片版权如果不能永久授权，应保证展示三年以上，资源库图片版权应保证展示三年以上。版权管理系统应能对版权使用状况有效追踪。在图片版权和图片管理方面，投标人需要提供图片获取及版权管理方案。</w:t>
      </w:r>
    </w:p>
    <w:p>
      <w:pPr>
        <w:spacing w:line="360" w:lineRule="auto"/>
        <w:ind w:firstLine="482" w:firstLineChars="200"/>
        <w:rPr>
          <w:rFonts w:asciiTheme="minorEastAsia" w:hAnsiTheme="minorEastAsia"/>
          <w:b/>
          <w:sz w:val="24"/>
        </w:rPr>
      </w:pPr>
      <w:r>
        <w:rPr>
          <w:rFonts w:hint="eastAsia" w:asciiTheme="minorEastAsia" w:hAnsiTheme="minorEastAsia"/>
          <w:b/>
          <w:sz w:val="24"/>
        </w:rPr>
        <w:t>（三）网站运营工作计划</w:t>
      </w:r>
    </w:p>
    <w:p>
      <w:pPr>
        <w:spacing w:line="360" w:lineRule="auto"/>
        <w:ind w:firstLine="480" w:firstLineChars="200"/>
        <w:rPr>
          <w:rFonts w:asciiTheme="minorEastAsia" w:hAnsiTheme="minorEastAsia"/>
          <w:sz w:val="24"/>
        </w:rPr>
      </w:pPr>
      <w:r>
        <w:rPr>
          <w:rFonts w:hint="eastAsia" w:asciiTheme="minorEastAsia" w:hAnsiTheme="minorEastAsia"/>
          <w:sz w:val="24"/>
        </w:rPr>
        <w:t>投标人若中标后，给出运营工作计划，包括但不限于人员到岗时间、跟原运营商过度时间及重要里程碑时间节点。</w:t>
      </w:r>
    </w:p>
    <w:p>
      <w:pPr>
        <w:spacing w:line="360" w:lineRule="auto"/>
        <w:ind w:firstLine="482" w:firstLineChars="200"/>
        <w:rPr>
          <w:rFonts w:asciiTheme="minorEastAsia" w:hAnsiTheme="minorEastAsia"/>
          <w:b/>
          <w:sz w:val="24"/>
        </w:rPr>
      </w:pPr>
      <w:r>
        <w:rPr>
          <w:rFonts w:hint="eastAsia" w:asciiTheme="minorEastAsia" w:hAnsiTheme="minorEastAsia"/>
          <w:b/>
          <w:sz w:val="24"/>
        </w:rPr>
        <w:t>（四）质量控制方案</w:t>
      </w:r>
    </w:p>
    <w:p>
      <w:pPr>
        <w:spacing w:line="360" w:lineRule="auto"/>
        <w:ind w:firstLine="480" w:firstLineChars="200"/>
        <w:rPr>
          <w:rFonts w:asciiTheme="minorEastAsia" w:hAnsiTheme="minorEastAsia"/>
          <w:sz w:val="24"/>
        </w:rPr>
      </w:pPr>
      <w:r>
        <w:rPr>
          <w:rFonts w:hint="eastAsia" w:asciiTheme="minorEastAsia" w:hAnsiTheme="minorEastAsia"/>
          <w:sz w:val="24"/>
        </w:rPr>
        <w:t>投标人给出整体运营的质量控制方案，包括但不限于质量标准（含英文稿件质量标准）、质量计划、质量保证、运行质量管理体系等。</w:t>
      </w:r>
    </w:p>
    <w:p>
      <w:pPr>
        <w:spacing w:line="360" w:lineRule="auto"/>
        <w:ind w:firstLine="482" w:firstLineChars="200"/>
        <w:rPr>
          <w:rFonts w:asciiTheme="minorEastAsia" w:hAnsiTheme="minorEastAsia"/>
          <w:b/>
          <w:sz w:val="24"/>
        </w:rPr>
      </w:pPr>
      <w:r>
        <w:rPr>
          <w:rFonts w:hint="eastAsia" w:asciiTheme="minorEastAsia" w:hAnsiTheme="minorEastAsia"/>
          <w:b/>
          <w:sz w:val="24"/>
        </w:rPr>
        <w:t>（五）风险管理方案</w:t>
      </w:r>
    </w:p>
    <w:p>
      <w:pPr>
        <w:spacing w:line="360" w:lineRule="auto"/>
        <w:ind w:firstLine="480" w:firstLineChars="200"/>
        <w:rPr>
          <w:rFonts w:asciiTheme="minorEastAsia" w:hAnsiTheme="minorEastAsia"/>
          <w:sz w:val="24"/>
        </w:rPr>
      </w:pPr>
      <w:r>
        <w:rPr>
          <w:rFonts w:hint="eastAsia" w:asciiTheme="minorEastAsia" w:hAnsiTheme="minorEastAsia"/>
          <w:sz w:val="24"/>
        </w:rPr>
        <w:t>分析项目实施过程中可能面临的风险和挑战，给出项目运营风险分析及应对策略。</w:t>
      </w:r>
    </w:p>
    <w:p>
      <w:pPr>
        <w:spacing w:line="360" w:lineRule="auto"/>
        <w:rPr>
          <w:rFonts w:asciiTheme="minorEastAsia" w:hAnsiTheme="minorEastAsia"/>
          <w:b/>
          <w:sz w:val="24"/>
        </w:rPr>
      </w:pPr>
      <w:r>
        <w:rPr>
          <w:rFonts w:hint="eastAsia" w:asciiTheme="minorEastAsia" w:hAnsiTheme="minorEastAsia"/>
          <w:b/>
          <w:sz w:val="24"/>
        </w:rPr>
        <w:t>注：</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、中标人须严格按照规范的财务制度对项目执行过程中所发生的费用进行逐项记录，并按季度如实上报项目资金使用情况，提交采购人处备案；</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、中标人须将在项目执行过程中产生的开发运维等相关技术资料、图片、视频、数据资料，管理制度规范等相关资料进行分类整理，形成完整的档案，提交采购人处备案；</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3、根据《招标文件》规定，由于该项目自202</w:t>
      </w:r>
      <w:r>
        <w:rPr>
          <w:rFonts w:asciiTheme="minorEastAsia" w:hAnsiTheme="minorEastAsia"/>
          <w:sz w:val="24"/>
        </w:rPr>
        <w:t>5</w:t>
      </w:r>
      <w:r>
        <w:rPr>
          <w:rFonts w:hint="eastAsia" w:asciiTheme="minorEastAsia" w:hAnsiTheme="minorEastAsia"/>
          <w:sz w:val="24"/>
        </w:rPr>
        <w:t>年1月1日起至签订政府采购合同之日止。该项目的相关工作仍需由前服务商执行，故202</w:t>
      </w:r>
      <w:r>
        <w:rPr>
          <w:rFonts w:asciiTheme="minorEastAsia" w:hAnsiTheme="minorEastAsia"/>
          <w:sz w:val="24"/>
        </w:rPr>
        <w:t>5</w:t>
      </w:r>
      <w:r>
        <w:rPr>
          <w:rFonts w:hint="eastAsia" w:asciiTheme="minorEastAsia" w:hAnsiTheme="minorEastAsia"/>
          <w:sz w:val="24"/>
        </w:rPr>
        <w:t>年服务商应支付给前服务商在上述期间实施相关工作所产生的费用;费用估算方式为=中标金额x上一个服务商实际工作天数÷455天；</w:t>
      </w:r>
    </w:p>
    <w:p>
      <w:pPr>
        <w:spacing w:line="360" w:lineRule="auto"/>
        <w:ind w:firstLine="480" w:firstLineChars="200"/>
        <w:rPr>
          <w:rFonts w:asciiTheme="minorEastAsia" w:hAnsiTheme="minorEastAsia"/>
          <w:sz w:val="24"/>
        </w:rPr>
      </w:pPr>
      <w:r>
        <w:rPr>
          <w:rFonts w:hint="eastAsia" w:asciiTheme="minorEastAsia" w:hAnsiTheme="minorEastAsia"/>
          <w:sz w:val="24"/>
        </w:rPr>
        <w:t>4、未经采购人授权，中标人不得利用该网站进行任何商业运营；</w:t>
      </w:r>
    </w:p>
    <w:p>
      <w:pPr>
        <w:ind w:firstLine="482"/>
        <w:rPr>
          <w:rFonts w:ascii="宋体" w:hAnsi="宋体" w:cs="宋体"/>
          <w:b/>
          <w:bCs/>
          <w:sz w:val="24"/>
          <w:szCs w:val="24"/>
        </w:rPr>
      </w:pPr>
      <w:r>
        <w:rPr>
          <w:rFonts w:hint="eastAsia" w:asciiTheme="minorEastAsia" w:hAnsiTheme="minorEastAsia"/>
          <w:sz w:val="24"/>
        </w:rPr>
        <w:t>5、中标人在执行本项目期间，产生的知识产权归采购人所有。</w:t>
      </w:r>
      <w:r>
        <w:rPr>
          <w:rFonts w:hint="eastAsia" w:ascii="宋体" w:hAnsi="宋体" w:cs="宋体"/>
          <w:b/>
          <w:bCs/>
          <w:sz w:val="24"/>
          <w:szCs w:val="24"/>
        </w:rPr>
        <w:br w:type="page"/>
      </w:r>
    </w:p>
    <w:p>
      <w:pPr>
        <w:spacing w:line="360" w:lineRule="auto"/>
        <w:rPr>
          <w:b/>
          <w:sz w:val="36"/>
          <w:szCs w:val="36"/>
        </w:rPr>
      </w:pPr>
      <w:r>
        <w:rPr>
          <w:rFonts w:hint="eastAsia"/>
          <w:b/>
          <w:sz w:val="36"/>
          <w:szCs w:val="36"/>
        </w:rPr>
        <w:t>第二包：项目监理</w:t>
      </w:r>
    </w:p>
    <w:p>
      <w:pPr>
        <w:spacing w:line="360" w:lineRule="auto"/>
        <w:rPr>
          <w:rFonts w:ascii="宋体" w:hAnsi="宋体"/>
          <w:b/>
          <w:bCs/>
          <w:color w:val="000000"/>
          <w:sz w:val="24"/>
        </w:rPr>
      </w:pPr>
      <w:bookmarkStart w:id="861" w:name="_Hlk35200710"/>
      <w:r>
        <w:rPr>
          <w:rFonts w:ascii="宋体" w:hAnsi="宋体"/>
          <w:b/>
          <w:bCs/>
          <w:color w:val="000000"/>
          <w:sz w:val="24"/>
        </w:rPr>
        <w:t>一、服务目标</w:t>
      </w:r>
    </w:p>
    <w:p>
      <w:pPr>
        <w:spacing w:line="360" w:lineRule="auto"/>
        <w:ind w:firstLine="480" w:firstLineChars="200"/>
        <w:rPr>
          <w:rFonts w:ascii="宋体" w:hAnsi="宋体"/>
          <w:color w:val="000000"/>
          <w:sz w:val="24"/>
        </w:rPr>
      </w:pPr>
      <w:r>
        <w:rPr>
          <w:rFonts w:ascii="宋体" w:hAnsi="宋体"/>
          <w:color w:val="000000"/>
          <w:sz w:val="24"/>
        </w:rPr>
        <w:t>根据合同和采购人单位需求，采用适合本项目特点的项目管理技巧和手段，对项目实施过程中基础运维服务、互联网专业服务、网站群管理服务、应用系统技术运维服务、技术开发与管理工作、安全运维服务以及部分内容运维等各个环节进行全方位的管理、控制和协调，对业主单位整体规划设计、制度编制、项目建设需求确认等工作给出专业监理意见，对项目的质量、进度、投资和变更等进行全面控制, 对项目的合同和信息文档资料进行管理。</w:t>
      </w:r>
    </w:p>
    <w:p>
      <w:pPr>
        <w:spacing w:line="360" w:lineRule="auto"/>
        <w:ind w:firstLine="480" w:firstLineChars="200"/>
        <w:rPr>
          <w:rFonts w:ascii="宋体" w:hAnsi="宋体"/>
          <w:color w:val="000000"/>
          <w:sz w:val="24"/>
        </w:rPr>
      </w:pPr>
      <w:r>
        <w:rPr>
          <w:rFonts w:ascii="宋体" w:hAnsi="宋体"/>
          <w:color w:val="000000"/>
          <w:sz w:val="24"/>
        </w:rPr>
        <w:t>（一）产出指标</w:t>
      </w:r>
    </w:p>
    <w:p>
      <w:pPr>
        <w:spacing w:line="360" w:lineRule="auto"/>
        <w:ind w:firstLine="480" w:firstLineChars="200"/>
        <w:rPr>
          <w:rFonts w:ascii="宋体" w:hAnsi="宋体"/>
          <w:color w:val="000000"/>
          <w:sz w:val="24"/>
        </w:rPr>
      </w:pPr>
      <w:r>
        <w:rPr>
          <w:rFonts w:ascii="宋体" w:hAnsi="宋体"/>
          <w:color w:val="000000"/>
          <w:sz w:val="24"/>
        </w:rPr>
        <w:t>监理在项目控制、管理、协调过程中产出的各类文档。</w:t>
      </w:r>
    </w:p>
    <w:p>
      <w:pPr>
        <w:spacing w:line="360" w:lineRule="auto"/>
        <w:ind w:firstLine="480" w:firstLineChars="200"/>
        <w:rPr>
          <w:rFonts w:ascii="宋体" w:hAnsi="宋体"/>
          <w:color w:val="000000"/>
          <w:sz w:val="24"/>
        </w:rPr>
      </w:pPr>
      <w:r>
        <w:rPr>
          <w:rFonts w:ascii="宋体" w:hAnsi="宋体"/>
          <w:color w:val="000000"/>
          <w:sz w:val="24"/>
        </w:rPr>
        <w:t>（二）效果指标</w:t>
      </w:r>
    </w:p>
    <w:p>
      <w:pPr>
        <w:spacing w:line="360" w:lineRule="auto"/>
        <w:ind w:firstLine="480" w:firstLineChars="200"/>
        <w:rPr>
          <w:rFonts w:ascii="宋体" w:hAnsi="宋体"/>
          <w:color w:val="000000"/>
          <w:sz w:val="24"/>
        </w:rPr>
      </w:pPr>
      <w:r>
        <w:rPr>
          <w:rFonts w:ascii="宋体" w:hAnsi="宋体"/>
          <w:color w:val="000000"/>
          <w:sz w:val="24"/>
        </w:rPr>
        <w:t>按照“四控制、三管理、一协调”的原则，保证项目在规定的计划时间内按质、按量完成，实现项目运维目标。</w:t>
      </w:r>
    </w:p>
    <w:p>
      <w:pPr>
        <w:numPr>
          <w:ilvl w:val="0"/>
          <w:numId w:val="11"/>
        </w:numPr>
        <w:spacing w:line="360" w:lineRule="auto"/>
        <w:rPr>
          <w:rFonts w:ascii="宋体" w:hAnsi="宋体"/>
          <w:b/>
          <w:bCs/>
          <w:color w:val="000000"/>
          <w:sz w:val="24"/>
        </w:rPr>
      </w:pPr>
      <w:r>
        <w:rPr>
          <w:rFonts w:ascii="宋体" w:hAnsi="宋体"/>
          <w:b/>
          <w:bCs/>
          <w:color w:val="000000"/>
          <w:sz w:val="24"/>
        </w:rPr>
        <w:t>监理服务内容</w:t>
      </w:r>
    </w:p>
    <w:p>
      <w:pPr>
        <w:spacing w:line="360" w:lineRule="auto"/>
        <w:ind w:firstLine="480" w:firstLineChars="200"/>
        <w:rPr>
          <w:rFonts w:ascii="宋体" w:hAnsi="宋体"/>
          <w:color w:val="000000"/>
          <w:sz w:val="24"/>
        </w:rPr>
      </w:pPr>
      <w:r>
        <w:rPr>
          <w:rFonts w:ascii="宋体" w:hAnsi="宋体"/>
          <w:color w:val="000000"/>
          <w:sz w:val="24"/>
        </w:rPr>
        <w:t>（1）项目服务内容</w:t>
      </w:r>
    </w:p>
    <w:p>
      <w:pPr>
        <w:spacing w:line="360" w:lineRule="auto"/>
        <w:ind w:firstLine="480" w:firstLineChars="200"/>
        <w:rPr>
          <w:rFonts w:ascii="宋体" w:hAnsi="宋体"/>
          <w:color w:val="000000"/>
          <w:sz w:val="24"/>
        </w:rPr>
      </w:pPr>
      <w:r>
        <w:rPr>
          <w:rFonts w:hint="eastAsia" w:ascii="宋体" w:hAnsi="宋体"/>
          <w:color w:val="000000"/>
          <w:sz w:val="24"/>
        </w:rPr>
        <w:t>委托专业监理公司对多语言网站内容建设与运营推广项目实施监理制。</w:t>
      </w:r>
    </w:p>
    <w:p>
      <w:pPr>
        <w:spacing w:line="360" w:lineRule="auto"/>
        <w:ind w:firstLine="480" w:firstLineChars="200"/>
        <w:rPr>
          <w:rFonts w:ascii="宋体" w:hAnsi="宋体"/>
          <w:color w:val="000000"/>
          <w:sz w:val="24"/>
        </w:rPr>
      </w:pPr>
      <w:r>
        <w:rPr>
          <w:rFonts w:ascii="宋体" w:hAnsi="宋体"/>
          <w:color w:val="000000"/>
          <w:sz w:val="24"/>
        </w:rPr>
        <w:t>（2）监理服务范围</w:t>
      </w:r>
    </w:p>
    <w:p>
      <w:pPr>
        <w:spacing w:line="360" w:lineRule="auto"/>
        <w:ind w:firstLine="480" w:firstLineChars="200"/>
        <w:rPr>
          <w:rFonts w:ascii="宋体" w:hAnsi="宋体"/>
          <w:color w:val="000000"/>
          <w:sz w:val="24"/>
        </w:rPr>
      </w:pPr>
      <w:r>
        <w:rPr>
          <w:rFonts w:ascii="宋体" w:hAnsi="宋体"/>
          <w:color w:val="000000"/>
          <w:sz w:val="24"/>
        </w:rPr>
        <w:t>监理工作的范围为日常运维工作监理。</w:t>
      </w:r>
    </w:p>
    <w:p>
      <w:pPr>
        <w:spacing w:line="360" w:lineRule="auto"/>
        <w:ind w:firstLine="480" w:firstLineChars="200"/>
        <w:rPr>
          <w:rFonts w:ascii="宋体" w:hAnsi="宋体"/>
          <w:color w:val="000000"/>
          <w:sz w:val="24"/>
        </w:rPr>
      </w:pPr>
      <w:r>
        <w:rPr>
          <w:rFonts w:ascii="宋体" w:hAnsi="宋体"/>
          <w:color w:val="000000"/>
          <w:sz w:val="24"/>
        </w:rPr>
        <w:t>（3）监理工作内容</w:t>
      </w:r>
    </w:p>
    <w:p>
      <w:pPr>
        <w:spacing w:line="360" w:lineRule="auto"/>
        <w:ind w:firstLine="480" w:firstLineChars="200"/>
        <w:rPr>
          <w:rFonts w:ascii="宋体" w:hAnsi="宋体"/>
          <w:color w:val="000000"/>
          <w:sz w:val="24"/>
        </w:rPr>
      </w:pPr>
      <w:r>
        <w:rPr>
          <w:rFonts w:ascii="宋体" w:hAnsi="宋体"/>
          <w:color w:val="000000"/>
          <w:sz w:val="24"/>
        </w:rPr>
        <w:t>在</w:t>
      </w:r>
      <w:r>
        <w:rPr>
          <w:rFonts w:hint="eastAsia" w:ascii="宋体" w:hAnsi="宋体"/>
          <w:color w:val="000000"/>
          <w:sz w:val="24"/>
        </w:rPr>
        <w:t>多语言网站内容建设与运营推广项目</w:t>
      </w:r>
      <w:r>
        <w:rPr>
          <w:rFonts w:ascii="宋体" w:hAnsi="宋体"/>
          <w:color w:val="000000"/>
          <w:sz w:val="24"/>
        </w:rPr>
        <w:t>年度运营周期内，开展全过程监理，包括对项目质量、进度、投资以及变更控制，合同管理、信息管理和组织协调工作。</w:t>
      </w:r>
    </w:p>
    <w:p>
      <w:pPr>
        <w:spacing w:line="360" w:lineRule="auto"/>
        <w:rPr>
          <w:rFonts w:ascii="宋体" w:hAnsi="宋体"/>
          <w:b/>
          <w:bCs/>
          <w:color w:val="000000"/>
          <w:sz w:val="24"/>
        </w:rPr>
      </w:pPr>
      <w:r>
        <w:rPr>
          <w:rFonts w:ascii="宋体" w:hAnsi="宋体"/>
          <w:b/>
          <w:bCs/>
          <w:color w:val="000000"/>
          <w:sz w:val="24"/>
        </w:rPr>
        <w:t>三、监理服务要求</w:t>
      </w:r>
    </w:p>
    <w:p>
      <w:pPr>
        <w:spacing w:line="360" w:lineRule="auto"/>
        <w:ind w:firstLine="480" w:firstLineChars="200"/>
        <w:rPr>
          <w:rFonts w:ascii="宋体" w:hAnsi="宋体"/>
          <w:color w:val="000000"/>
          <w:sz w:val="24"/>
        </w:rPr>
      </w:pPr>
      <w:r>
        <w:rPr>
          <w:rFonts w:ascii="宋体" w:hAnsi="宋体"/>
          <w:color w:val="000000"/>
          <w:sz w:val="24"/>
        </w:rPr>
        <w:t>（1）本着“守法、诚信、公正、科学”的执业准则，按监理合同条款约定的监理服务内容为建设单位提供优质服务。</w:t>
      </w:r>
    </w:p>
    <w:p>
      <w:pPr>
        <w:spacing w:line="360" w:lineRule="auto"/>
        <w:ind w:firstLine="480" w:firstLineChars="200"/>
        <w:rPr>
          <w:rFonts w:ascii="宋体" w:hAnsi="宋体"/>
          <w:color w:val="000000"/>
          <w:sz w:val="24"/>
        </w:rPr>
      </w:pPr>
      <w:r>
        <w:rPr>
          <w:rFonts w:ascii="宋体" w:hAnsi="宋体"/>
          <w:color w:val="000000"/>
          <w:sz w:val="24"/>
        </w:rPr>
        <w:t>（2）在监理合同约定的时间内组建监理机构。及时将监理规划、监理组织机构主要人员名单提交建设单位。更换总监理工程师和其他主要监理人员应征得建设单位同意。</w:t>
      </w:r>
    </w:p>
    <w:p>
      <w:pPr>
        <w:spacing w:line="360" w:lineRule="auto"/>
        <w:ind w:firstLine="480" w:firstLineChars="200"/>
        <w:rPr>
          <w:rFonts w:ascii="宋体" w:hAnsi="宋体"/>
          <w:color w:val="000000"/>
          <w:sz w:val="24"/>
        </w:rPr>
      </w:pPr>
      <w:r>
        <w:rPr>
          <w:rFonts w:ascii="宋体" w:hAnsi="宋体"/>
          <w:color w:val="000000"/>
          <w:sz w:val="24"/>
        </w:rPr>
        <w:t>（3）按照建设单位对项目全过程管理的要求和约定，做好监理文档和指导监督承建单位做好文档工作，发现承建单位实施内容不符合有关规定或合同约定时，应向建设单位报告。</w:t>
      </w:r>
    </w:p>
    <w:p>
      <w:pPr>
        <w:spacing w:line="360" w:lineRule="auto"/>
        <w:ind w:firstLine="480" w:firstLineChars="200"/>
        <w:rPr>
          <w:rFonts w:ascii="宋体" w:hAnsi="宋体"/>
          <w:color w:val="000000"/>
          <w:sz w:val="24"/>
        </w:rPr>
      </w:pPr>
      <w:r>
        <w:rPr>
          <w:rFonts w:ascii="宋体" w:hAnsi="宋体"/>
          <w:color w:val="000000"/>
          <w:sz w:val="24"/>
        </w:rPr>
        <w:t>（4）监督、检查项目进度，形成监理检查报告。</w:t>
      </w:r>
    </w:p>
    <w:p>
      <w:pPr>
        <w:spacing w:line="360" w:lineRule="auto"/>
        <w:ind w:firstLine="480" w:firstLineChars="200"/>
        <w:rPr>
          <w:rFonts w:ascii="宋体" w:hAnsi="宋体"/>
          <w:color w:val="000000"/>
          <w:sz w:val="24"/>
        </w:rPr>
      </w:pPr>
      <w:r>
        <w:rPr>
          <w:rFonts w:ascii="宋体" w:hAnsi="宋体"/>
          <w:color w:val="000000"/>
          <w:sz w:val="24"/>
        </w:rPr>
        <w:t>（5）及时做好项目建设过程中各种监理信息的收集、整理和归档，并保证现场记录、检查等资料的完整和真实。</w:t>
      </w:r>
    </w:p>
    <w:p>
      <w:pPr>
        <w:spacing w:line="360" w:lineRule="auto"/>
        <w:ind w:firstLine="480" w:firstLineChars="200"/>
        <w:rPr>
          <w:rFonts w:ascii="宋体" w:hAnsi="宋体"/>
          <w:color w:val="000000"/>
          <w:sz w:val="24"/>
        </w:rPr>
      </w:pPr>
      <w:r>
        <w:rPr>
          <w:rFonts w:ascii="宋体" w:hAnsi="宋体"/>
          <w:color w:val="000000"/>
          <w:sz w:val="24"/>
        </w:rPr>
        <w:t>（6）向建设单位提交监理月报，并根据项目实际运营情况，向建设单位提交监理专题报告、阶段工作报告和监理工作总结报告等。</w:t>
      </w:r>
    </w:p>
    <w:p>
      <w:pPr>
        <w:spacing w:line="360" w:lineRule="auto"/>
        <w:ind w:firstLine="480" w:firstLineChars="200"/>
        <w:rPr>
          <w:rFonts w:ascii="宋体" w:hAnsi="宋体"/>
          <w:color w:val="000000"/>
          <w:sz w:val="24"/>
        </w:rPr>
      </w:pPr>
      <w:r>
        <w:rPr>
          <w:rFonts w:ascii="宋体" w:hAnsi="宋体"/>
          <w:color w:val="000000"/>
          <w:sz w:val="24"/>
        </w:rPr>
        <w:t>（7）按有关规定组织或参加项目验收，做好相关配合工作。</w:t>
      </w:r>
    </w:p>
    <w:p>
      <w:pPr>
        <w:spacing w:line="360" w:lineRule="auto"/>
        <w:ind w:firstLine="480" w:firstLineChars="200"/>
        <w:rPr>
          <w:rFonts w:ascii="宋体" w:hAnsi="宋体"/>
          <w:color w:val="000000"/>
          <w:sz w:val="24"/>
        </w:rPr>
      </w:pPr>
    </w:p>
    <w:p>
      <w:pPr>
        <w:spacing w:line="360" w:lineRule="auto"/>
        <w:rPr>
          <w:rFonts w:ascii="宋体" w:hAnsi="宋体"/>
          <w:b/>
          <w:bCs/>
          <w:color w:val="000000"/>
          <w:sz w:val="24"/>
        </w:rPr>
      </w:pPr>
      <w:r>
        <w:rPr>
          <w:rFonts w:ascii="宋体" w:hAnsi="宋体"/>
          <w:b/>
          <w:bCs/>
          <w:color w:val="000000"/>
          <w:sz w:val="24"/>
        </w:rPr>
        <w:t>四、监理人员能力要求</w:t>
      </w:r>
    </w:p>
    <w:p>
      <w:pPr>
        <w:spacing w:line="360" w:lineRule="auto"/>
        <w:ind w:firstLine="480" w:firstLineChars="200"/>
        <w:rPr>
          <w:rFonts w:ascii="宋体" w:hAnsi="宋体"/>
          <w:color w:val="000000"/>
          <w:sz w:val="24"/>
        </w:rPr>
      </w:pPr>
      <w:r>
        <w:rPr>
          <w:rFonts w:ascii="宋体" w:hAnsi="宋体"/>
          <w:color w:val="000000"/>
          <w:sz w:val="24"/>
        </w:rPr>
        <w:t>（1）咨询能力。根据IT技术发展态势和信息化运维服务体系标准化的需要，总工程师需要适时提出具有战略性、前瞻性的业务咨询报告和运维评估报告，协助采购人不断提高信息化运维工作的效率和质量。</w:t>
      </w:r>
    </w:p>
    <w:p>
      <w:pPr>
        <w:spacing w:line="360" w:lineRule="auto"/>
        <w:ind w:firstLine="480" w:firstLineChars="200"/>
        <w:rPr>
          <w:rFonts w:ascii="宋体" w:hAnsi="宋体"/>
          <w:color w:val="000000"/>
          <w:sz w:val="24"/>
        </w:rPr>
      </w:pPr>
      <w:r>
        <w:rPr>
          <w:rFonts w:ascii="宋体" w:hAnsi="宋体"/>
          <w:color w:val="000000"/>
          <w:sz w:val="24"/>
        </w:rPr>
        <w:t>（2）协调能力。在信息系统运维项目中，各运维外包单位在项目实施过程中难免存在争议和冲突。运维监理工程师应该站在公平、公正、客观的第三方立场，积极发挥沟通协调作用，解决争议和问题冲突，积极促进单位间的良好合作。</w:t>
      </w:r>
    </w:p>
    <w:p>
      <w:pPr>
        <w:spacing w:line="360" w:lineRule="auto"/>
        <w:ind w:firstLine="480" w:firstLineChars="200"/>
        <w:rPr>
          <w:rFonts w:ascii="宋体" w:hAnsi="宋体"/>
          <w:color w:val="000000"/>
          <w:sz w:val="24"/>
        </w:rPr>
      </w:pPr>
      <w:r>
        <w:rPr>
          <w:rFonts w:ascii="宋体" w:hAnsi="宋体"/>
          <w:color w:val="000000"/>
          <w:sz w:val="24"/>
        </w:rPr>
        <w:t>（3）专业能力。信息工程运维监理工程师必须具有IT监理专业化能力，能够对信息化运维工作提出评估报告和改进建议；能够切实为采购人把好运维项目的质量关；能够向采购人提供信息化运维工作后的评估报告。</w:t>
      </w:r>
    </w:p>
    <w:p>
      <w:pPr>
        <w:snapToGrid w:val="0"/>
        <w:spacing w:line="360" w:lineRule="auto"/>
        <w:ind w:firstLine="480" w:firstLineChars="200"/>
        <w:rPr>
          <w:rFonts w:ascii="宋体" w:hAnsi="宋体" w:cs="宋体"/>
          <w:sz w:val="24"/>
          <w:szCs w:val="24"/>
        </w:rPr>
      </w:pPr>
      <w:r>
        <w:rPr>
          <w:rFonts w:ascii="宋体" w:hAnsi="宋体"/>
          <w:color w:val="000000"/>
          <w:sz w:val="24"/>
        </w:rPr>
        <w:t>（4）管理能力。运维监理工程师应该加强对运维项目的质量管理；应该及时向采购人通报运维执行和产品质量情况；应该协调和管理信息化运维方和承建方做好项目文档的规范化管理工作，有序、高效、优质的完成好各项工作任务。积极协助采购人工作，为采购人提供优质高效的各类信息技术服务。</w:t>
      </w:r>
    </w:p>
    <w:bookmarkEnd w:id="861"/>
    <w:p>
      <w:pPr>
        <w:snapToGrid w:val="0"/>
        <w:spacing w:line="360" w:lineRule="auto"/>
        <w:ind w:firstLine="480" w:firstLineChars="200"/>
        <w:rPr>
          <w:rFonts w:ascii="宋体" w:hAnsi="宋体" w:cs="宋体"/>
          <w:sz w:val="24"/>
        </w:rPr>
      </w:pPr>
      <w:r>
        <w:rPr>
          <w:rFonts w:hint="eastAsia" w:ascii="宋体" w:hAnsi="宋体" w:cs="宋体"/>
          <w:sz w:val="24"/>
        </w:rPr>
        <w:br w:type="page"/>
      </w:r>
    </w:p>
    <w:p>
      <w:pPr>
        <w:pStyle w:val="6"/>
        <w:ind w:firstLine="315"/>
      </w:pPr>
      <w:r>
        <w:rPr>
          <w:rFonts w:hint="eastAsia"/>
        </w:rPr>
        <w:t>附录1：政府采购促进中小企业发展管理办法</w:t>
      </w:r>
      <w:bookmarkEnd w:id="851"/>
      <w:bookmarkEnd w:id="852"/>
      <w:bookmarkEnd w:id="853"/>
      <w:bookmarkEnd w:id="858"/>
    </w:p>
    <w:p>
      <w:pPr>
        <w:widowControl/>
        <w:adjustRightInd w:val="0"/>
        <w:snapToGrid w:val="0"/>
        <w:spacing w:line="360" w:lineRule="auto"/>
        <w:jc w:val="center"/>
        <w:rPr>
          <w:rFonts w:ascii="宋体" w:hAnsi="宋体" w:cs="宋体"/>
          <w:bCs/>
          <w:sz w:val="24"/>
          <w:szCs w:val="24"/>
        </w:rPr>
      </w:pPr>
      <w:r>
        <w:rPr>
          <w:rFonts w:hint="eastAsia" w:ascii="宋体" w:hAnsi="宋体" w:cs="宋体"/>
          <w:bCs/>
          <w:sz w:val="24"/>
          <w:szCs w:val="24"/>
        </w:rPr>
        <w:t>政府采购促进中小企业发展管理办法</w:t>
      </w:r>
    </w:p>
    <w:p>
      <w:pPr>
        <w:spacing w:line="360" w:lineRule="auto"/>
        <w:jc w:val="center"/>
        <w:rPr>
          <w:rFonts w:ascii="宋体" w:hAnsi="宋体" w:cs="宋体"/>
          <w:bCs/>
          <w:sz w:val="24"/>
          <w:szCs w:val="24"/>
        </w:rPr>
      </w:pPr>
      <w:r>
        <w:rPr>
          <w:rFonts w:hint="eastAsia" w:ascii="宋体" w:hAnsi="宋体" w:cs="宋体"/>
          <w:bCs/>
          <w:sz w:val="24"/>
          <w:szCs w:val="24"/>
        </w:rPr>
        <w:t>财库[2020]46号</w:t>
      </w:r>
    </w:p>
    <w:p>
      <w:pPr>
        <w:spacing w:line="360" w:lineRule="auto"/>
        <w:ind w:firstLine="420"/>
        <w:jc w:val="center"/>
        <w:rPr>
          <w:rFonts w:ascii="宋体" w:hAnsi="宋体" w:cs="宋体"/>
        </w:rPr>
      </w:pPr>
    </w:p>
    <w:p>
      <w:pPr>
        <w:spacing w:line="360" w:lineRule="auto"/>
        <w:rPr>
          <w:rFonts w:ascii="宋体" w:hAnsi="宋体" w:cs="宋体"/>
          <w:bCs/>
          <w:sz w:val="24"/>
          <w:szCs w:val="24"/>
        </w:rPr>
      </w:pPr>
      <w:r>
        <w:rPr>
          <w:rFonts w:hint="eastAsia" w:ascii="宋体" w:hAnsi="宋体" w:cs="宋体"/>
          <w:bCs/>
          <w:sz w:val="24"/>
          <w:szCs w:val="24"/>
        </w:rPr>
        <w:t>第一条 为了发挥政府采购的政策功能，促进中小企业健康发展，根据《中华人民共和国政府采购法》、《中华人民共和国中小企业促进法》等有关法律法规，制定本办法。</w:t>
      </w:r>
    </w:p>
    <w:p>
      <w:pPr>
        <w:spacing w:line="360" w:lineRule="auto"/>
        <w:rPr>
          <w:rFonts w:ascii="宋体" w:hAnsi="宋体" w:cs="宋体"/>
          <w:bCs/>
          <w:sz w:val="24"/>
          <w:szCs w:val="24"/>
        </w:rPr>
      </w:pPr>
      <w:r>
        <w:rPr>
          <w:rFonts w:hint="eastAsia" w:ascii="宋体" w:hAnsi="宋体" w:cs="宋体"/>
          <w:bCs/>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ascii="宋体" w:hAnsi="宋体" w:cs="宋体"/>
          <w:bCs/>
          <w:sz w:val="24"/>
          <w:szCs w:val="24"/>
        </w:rPr>
      </w:pPr>
      <w:r>
        <w:rPr>
          <w:rFonts w:hint="eastAsia" w:ascii="宋体" w:hAnsi="宋体" w:cs="宋体"/>
          <w:bCs/>
          <w:sz w:val="24"/>
          <w:szCs w:val="24"/>
        </w:rPr>
        <w:t>符合中小企业划分标准的个体工商户，在政府采购活动中视同中小企业。</w:t>
      </w:r>
    </w:p>
    <w:p>
      <w:pPr>
        <w:spacing w:line="360" w:lineRule="auto"/>
        <w:rPr>
          <w:rFonts w:ascii="宋体" w:hAnsi="宋体" w:cs="宋体"/>
          <w:bCs/>
          <w:sz w:val="24"/>
          <w:szCs w:val="24"/>
        </w:rPr>
      </w:pPr>
      <w:r>
        <w:rPr>
          <w:rFonts w:hint="eastAsia" w:ascii="宋体" w:hAnsi="宋体" w:cs="宋体"/>
          <w:bCs/>
          <w:sz w:val="24"/>
          <w:szCs w:val="24"/>
        </w:rPr>
        <w:t>第三条 采购人在政府采购活动中应当通过加强采购需求管理，落实预留采购份额、价格评审优惠、优先采购等措施，提高中小企业在政府采购中的份额，支持中小企业发展。</w:t>
      </w:r>
    </w:p>
    <w:p>
      <w:pPr>
        <w:spacing w:line="360" w:lineRule="auto"/>
        <w:rPr>
          <w:rFonts w:ascii="宋体" w:hAnsi="宋体" w:cs="宋体"/>
          <w:bCs/>
          <w:sz w:val="24"/>
          <w:szCs w:val="24"/>
        </w:rPr>
      </w:pPr>
      <w:r>
        <w:rPr>
          <w:rFonts w:hint="eastAsia" w:ascii="宋体" w:hAnsi="宋体" w:cs="宋体"/>
          <w:bCs/>
          <w:sz w:val="24"/>
          <w:szCs w:val="24"/>
        </w:rPr>
        <w:t>第四条 在政府采购活动中，供应商提供的货物、工程或者服务符合下列情形的，享受本办法规定的中小企业扶持政策：</w:t>
      </w:r>
    </w:p>
    <w:p>
      <w:pPr>
        <w:spacing w:line="360" w:lineRule="auto"/>
        <w:rPr>
          <w:rFonts w:ascii="宋体" w:hAnsi="宋体" w:cs="宋体"/>
          <w:bCs/>
          <w:sz w:val="24"/>
          <w:szCs w:val="24"/>
        </w:rPr>
      </w:pPr>
      <w:r>
        <w:rPr>
          <w:rFonts w:hint="eastAsia" w:ascii="宋体" w:hAnsi="宋体" w:cs="宋体"/>
          <w:bCs/>
          <w:sz w:val="24"/>
          <w:szCs w:val="24"/>
        </w:rPr>
        <w:t>（一）在货物采购项目中，货物由中小企业制造，即货物由中小企业生产且使用该中小企业商号或者注册商标；</w:t>
      </w:r>
    </w:p>
    <w:p>
      <w:pPr>
        <w:spacing w:line="360" w:lineRule="auto"/>
        <w:rPr>
          <w:rFonts w:ascii="宋体" w:hAnsi="宋体" w:cs="宋体"/>
          <w:bCs/>
          <w:sz w:val="24"/>
          <w:szCs w:val="24"/>
        </w:rPr>
      </w:pPr>
      <w:r>
        <w:rPr>
          <w:rFonts w:hint="eastAsia" w:ascii="宋体" w:hAnsi="宋体" w:cs="宋体"/>
          <w:bCs/>
          <w:sz w:val="24"/>
          <w:szCs w:val="24"/>
        </w:rPr>
        <w:t>（二）在工程采购项目中，工程由中小企业承建，即工程施工单位为中小企业；</w:t>
      </w:r>
    </w:p>
    <w:p>
      <w:pPr>
        <w:spacing w:line="360" w:lineRule="auto"/>
        <w:rPr>
          <w:rFonts w:ascii="宋体" w:hAnsi="宋体" w:cs="宋体"/>
          <w:bCs/>
          <w:sz w:val="24"/>
          <w:szCs w:val="24"/>
        </w:rPr>
      </w:pPr>
      <w:r>
        <w:rPr>
          <w:rFonts w:hint="eastAsia" w:ascii="宋体" w:hAnsi="宋体" w:cs="宋体"/>
          <w:bCs/>
          <w:sz w:val="24"/>
          <w:szCs w:val="24"/>
        </w:rPr>
        <w:t>（三）在服务采购项目中，服务由中小企业承接，即提</w:t>
      </w:r>
      <w:bookmarkStart w:id="862" w:name="page2"/>
      <w:bookmarkEnd w:id="862"/>
      <w:r>
        <w:rPr>
          <w:rFonts w:hint="eastAsia" w:ascii="宋体" w:hAnsi="宋体" w:cs="宋体"/>
          <w:bCs/>
          <w:sz w:val="24"/>
          <w:szCs w:val="24"/>
        </w:rPr>
        <w:t>供服务的人员为中小企业依照《中华人民共和国劳动合同法》订立劳动合同的从业人员。</w:t>
      </w:r>
    </w:p>
    <w:p>
      <w:pPr>
        <w:spacing w:line="360" w:lineRule="auto"/>
        <w:rPr>
          <w:rFonts w:ascii="宋体" w:hAnsi="宋体" w:cs="宋体"/>
          <w:bCs/>
          <w:sz w:val="24"/>
          <w:szCs w:val="24"/>
        </w:rPr>
      </w:pPr>
      <w:r>
        <w:rPr>
          <w:rFonts w:hint="eastAsia" w:ascii="宋体" w:hAnsi="宋体" w:cs="宋体"/>
          <w:bCs/>
          <w:sz w:val="24"/>
          <w:szCs w:val="24"/>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auto"/>
        <w:rPr>
          <w:rFonts w:ascii="宋体" w:hAnsi="宋体" w:cs="宋体"/>
          <w:bCs/>
          <w:sz w:val="24"/>
          <w:szCs w:val="24"/>
        </w:rPr>
      </w:pPr>
      <w:r>
        <w:rPr>
          <w:rFonts w:hint="eastAsia" w:ascii="宋体" w:hAnsi="宋体" w:cs="宋体"/>
          <w:bCs/>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rPr>
          <w:rFonts w:ascii="宋体" w:hAnsi="宋体" w:cs="宋体"/>
          <w:bCs/>
          <w:sz w:val="24"/>
          <w:szCs w:val="24"/>
        </w:rPr>
      </w:pPr>
      <w:r>
        <w:rPr>
          <w:rFonts w:hint="eastAsia" w:ascii="宋体" w:hAnsi="宋体" w:cs="宋体"/>
          <w:bCs/>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rPr>
          <w:rFonts w:ascii="宋体" w:hAnsi="宋体" w:cs="宋体"/>
          <w:bCs/>
          <w:sz w:val="24"/>
          <w:szCs w:val="24"/>
        </w:rPr>
      </w:pPr>
      <w:r>
        <w:rPr>
          <w:rFonts w:hint="eastAsia" w:ascii="宋体" w:hAnsi="宋体" w:cs="宋体"/>
          <w:bCs/>
          <w:sz w:val="24"/>
          <w:szCs w:val="24"/>
        </w:rPr>
        <w:t>符合下列情形之一的，可不专门面向中小企业预留采购份额：</w:t>
      </w:r>
    </w:p>
    <w:p>
      <w:pPr>
        <w:spacing w:line="360" w:lineRule="auto"/>
        <w:rPr>
          <w:rFonts w:ascii="宋体" w:hAnsi="宋体" w:cs="宋体"/>
          <w:bCs/>
          <w:sz w:val="24"/>
          <w:szCs w:val="24"/>
        </w:rPr>
      </w:pPr>
      <w:r>
        <w:rPr>
          <w:rFonts w:hint="eastAsia" w:ascii="宋体" w:hAnsi="宋体" w:cs="宋体"/>
          <w:bCs/>
          <w:sz w:val="24"/>
          <w:szCs w:val="24"/>
        </w:rPr>
        <w:t>（一）法律法规和国家有关政策明确规定优先或者应当面向事业单位、社会组织等非企业主体采购的；</w:t>
      </w:r>
    </w:p>
    <w:p>
      <w:pPr>
        <w:spacing w:line="360" w:lineRule="auto"/>
        <w:rPr>
          <w:rFonts w:ascii="宋体" w:hAnsi="宋体" w:cs="宋体"/>
          <w:bCs/>
          <w:sz w:val="24"/>
          <w:szCs w:val="24"/>
        </w:rPr>
      </w:pPr>
      <w:r>
        <w:rPr>
          <w:rFonts w:hint="eastAsia" w:ascii="宋体" w:hAnsi="宋体" w:cs="宋体"/>
          <w:bCs/>
          <w:sz w:val="24"/>
          <w:szCs w:val="24"/>
        </w:rPr>
        <w:t>（二）因确需使用不可替代的专利、专有技术，基础设施限制，或者提供特定公共服务等原因，只能从中小企业之外的供应商处采购的；</w:t>
      </w:r>
      <w:bookmarkStart w:id="863" w:name="page3"/>
      <w:bookmarkEnd w:id="863"/>
    </w:p>
    <w:p>
      <w:pPr>
        <w:spacing w:line="360" w:lineRule="auto"/>
        <w:rPr>
          <w:rFonts w:ascii="宋体" w:hAnsi="宋体" w:cs="宋体"/>
          <w:bCs/>
          <w:sz w:val="24"/>
          <w:szCs w:val="24"/>
        </w:rPr>
      </w:pPr>
      <w:r>
        <w:rPr>
          <w:rFonts w:hint="eastAsia" w:ascii="宋体" w:hAnsi="宋体" w:cs="宋体"/>
          <w:bCs/>
          <w:sz w:val="24"/>
          <w:szCs w:val="24"/>
        </w:rPr>
        <w:t>（三）按照本办法规定预留采购份额无法确保充分供应、充分竞争，或者存在可能影响政府采购目标实现的情形；</w:t>
      </w:r>
    </w:p>
    <w:p>
      <w:pPr>
        <w:spacing w:line="360" w:lineRule="auto"/>
        <w:rPr>
          <w:rFonts w:ascii="宋体" w:hAnsi="宋体" w:cs="宋体"/>
          <w:bCs/>
          <w:sz w:val="24"/>
          <w:szCs w:val="24"/>
        </w:rPr>
      </w:pPr>
      <w:r>
        <w:rPr>
          <w:rFonts w:hint="eastAsia" w:ascii="宋体" w:hAnsi="宋体" w:cs="宋体"/>
          <w:bCs/>
          <w:sz w:val="24"/>
          <w:szCs w:val="24"/>
        </w:rPr>
        <w:t>（四）框架协议采购项目；</w:t>
      </w:r>
    </w:p>
    <w:p>
      <w:pPr>
        <w:spacing w:line="360" w:lineRule="auto"/>
        <w:rPr>
          <w:rFonts w:ascii="宋体" w:hAnsi="宋体" w:cs="宋体"/>
          <w:bCs/>
          <w:sz w:val="24"/>
          <w:szCs w:val="24"/>
        </w:rPr>
      </w:pPr>
      <w:r>
        <w:rPr>
          <w:rFonts w:hint="eastAsia" w:ascii="宋体" w:hAnsi="宋体" w:cs="宋体"/>
          <w:bCs/>
          <w:sz w:val="24"/>
          <w:szCs w:val="24"/>
        </w:rPr>
        <w:t>（五）省级以上人民政府财政部门规定的其他情形。</w:t>
      </w:r>
    </w:p>
    <w:p>
      <w:pPr>
        <w:spacing w:line="360" w:lineRule="auto"/>
        <w:rPr>
          <w:rFonts w:ascii="宋体" w:hAnsi="宋体" w:cs="宋体"/>
          <w:bCs/>
          <w:sz w:val="24"/>
          <w:szCs w:val="24"/>
        </w:rPr>
      </w:pPr>
      <w:r>
        <w:rPr>
          <w:rFonts w:hint="eastAsia" w:ascii="宋体" w:hAnsi="宋体" w:cs="宋体"/>
          <w:bCs/>
          <w:sz w:val="24"/>
          <w:szCs w:val="24"/>
        </w:rPr>
        <w:t>除上述情形外，其他均为适宜由中小企业提供的情形。</w:t>
      </w:r>
    </w:p>
    <w:p>
      <w:pPr>
        <w:spacing w:line="360" w:lineRule="auto"/>
        <w:rPr>
          <w:rFonts w:ascii="宋体" w:hAnsi="宋体" w:cs="宋体"/>
          <w:bCs/>
          <w:sz w:val="24"/>
          <w:szCs w:val="24"/>
        </w:rPr>
      </w:pPr>
      <w:r>
        <w:rPr>
          <w:rFonts w:hint="eastAsia" w:ascii="宋体" w:hAnsi="宋体" w:cs="宋体"/>
          <w:bCs/>
          <w:sz w:val="24"/>
          <w:szCs w:val="24"/>
        </w:rPr>
        <w:t>第七条 采购限额标准以上，200万元以下的货物和服务采购项目、400万元以下的工程采购项目，适宜由中小企业提供的，采购人应当专门面向中小企业采购。</w:t>
      </w:r>
    </w:p>
    <w:p>
      <w:pPr>
        <w:spacing w:line="360" w:lineRule="auto"/>
        <w:rPr>
          <w:rFonts w:ascii="宋体" w:hAnsi="宋体" w:cs="宋体"/>
          <w:bCs/>
          <w:sz w:val="24"/>
          <w:szCs w:val="24"/>
        </w:rPr>
      </w:pPr>
      <w:r>
        <w:rPr>
          <w:rFonts w:hint="eastAsia" w:ascii="宋体" w:hAnsi="宋体" w:cs="宋体"/>
          <w:bCs/>
          <w:sz w:val="24"/>
          <w:szCs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rPr>
          <w:rFonts w:ascii="宋体" w:hAnsi="宋体" w:cs="宋体"/>
          <w:bCs/>
          <w:sz w:val="24"/>
          <w:szCs w:val="24"/>
        </w:rPr>
      </w:pPr>
      <w:r>
        <w:rPr>
          <w:rFonts w:hint="eastAsia" w:ascii="宋体" w:hAnsi="宋体" w:cs="宋体"/>
          <w:bCs/>
          <w:sz w:val="24"/>
          <w:szCs w:val="24"/>
        </w:rPr>
        <w:t>（一）将采购项目整体或者设置采购包专门面向中小企业采购；</w:t>
      </w:r>
    </w:p>
    <w:p>
      <w:pPr>
        <w:spacing w:line="360" w:lineRule="auto"/>
        <w:rPr>
          <w:rFonts w:ascii="宋体" w:hAnsi="宋体" w:cs="宋体"/>
          <w:bCs/>
          <w:sz w:val="24"/>
          <w:szCs w:val="24"/>
        </w:rPr>
      </w:pPr>
      <w:r>
        <w:rPr>
          <w:rFonts w:hint="eastAsia" w:ascii="宋体" w:hAnsi="宋体" w:cs="宋体"/>
          <w:bCs/>
          <w:sz w:val="24"/>
          <w:szCs w:val="24"/>
        </w:rPr>
        <w:t>（二）要求供应商以联合体形式参加采购活动，且联合体中中小企业承担的部分达到一定比例；</w:t>
      </w:r>
    </w:p>
    <w:p>
      <w:pPr>
        <w:spacing w:line="360" w:lineRule="auto"/>
        <w:rPr>
          <w:rFonts w:ascii="宋体" w:hAnsi="宋体" w:cs="宋体"/>
          <w:bCs/>
          <w:sz w:val="24"/>
          <w:szCs w:val="24"/>
        </w:rPr>
      </w:pPr>
      <w:r>
        <w:rPr>
          <w:rFonts w:hint="eastAsia" w:ascii="宋体" w:hAnsi="宋体" w:cs="宋体"/>
          <w:bCs/>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pPr>
        <w:spacing w:line="360" w:lineRule="auto"/>
        <w:rPr>
          <w:rFonts w:ascii="宋体" w:hAnsi="宋体" w:cs="宋体"/>
          <w:bCs/>
          <w:sz w:val="24"/>
          <w:szCs w:val="24"/>
        </w:rPr>
      </w:pPr>
      <w:r>
        <w:rPr>
          <w:rFonts w:hint="eastAsia" w:ascii="宋体" w:hAnsi="宋体" w:cs="宋体"/>
          <w:bCs/>
          <w:sz w:val="24"/>
          <w:szCs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w:t>
      </w:r>
      <w:bookmarkStart w:id="864" w:name="page4"/>
      <w:bookmarkEnd w:id="864"/>
      <w:r>
        <w:rPr>
          <w:rFonts w:hint="eastAsia" w:ascii="宋体" w:hAnsi="宋体" w:cs="宋体"/>
          <w:bCs/>
          <w:sz w:val="24"/>
          <w:szCs w:val="24"/>
        </w:rPr>
        <w:t>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rPr>
          <w:rFonts w:ascii="宋体" w:hAnsi="宋体" w:cs="宋体"/>
          <w:bCs/>
          <w:sz w:val="24"/>
          <w:szCs w:val="24"/>
        </w:rPr>
      </w:pPr>
      <w:r>
        <w:rPr>
          <w:rFonts w:hint="eastAsia" w:ascii="宋体" w:hAnsi="宋体" w:cs="宋体"/>
          <w:bCs/>
          <w:sz w:val="24"/>
          <w:szCs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w:t>
      </w:r>
      <w:bookmarkStart w:id="865" w:name="page5"/>
      <w:bookmarkEnd w:id="865"/>
      <w:r>
        <w:rPr>
          <w:rFonts w:hint="eastAsia" w:ascii="宋体" w:hAnsi="宋体" w:cs="宋体"/>
          <w:bCs/>
          <w:sz w:val="24"/>
          <w:szCs w:val="24"/>
        </w:rPr>
        <w:t>九条有关规定重新组织采购活动。</w:t>
      </w:r>
    </w:p>
    <w:p>
      <w:pPr>
        <w:spacing w:line="360" w:lineRule="auto"/>
        <w:rPr>
          <w:rFonts w:ascii="宋体" w:hAnsi="宋体" w:cs="宋体"/>
          <w:bCs/>
          <w:sz w:val="24"/>
          <w:szCs w:val="24"/>
        </w:rPr>
      </w:pPr>
      <w:r>
        <w:rPr>
          <w:rFonts w:hint="eastAsia" w:ascii="宋体" w:hAnsi="宋体" w:cs="宋体"/>
          <w:bCs/>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rPr>
          <w:rFonts w:ascii="宋体" w:hAnsi="宋体" w:cs="宋体"/>
          <w:bCs/>
          <w:sz w:val="24"/>
          <w:szCs w:val="24"/>
        </w:rPr>
      </w:pPr>
      <w:r>
        <w:rPr>
          <w:rFonts w:hint="eastAsia" w:ascii="宋体" w:hAnsi="宋体" w:cs="宋体"/>
          <w:bCs/>
          <w:sz w:val="24"/>
          <w:szCs w:val="24"/>
        </w:rPr>
        <w:t>第十二条 采购项目涉及中小企业采购的，采购文件应当明确以下内容：</w:t>
      </w:r>
    </w:p>
    <w:p>
      <w:pPr>
        <w:spacing w:line="360" w:lineRule="auto"/>
        <w:rPr>
          <w:rFonts w:ascii="宋体" w:hAnsi="宋体" w:cs="宋体"/>
          <w:bCs/>
          <w:sz w:val="24"/>
          <w:szCs w:val="24"/>
        </w:rPr>
      </w:pPr>
      <w:r>
        <w:rPr>
          <w:rFonts w:hint="eastAsia" w:ascii="宋体" w:hAnsi="宋体" w:cs="宋体"/>
          <w:bCs/>
          <w:sz w:val="24"/>
          <w:szCs w:val="24"/>
        </w:rPr>
        <w:t>（一）预留份额的采购项目或者采购包，明确该项目或相关采购包专门面向中小企业采购，以及相关标的及预算金额；</w:t>
      </w:r>
    </w:p>
    <w:p>
      <w:pPr>
        <w:spacing w:line="360" w:lineRule="auto"/>
        <w:rPr>
          <w:rFonts w:ascii="宋体" w:hAnsi="宋体" w:cs="宋体"/>
          <w:bCs/>
          <w:sz w:val="24"/>
          <w:szCs w:val="24"/>
        </w:rPr>
      </w:pPr>
      <w:r>
        <w:rPr>
          <w:rFonts w:hint="eastAsia" w:ascii="宋体" w:hAnsi="宋体" w:cs="宋体"/>
          <w:bCs/>
          <w:sz w:val="24"/>
          <w:szCs w:val="24"/>
        </w:rPr>
        <w:t>（二）要求以联合体形式参加或者合同分包的，明确联合协议或者分包意向协议中中小企业合同金额应当达到的比例，并作为供应商资格条件；</w:t>
      </w:r>
    </w:p>
    <w:p>
      <w:pPr>
        <w:spacing w:line="360" w:lineRule="auto"/>
        <w:rPr>
          <w:rFonts w:ascii="宋体" w:hAnsi="宋体" w:cs="宋体"/>
          <w:bCs/>
          <w:sz w:val="24"/>
          <w:szCs w:val="24"/>
        </w:rPr>
      </w:pPr>
      <w:r>
        <w:rPr>
          <w:rFonts w:hint="eastAsia" w:ascii="宋体" w:hAnsi="宋体" w:cs="宋体"/>
          <w:bCs/>
          <w:sz w:val="24"/>
          <w:szCs w:val="24"/>
        </w:rPr>
        <w:t>（三）非预留份额的采购项目或者采购包，明确有关价格扣除比例或者价格分加分比例；</w:t>
      </w:r>
    </w:p>
    <w:p>
      <w:pPr>
        <w:spacing w:line="360" w:lineRule="auto"/>
        <w:rPr>
          <w:rFonts w:ascii="宋体" w:hAnsi="宋体" w:cs="宋体"/>
          <w:bCs/>
          <w:sz w:val="24"/>
          <w:szCs w:val="24"/>
        </w:rPr>
      </w:pPr>
      <w:r>
        <w:rPr>
          <w:rFonts w:hint="eastAsia" w:ascii="宋体" w:hAnsi="宋体" w:cs="宋体"/>
          <w:bCs/>
          <w:sz w:val="24"/>
          <w:szCs w:val="24"/>
        </w:rPr>
        <w:t>（四）规定依据本办法规定享受扶持政策获得政府采购合同的，小微企业不得将合同分包给大中型企业，中型企业不得将合同分包给大型企业；</w:t>
      </w:r>
    </w:p>
    <w:p>
      <w:pPr>
        <w:spacing w:line="360" w:lineRule="auto"/>
        <w:rPr>
          <w:rFonts w:ascii="宋体" w:hAnsi="宋体" w:cs="宋体"/>
          <w:bCs/>
          <w:sz w:val="24"/>
          <w:szCs w:val="24"/>
        </w:rPr>
      </w:pPr>
      <w:r>
        <w:rPr>
          <w:rFonts w:hint="eastAsia" w:ascii="宋体" w:hAnsi="宋体" w:cs="宋体"/>
          <w:bCs/>
          <w:sz w:val="24"/>
          <w:szCs w:val="24"/>
        </w:rPr>
        <w:t>（五）采购人认为具备相关条件的，明确对中小企业在资金支付期限、预付款比例等方面的优惠措施；</w:t>
      </w:r>
    </w:p>
    <w:p>
      <w:pPr>
        <w:spacing w:line="360" w:lineRule="auto"/>
        <w:rPr>
          <w:rFonts w:ascii="宋体" w:hAnsi="宋体" w:cs="宋体"/>
          <w:bCs/>
          <w:sz w:val="24"/>
          <w:szCs w:val="24"/>
        </w:rPr>
      </w:pPr>
      <w:r>
        <w:rPr>
          <w:rFonts w:hint="eastAsia" w:ascii="宋体" w:hAnsi="宋体" w:cs="宋体"/>
          <w:bCs/>
          <w:sz w:val="24"/>
          <w:szCs w:val="24"/>
        </w:rPr>
        <w:t>（六）明确采购标的对应的中小企业划分标准所属行业；</w:t>
      </w:r>
    </w:p>
    <w:p>
      <w:pPr>
        <w:spacing w:line="360" w:lineRule="auto"/>
        <w:rPr>
          <w:rFonts w:ascii="宋体" w:hAnsi="宋体" w:cs="宋体"/>
          <w:bCs/>
          <w:sz w:val="24"/>
          <w:szCs w:val="24"/>
        </w:rPr>
      </w:pPr>
      <w:r>
        <w:rPr>
          <w:rFonts w:hint="eastAsia" w:ascii="宋体" w:hAnsi="宋体" w:cs="宋体"/>
          <w:bCs/>
          <w:sz w:val="24"/>
          <w:szCs w:val="24"/>
        </w:rPr>
        <w:t>（七）法律法规和省级以上人民政府财政部门规定的其他事项。</w:t>
      </w:r>
    </w:p>
    <w:p>
      <w:pPr>
        <w:spacing w:line="360" w:lineRule="auto"/>
        <w:rPr>
          <w:rFonts w:ascii="宋体" w:hAnsi="宋体" w:cs="宋体"/>
          <w:bCs/>
          <w:sz w:val="24"/>
          <w:szCs w:val="24"/>
        </w:rPr>
      </w:pPr>
      <w:r>
        <w:rPr>
          <w:rFonts w:hint="eastAsia" w:ascii="宋体" w:hAnsi="宋体" w:cs="宋体"/>
          <w:bCs/>
          <w:sz w:val="24"/>
          <w:szCs w:val="24"/>
        </w:rPr>
        <w:t>第十三条 中标、成交供应商享受本办法规定的中小企</w:t>
      </w:r>
      <w:bookmarkStart w:id="866" w:name="page6"/>
      <w:bookmarkEnd w:id="866"/>
      <w:r>
        <w:rPr>
          <w:rFonts w:hint="eastAsia" w:ascii="宋体" w:hAnsi="宋体" w:cs="宋体"/>
          <w:bCs/>
          <w:sz w:val="24"/>
          <w:szCs w:val="24"/>
        </w:rPr>
        <w:t>业扶持政策的，采购人、采购代理机构应当随中标、成交结果公开中标、成交供应商的《中小企业声明函》。适用招标投标法的政府采购工程建设项目，应当在公示中标候选人时公开中标候选人的《中小企业声明函》。</w:t>
      </w:r>
    </w:p>
    <w:p>
      <w:pPr>
        <w:spacing w:line="360" w:lineRule="auto"/>
        <w:rPr>
          <w:rFonts w:ascii="宋体" w:hAnsi="宋体" w:cs="宋体"/>
          <w:bCs/>
          <w:sz w:val="24"/>
          <w:szCs w:val="24"/>
        </w:rPr>
      </w:pPr>
      <w:r>
        <w:rPr>
          <w:rFonts w:hint="eastAsia" w:ascii="宋体" w:hAnsi="宋体" w:cs="宋体"/>
          <w:bCs/>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rPr>
          <w:rFonts w:ascii="宋体" w:hAnsi="宋体" w:cs="宋体"/>
          <w:bCs/>
          <w:sz w:val="24"/>
          <w:szCs w:val="24"/>
        </w:rPr>
      </w:pPr>
      <w:r>
        <w:rPr>
          <w:rFonts w:hint="eastAsia" w:ascii="宋体" w:hAnsi="宋体" w:cs="宋体"/>
          <w:bCs/>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rPr>
          <w:rFonts w:ascii="宋体" w:hAnsi="宋体" w:cs="宋体"/>
          <w:bCs/>
          <w:sz w:val="24"/>
          <w:szCs w:val="24"/>
        </w:rPr>
      </w:pPr>
      <w:r>
        <w:rPr>
          <w:rFonts w:hint="eastAsia" w:ascii="宋体" w:hAnsi="宋体" w:cs="宋体"/>
          <w:bCs/>
          <w:sz w:val="24"/>
          <w:szCs w:val="24"/>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spacing w:line="360" w:lineRule="auto"/>
        <w:rPr>
          <w:rFonts w:ascii="宋体" w:hAnsi="宋体" w:cs="宋体"/>
          <w:bCs/>
          <w:sz w:val="24"/>
          <w:szCs w:val="24"/>
        </w:rPr>
      </w:pPr>
      <w:r>
        <w:rPr>
          <w:rFonts w:hint="eastAsia" w:ascii="宋体" w:hAnsi="宋体" w:cs="宋体"/>
          <w:bCs/>
          <w:sz w:val="24"/>
          <w:szCs w:val="24"/>
        </w:rPr>
        <w:t>第十七条 各地区、各部门应当对涉及中小企业采购的预算项目实施全过程绩效管理，合理设置绩效目标和指标，落实扶持中小企业有关政策要求，定期开展绩效监控和评价，强化绩效评价结果应用。</w:t>
      </w:r>
      <w:bookmarkStart w:id="867" w:name="page7"/>
      <w:bookmarkEnd w:id="867"/>
    </w:p>
    <w:p>
      <w:pPr>
        <w:spacing w:line="360" w:lineRule="auto"/>
        <w:rPr>
          <w:rFonts w:ascii="宋体" w:hAnsi="宋体" w:cs="宋体"/>
          <w:bCs/>
          <w:sz w:val="24"/>
          <w:szCs w:val="24"/>
        </w:rPr>
      </w:pPr>
      <w:r>
        <w:rPr>
          <w:rFonts w:hint="eastAsia" w:ascii="宋体" w:hAnsi="宋体" w:cs="宋体"/>
          <w:bCs/>
          <w:sz w:val="24"/>
          <w:szCs w:val="24"/>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rPr>
          <w:rFonts w:ascii="宋体" w:hAnsi="宋体" w:cs="宋体"/>
          <w:bCs/>
          <w:sz w:val="24"/>
          <w:szCs w:val="24"/>
        </w:rPr>
      </w:pPr>
      <w:r>
        <w:rPr>
          <w:rFonts w:hint="eastAsia" w:ascii="宋体" w:hAnsi="宋体" w:cs="宋体"/>
          <w:bCs/>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rPr>
          <w:rFonts w:ascii="宋体" w:hAnsi="宋体" w:cs="宋体"/>
          <w:bCs/>
          <w:sz w:val="24"/>
          <w:szCs w:val="24"/>
        </w:rPr>
      </w:pPr>
      <w:r>
        <w:rPr>
          <w:rFonts w:hint="eastAsia" w:ascii="宋体" w:hAnsi="宋体" w:cs="宋体"/>
          <w:bCs/>
          <w:sz w:val="24"/>
          <w:szCs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360" w:lineRule="auto"/>
        <w:rPr>
          <w:rFonts w:ascii="宋体" w:hAnsi="宋体" w:cs="宋体"/>
          <w:bCs/>
          <w:sz w:val="24"/>
          <w:szCs w:val="24"/>
        </w:rPr>
      </w:pPr>
      <w:r>
        <w:rPr>
          <w:rFonts w:hint="eastAsia" w:ascii="宋体" w:hAnsi="宋体" w:cs="宋体"/>
          <w:bCs/>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rPr>
          <w:rFonts w:ascii="宋体" w:hAnsi="宋体" w:cs="宋体"/>
          <w:bCs/>
          <w:sz w:val="24"/>
          <w:szCs w:val="24"/>
        </w:rPr>
      </w:pPr>
      <w:r>
        <w:rPr>
          <w:rFonts w:hint="eastAsia" w:ascii="宋体" w:hAnsi="宋体" w:cs="宋体"/>
          <w:bCs/>
          <w:sz w:val="24"/>
          <w:szCs w:val="24"/>
        </w:rPr>
        <w:t>第二十二条 对外援助项目、国家相关资格或者资质管理制度另有规定的项目，不适用本办法。</w:t>
      </w:r>
    </w:p>
    <w:p>
      <w:pPr>
        <w:spacing w:line="360" w:lineRule="auto"/>
        <w:rPr>
          <w:rFonts w:ascii="宋体" w:hAnsi="宋体" w:cs="宋体"/>
          <w:bCs/>
          <w:sz w:val="24"/>
          <w:szCs w:val="24"/>
        </w:rPr>
      </w:pPr>
      <w:r>
        <w:rPr>
          <w:rFonts w:hint="eastAsia" w:ascii="宋体" w:hAnsi="宋体" w:cs="宋体"/>
          <w:bCs/>
          <w:sz w:val="24"/>
          <w:szCs w:val="24"/>
        </w:rPr>
        <w:t>第二十三条</w:t>
      </w:r>
      <w:r>
        <w:rPr>
          <w:rFonts w:hint="eastAsia" w:ascii="宋体" w:hAnsi="宋体" w:cs="宋体"/>
          <w:bCs/>
          <w:sz w:val="24"/>
          <w:szCs w:val="24"/>
        </w:rPr>
        <w:tab/>
      </w:r>
      <w:r>
        <w:rPr>
          <w:rFonts w:hint="eastAsia" w:ascii="宋体" w:hAnsi="宋体" w:cs="宋体"/>
          <w:bCs/>
          <w:sz w:val="24"/>
          <w:szCs w:val="24"/>
        </w:rPr>
        <w:t>关于视同中小企业的其他主体的政府采购扶持政策，由财政部会同有关部门另行规定。</w:t>
      </w:r>
    </w:p>
    <w:p>
      <w:pPr>
        <w:spacing w:line="360" w:lineRule="auto"/>
        <w:rPr>
          <w:rFonts w:ascii="宋体" w:hAnsi="宋体" w:cs="宋体"/>
          <w:bCs/>
          <w:sz w:val="24"/>
          <w:szCs w:val="24"/>
        </w:rPr>
      </w:pPr>
      <w:r>
        <w:rPr>
          <w:rFonts w:hint="eastAsia" w:ascii="宋体" w:hAnsi="宋体" w:cs="宋体"/>
          <w:bCs/>
          <w:sz w:val="24"/>
          <w:szCs w:val="24"/>
        </w:rPr>
        <w:t>第二十四条</w:t>
      </w:r>
      <w:r>
        <w:rPr>
          <w:rFonts w:hint="eastAsia" w:ascii="宋体" w:hAnsi="宋体" w:cs="宋体"/>
          <w:bCs/>
          <w:sz w:val="24"/>
          <w:szCs w:val="24"/>
        </w:rPr>
        <w:tab/>
      </w:r>
      <w:r>
        <w:rPr>
          <w:rFonts w:hint="eastAsia" w:ascii="宋体" w:hAnsi="宋体" w:cs="宋体"/>
          <w:bCs/>
          <w:sz w:val="24"/>
          <w:szCs w:val="24"/>
        </w:rPr>
        <w:t>省级财政部门可以会同中小企业主管部门根据本办法的规定制定具体实施办法。</w:t>
      </w:r>
    </w:p>
    <w:p>
      <w:pPr>
        <w:pStyle w:val="2"/>
        <w:rPr>
          <w:kern w:val="0"/>
        </w:rPr>
      </w:pPr>
      <w:r>
        <w:rPr>
          <w:rFonts w:hint="eastAsia"/>
        </w:rPr>
        <w:t>第二十五条 本办法自 2021 年 1 月 1 日起施行。《财政部 工业和信息化部关于印发〈政府采购促进中小企业发展暂行办法〉的通知》（财库﹝2011﹞181 号）同时废止。</w:t>
      </w:r>
      <w:bookmarkEnd w:id="854"/>
      <w:bookmarkEnd w:id="855"/>
      <w:bookmarkEnd w:id="856"/>
      <w:bookmarkEnd w:id="857"/>
    </w:p>
    <w:p>
      <w:pPr>
        <w:spacing w:line="360" w:lineRule="auto"/>
        <w:rPr>
          <w:rFonts w:ascii="宋体" w:hAnsi="宋体" w:cs="宋体"/>
          <w:bCs/>
          <w:sz w:val="24"/>
          <w:szCs w:val="24"/>
        </w:rPr>
      </w:pPr>
      <w:bookmarkStart w:id="868" w:name="_Toc445984998"/>
      <w:bookmarkStart w:id="869" w:name="_Toc497489391"/>
      <w:bookmarkStart w:id="870" w:name="_Toc445916627"/>
      <w:bookmarkStart w:id="871" w:name="_Toc447223799"/>
      <w:bookmarkStart w:id="872" w:name="_Toc21554"/>
      <w:bookmarkStart w:id="873" w:name="_Toc12674"/>
      <w:bookmarkStart w:id="874" w:name="_Toc20829"/>
      <w:r>
        <w:rPr>
          <w:rFonts w:hint="eastAsia" w:ascii="宋体" w:hAnsi="宋体" w:cs="宋体"/>
          <w:bCs/>
          <w:sz w:val="24"/>
          <w:szCs w:val="24"/>
        </w:rPr>
        <w:br w:type="page"/>
      </w:r>
    </w:p>
    <w:p>
      <w:pPr>
        <w:pStyle w:val="6"/>
        <w:ind w:firstLine="315"/>
      </w:pPr>
      <w:bookmarkStart w:id="875" w:name="_Toc50760979"/>
      <w:bookmarkStart w:id="876" w:name="_Toc8999377"/>
      <w:bookmarkStart w:id="877" w:name="_Toc92789350"/>
      <w:bookmarkStart w:id="878" w:name="_Toc15435094"/>
      <w:bookmarkStart w:id="879" w:name="_Toc85461450"/>
      <w:bookmarkStart w:id="880" w:name="_Toc100786197"/>
      <w:bookmarkStart w:id="881" w:name="_Toc83722638"/>
      <w:r>
        <w:rPr>
          <w:rFonts w:hint="eastAsia"/>
        </w:rPr>
        <w:t>附录2：关于印发中小企业划型标准规定的通知</w:t>
      </w:r>
      <w:bookmarkEnd w:id="868"/>
      <w:bookmarkEnd w:id="869"/>
      <w:bookmarkEnd w:id="870"/>
      <w:bookmarkEnd w:id="871"/>
      <w:bookmarkEnd w:id="875"/>
      <w:bookmarkEnd w:id="876"/>
      <w:bookmarkEnd w:id="877"/>
      <w:bookmarkEnd w:id="878"/>
      <w:bookmarkEnd w:id="879"/>
      <w:bookmarkEnd w:id="880"/>
      <w:bookmarkEnd w:id="881"/>
      <w:r>
        <w:rPr>
          <w:rFonts w:hint="eastAsia"/>
        </w:rPr>
        <w:br w:type="textWrapping"/>
      </w:r>
      <w:bookmarkEnd w:id="872"/>
      <w:bookmarkEnd w:id="873"/>
      <w:bookmarkEnd w:id="874"/>
    </w:p>
    <w:p>
      <w:pPr>
        <w:spacing w:line="360" w:lineRule="auto"/>
        <w:ind w:firstLine="504"/>
        <w:jc w:val="center"/>
        <w:rPr>
          <w:rFonts w:ascii="宋体" w:hAnsi="宋体" w:cs="宋体"/>
          <w:spacing w:val="6"/>
          <w:sz w:val="24"/>
          <w:szCs w:val="24"/>
        </w:rPr>
      </w:pPr>
      <w:r>
        <w:rPr>
          <w:rFonts w:hint="eastAsia" w:ascii="宋体" w:hAnsi="宋体" w:cs="宋体"/>
          <w:spacing w:val="6"/>
          <w:sz w:val="24"/>
          <w:szCs w:val="24"/>
        </w:rPr>
        <w:t>工信部联企业〔2011〕300号</w:t>
      </w:r>
    </w:p>
    <w:p>
      <w:pPr>
        <w:pStyle w:val="43"/>
        <w:spacing w:line="360" w:lineRule="auto"/>
        <w:ind w:firstLine="480"/>
        <w:rPr>
          <w:rFonts w:cs="宋体"/>
        </w:rPr>
      </w:pPr>
      <w:r>
        <w:rPr>
          <w:rFonts w:hint="eastAsia" w:cs="宋体"/>
        </w:rPr>
        <w:t>各省、自治区、直辖市人民政府，国务院各部委、各直属机构及有关单位：</w:t>
      </w:r>
      <w:r>
        <w:rPr>
          <w:rFonts w:hint="eastAsia" w:cs="宋体"/>
        </w:rPr>
        <w:br w:type="textWrapping"/>
      </w:r>
      <w:r>
        <w:rPr>
          <w:rFonts w:hint="eastAsia" w:cs="宋体"/>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cs="宋体"/>
        </w:rPr>
        <w:br w:type="textWrapping"/>
      </w:r>
      <w:r>
        <w:rPr>
          <w:rFonts w:hint="eastAsia" w:cs="宋体"/>
        </w:rPr>
        <w:t>　　　　　　　　　　　　　　　　　　　　　 工业和信息化部　国家统计局</w:t>
      </w:r>
      <w:r>
        <w:rPr>
          <w:rFonts w:hint="eastAsia" w:cs="宋体"/>
        </w:rPr>
        <w:br w:type="textWrapping"/>
      </w:r>
      <w:r>
        <w:rPr>
          <w:rFonts w:hint="eastAsia" w:cs="宋体"/>
        </w:rPr>
        <w:t>　　　　　　　　　　　　　　　　　　　　国家发展和改革委员会　财政部</w:t>
      </w:r>
      <w:r>
        <w:rPr>
          <w:rFonts w:hint="eastAsia" w:cs="宋体"/>
        </w:rPr>
        <w:br w:type="textWrapping"/>
      </w:r>
      <w:r>
        <w:rPr>
          <w:rFonts w:hint="eastAsia" w:cs="宋体"/>
        </w:rPr>
        <w:t>　　　　　　　　　　　　　　　　　　　　　　　　二○一一年六月十八日</w:t>
      </w:r>
    </w:p>
    <w:p>
      <w:pPr>
        <w:pStyle w:val="43"/>
        <w:spacing w:line="360" w:lineRule="auto"/>
        <w:ind w:firstLine="482"/>
        <w:jc w:val="center"/>
        <w:rPr>
          <w:rFonts w:cs="宋体"/>
        </w:rPr>
      </w:pPr>
      <w:r>
        <w:rPr>
          <w:rStyle w:val="51"/>
          <w:rFonts w:hint="eastAsia" w:cs="宋体"/>
        </w:rPr>
        <w:t>中小企业划型标准规定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根据《中华人民共和国中小企业促进法》和《国务院关于进一步促进中小企业发展的若干意见》(国发〔2009〕36号)，制定本规定。</w:t>
      </w:r>
      <w:r>
        <w:rPr>
          <w:rFonts w:hint="eastAsia" w:ascii="宋体" w:hAnsi="宋体" w:cs="宋体"/>
          <w:sz w:val="24"/>
        </w:rPr>
        <w:br w:type="textWrapping"/>
      </w:r>
      <w:r>
        <w:rPr>
          <w:rFonts w:hint="eastAsia" w:ascii="宋体" w:hAnsi="宋体" w:cs="宋体"/>
          <w:sz w:val="24"/>
        </w:rPr>
        <w:t>　　二、中小企业划分为中型、小型、微型三种类型，具体标准根据企业从业人员、营业收入、资产总额等指标，结合行业特点制定。</w:t>
      </w:r>
      <w:r>
        <w:rPr>
          <w:rFonts w:hint="eastAsia" w:ascii="宋体" w:hAnsi="宋体" w:cs="宋体"/>
          <w:sz w:val="24"/>
        </w:rPr>
        <w:br w:type="textWrapping"/>
      </w:r>
      <w:r>
        <w:rPr>
          <w:rFonts w:hint="eastAsia" w:ascii="宋体" w:hAnsi="宋体" w:cs="宋体"/>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sz w:val="24"/>
        </w:rPr>
        <w:br w:type="textWrapping"/>
      </w:r>
      <w:r>
        <w:rPr>
          <w:rFonts w:hint="eastAsia" w:ascii="宋体" w:hAnsi="宋体" w:cs="宋体"/>
          <w:sz w:val="24"/>
        </w:rPr>
        <w:t>　　四、各行业划型标准为：</w:t>
      </w:r>
      <w:r>
        <w:rPr>
          <w:rFonts w:hint="eastAsia" w:ascii="宋体" w:hAnsi="宋体" w:cs="宋体"/>
          <w:sz w:val="24"/>
        </w:rPr>
        <w:br w:type="textWrapping"/>
      </w:r>
      <w:r>
        <w:rPr>
          <w:rFonts w:hint="eastAsia" w:ascii="宋体" w:hAnsi="宋体" w:cs="宋体"/>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sz w:val="24"/>
        </w:rPr>
        <w:br w:type="textWrapping"/>
      </w:r>
      <w:r>
        <w:rPr>
          <w:rFonts w:hint="eastAsia" w:ascii="宋体" w:hAnsi="宋体" w:cs="宋体"/>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sz w:val="24"/>
        </w:rPr>
        <w:br w:type="textWrapping"/>
      </w:r>
      <w:r>
        <w:rPr>
          <w:rFonts w:hint="eastAsia" w:ascii="宋体" w:hAnsi="宋体" w:cs="宋体"/>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sz w:val="24"/>
        </w:rPr>
        <w:br w:type="textWrapping"/>
      </w:r>
      <w:r>
        <w:rPr>
          <w:rFonts w:hint="eastAsia" w:ascii="宋体" w:hAnsi="宋体" w:cs="宋体"/>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sz w:val="24"/>
        </w:rPr>
        <w:br w:type="textWrapping"/>
      </w:r>
      <w:r>
        <w:rPr>
          <w:rFonts w:hint="eastAsia" w:ascii="宋体" w:hAnsi="宋体" w:cs="宋体"/>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sz w:val="24"/>
        </w:rPr>
        <w:br w:type="textWrapping"/>
      </w:r>
      <w:r>
        <w:rPr>
          <w:rFonts w:hint="eastAsia" w:ascii="宋体" w:hAnsi="宋体" w:cs="宋体"/>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sz w:val="24"/>
        </w:rPr>
        <w:br w:type="textWrapping"/>
      </w:r>
      <w:r>
        <w:rPr>
          <w:rFonts w:hint="eastAsia" w:ascii="宋体" w:hAnsi="宋体" w:cs="宋体"/>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sz w:val="24"/>
        </w:rPr>
        <w:br w:type="textWrapping"/>
      </w:r>
      <w:r>
        <w:rPr>
          <w:rFonts w:hint="eastAsia" w:ascii="宋体" w:hAnsi="宋体" w:cs="宋体"/>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sz w:val="24"/>
        </w:rPr>
        <w:br w:type="textWrapping"/>
      </w:r>
      <w:r>
        <w:rPr>
          <w:rFonts w:hint="eastAsia" w:ascii="宋体" w:hAnsi="宋体" w:cs="宋体"/>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sz w:val="24"/>
        </w:rPr>
        <w:br w:type="textWrapping"/>
      </w:r>
      <w:r>
        <w:rPr>
          <w:rFonts w:hint="eastAsia" w:ascii="宋体" w:hAnsi="宋体" w:cs="宋体"/>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sz w:val="24"/>
        </w:rPr>
        <w:br w:type="textWrapping"/>
      </w:r>
      <w:r>
        <w:rPr>
          <w:rFonts w:hint="eastAsia" w:ascii="宋体" w:hAnsi="宋体" w:cs="宋体"/>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sz w:val="24"/>
        </w:rPr>
        <w:br w:type="textWrapping"/>
      </w:r>
      <w:r>
        <w:rPr>
          <w:rFonts w:hint="eastAsia" w:ascii="宋体" w:hAnsi="宋体" w:cs="宋体"/>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sz w:val="24"/>
        </w:rPr>
        <w:br w:type="textWrapping"/>
      </w:r>
      <w:r>
        <w:rPr>
          <w:rFonts w:hint="eastAsia" w:ascii="宋体" w:hAnsi="宋体" w:cs="宋体"/>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sz w:val="24"/>
        </w:rPr>
        <w:br w:type="textWrapping"/>
      </w:r>
      <w:r>
        <w:rPr>
          <w:rFonts w:hint="eastAsia" w:ascii="宋体" w:hAnsi="宋体" w:cs="宋体"/>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sz w:val="24"/>
        </w:rPr>
        <w:br w:type="textWrapping"/>
      </w:r>
      <w:r>
        <w:rPr>
          <w:rFonts w:hint="eastAsia" w:ascii="宋体" w:hAnsi="宋体" w:cs="宋体"/>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sz w:val="24"/>
        </w:rPr>
        <w:br w:type="textWrapping"/>
      </w:r>
      <w:r>
        <w:rPr>
          <w:rFonts w:hint="eastAsia" w:ascii="宋体" w:hAnsi="宋体" w:cs="宋体"/>
          <w:sz w:val="24"/>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sz w:val="24"/>
        </w:rPr>
        <w:br w:type="textWrapping"/>
      </w:r>
      <w:r>
        <w:rPr>
          <w:rFonts w:hint="eastAsia" w:ascii="宋体" w:hAnsi="宋体" w:cs="宋体"/>
          <w:sz w:val="24"/>
        </w:rPr>
        <w:t>　　五、企业类型的划分以统计部门的统计数据为依据。</w:t>
      </w:r>
      <w:r>
        <w:rPr>
          <w:rFonts w:hint="eastAsia" w:ascii="宋体" w:hAnsi="宋体" w:cs="宋体"/>
          <w:sz w:val="24"/>
        </w:rPr>
        <w:br w:type="textWrapping"/>
      </w:r>
      <w:r>
        <w:rPr>
          <w:rFonts w:hint="eastAsia" w:ascii="宋体" w:hAnsi="宋体" w:cs="宋体"/>
          <w:sz w:val="24"/>
        </w:rPr>
        <w:t>　　六、本规定适用于在中华人民共和国境内依法设立的各类所有制和各种组织形式的企业。个体工商户和本规定以外的行业，参照本规定进行划型。</w:t>
      </w:r>
      <w:r>
        <w:rPr>
          <w:rFonts w:hint="eastAsia" w:ascii="宋体" w:hAnsi="宋体" w:cs="宋体"/>
          <w:sz w:val="24"/>
        </w:rPr>
        <w:br w:type="textWrapping"/>
      </w:r>
      <w:r>
        <w:rPr>
          <w:rFonts w:hint="eastAsia" w:ascii="宋体" w:hAnsi="宋体" w:cs="宋体"/>
          <w:sz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sz w:val="24"/>
        </w:rPr>
        <w:br w:type="textWrapping"/>
      </w:r>
      <w:r>
        <w:rPr>
          <w:rFonts w:hint="eastAsia" w:ascii="宋体" w:hAnsi="宋体" w:cs="宋体"/>
          <w:sz w:val="24"/>
        </w:rPr>
        <w:t>　　八、本规定由工业和信息化部、国家统计局会同有关部门根据《国民经济行业分类》修订情况和企业发展变化情况适时修订。</w:t>
      </w:r>
      <w:r>
        <w:rPr>
          <w:rFonts w:hint="eastAsia" w:ascii="宋体" w:hAnsi="宋体" w:cs="宋体"/>
          <w:sz w:val="24"/>
        </w:rPr>
        <w:br w:type="textWrapping"/>
      </w:r>
      <w:r>
        <w:rPr>
          <w:rFonts w:hint="eastAsia" w:ascii="宋体" w:hAnsi="宋体" w:cs="宋体"/>
          <w:sz w:val="24"/>
        </w:rPr>
        <w:t>　　九、本规定由工业和信息化部、国家统计局会同有关部门负责解释。</w:t>
      </w:r>
      <w:r>
        <w:rPr>
          <w:rFonts w:hint="eastAsia" w:ascii="宋体" w:hAnsi="宋体" w:cs="宋体"/>
          <w:sz w:val="24"/>
        </w:rPr>
        <w:br w:type="textWrapping"/>
      </w:r>
      <w:r>
        <w:rPr>
          <w:rFonts w:hint="eastAsia" w:ascii="宋体" w:hAnsi="宋体" w:cs="宋体"/>
          <w:sz w:val="24"/>
        </w:rPr>
        <w:t>　　十、本规定自发布之日起执行，原国家经贸委、原国家计委、财政部和国家统计局2003年颁布的《中小企业标准暂行规定》同时废止。</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br w:type="page"/>
      </w:r>
    </w:p>
    <w:p>
      <w:pPr>
        <w:pStyle w:val="6"/>
        <w:numPr>
          <w:ilvl w:val="2"/>
          <w:numId w:val="0"/>
        </w:numPr>
        <w:tabs>
          <w:tab w:val="clear" w:pos="720"/>
        </w:tabs>
        <w:ind w:left="206" w:leftChars="98"/>
      </w:pPr>
      <w:bookmarkStart w:id="882" w:name="_Toc497489392"/>
      <w:bookmarkStart w:id="883" w:name="_Toc85461451"/>
      <w:bookmarkStart w:id="884" w:name="_Toc83722639"/>
      <w:bookmarkStart w:id="885" w:name="_Toc92789351"/>
      <w:bookmarkStart w:id="886" w:name="_Toc8999378"/>
      <w:bookmarkStart w:id="887" w:name="_Toc100786198"/>
      <w:bookmarkStart w:id="888" w:name="_Toc8212"/>
      <w:bookmarkStart w:id="889" w:name="_Toc50760980"/>
      <w:bookmarkStart w:id="890" w:name="_Toc15435095"/>
      <w:r>
        <w:rPr>
          <w:rFonts w:hint="eastAsia"/>
        </w:rPr>
        <w:t>附录3：财政部 民政部 中国残疾人联合会关于促进残疾人就业政府采购政策的通知</w:t>
      </w:r>
      <w:bookmarkEnd w:id="882"/>
      <w:bookmarkEnd w:id="883"/>
      <w:bookmarkEnd w:id="884"/>
      <w:bookmarkEnd w:id="885"/>
      <w:bookmarkEnd w:id="886"/>
      <w:bookmarkEnd w:id="887"/>
      <w:bookmarkEnd w:id="888"/>
      <w:bookmarkEnd w:id="889"/>
      <w:bookmarkEnd w:id="890"/>
    </w:p>
    <w:p>
      <w:pPr>
        <w:spacing w:line="360" w:lineRule="auto"/>
        <w:ind w:firstLine="504"/>
        <w:jc w:val="center"/>
        <w:rPr>
          <w:rFonts w:ascii="宋体" w:hAnsi="宋体" w:cs="宋体"/>
          <w:b/>
          <w:bCs/>
          <w:sz w:val="24"/>
          <w:szCs w:val="24"/>
        </w:rPr>
      </w:pPr>
      <w:r>
        <w:rPr>
          <w:rFonts w:hint="eastAsia" w:ascii="宋体" w:hAnsi="宋体" w:cs="宋体"/>
          <w:spacing w:val="6"/>
          <w:sz w:val="24"/>
          <w:szCs w:val="24"/>
        </w:rPr>
        <w:t>财库</w:t>
      </w:r>
      <w:r>
        <w:rPr>
          <w:rFonts w:hint="eastAsia" w:ascii="宋体" w:hAnsi="宋体" w:cs="宋体"/>
          <w:sz w:val="24"/>
          <w:szCs w:val="24"/>
        </w:rPr>
        <w:t>〔2017〕 141</w:t>
      </w:r>
      <w:r>
        <w:rPr>
          <w:rFonts w:hint="eastAsia" w:ascii="宋体" w:hAnsi="宋体" w:cs="宋体"/>
          <w:spacing w:val="6"/>
          <w:sz w:val="24"/>
          <w:szCs w:val="24"/>
        </w:rPr>
        <w:t>号</w:t>
      </w:r>
    </w:p>
    <w:p>
      <w:pPr>
        <w:pStyle w:val="43"/>
        <w:shd w:val="clear" w:color="auto" w:fill="FFFFFF"/>
        <w:spacing w:before="0" w:beforeAutospacing="0" w:after="0" w:afterAutospacing="0" w:line="360" w:lineRule="auto"/>
        <w:ind w:firstLine="480"/>
        <w:jc w:val="both"/>
        <w:rPr>
          <w:rFonts w:cs="宋体"/>
        </w:rPr>
      </w:pPr>
      <w:bookmarkStart w:id="891" w:name="toDeptId"/>
      <w:r>
        <w:rPr>
          <w:rFonts w:hint="eastAsia" w:cs="宋体"/>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91"/>
      <w:r>
        <w:rPr>
          <w:rFonts w:hint="eastAsia" w:cs="宋体"/>
        </w:rPr>
        <w:t>：</w:t>
      </w:r>
    </w:p>
    <w:p>
      <w:pPr>
        <w:pStyle w:val="43"/>
        <w:shd w:val="clear" w:color="auto" w:fill="FFFFFF"/>
        <w:spacing w:before="0" w:beforeAutospacing="0" w:after="0" w:afterAutospacing="0" w:line="360" w:lineRule="auto"/>
        <w:ind w:firstLine="480"/>
        <w:jc w:val="both"/>
        <w:rPr>
          <w:rFonts w:cs="宋体"/>
        </w:rPr>
      </w:pPr>
      <w:r>
        <w:rPr>
          <w:rFonts w:hint="eastAsia" w:cs="宋体"/>
        </w:rPr>
        <w:t>　　为了发挥政府采购促进残疾人就业的作用，进一步保障残疾人权益，依照《政府采购法》、《残疾人保障法》等法律法规及相关规定，现就促进残疾人就业政府采购政策通知如下：</w:t>
      </w:r>
    </w:p>
    <w:p>
      <w:pPr>
        <w:pStyle w:val="43"/>
        <w:shd w:val="clear" w:color="auto" w:fill="FFFFFF"/>
        <w:spacing w:before="0" w:beforeAutospacing="0" w:after="0" w:afterAutospacing="0" w:line="360" w:lineRule="auto"/>
        <w:ind w:firstLine="480"/>
        <w:jc w:val="both"/>
        <w:rPr>
          <w:rFonts w:cs="宋体"/>
        </w:rPr>
      </w:pPr>
      <w:r>
        <w:rPr>
          <w:rFonts w:hint="eastAsia" w:cs="宋体"/>
        </w:rPr>
        <w:t>　　一、享受政府采购支持政策的残疾人福利性单位应当同时满足以下条件：</w:t>
      </w:r>
    </w:p>
    <w:p>
      <w:pPr>
        <w:pStyle w:val="43"/>
        <w:shd w:val="clear" w:color="auto" w:fill="FFFFFF"/>
        <w:spacing w:before="0" w:beforeAutospacing="0" w:after="0" w:afterAutospacing="0" w:line="360" w:lineRule="auto"/>
        <w:ind w:firstLine="480"/>
        <w:jc w:val="both"/>
        <w:rPr>
          <w:rFonts w:cs="宋体"/>
        </w:rPr>
      </w:pPr>
      <w:r>
        <w:rPr>
          <w:rFonts w:hint="eastAsia" w:cs="宋体"/>
        </w:rPr>
        <w:t>　　（一）安置的残疾人占本单位在职职工人数的比例不低于25%（含25%），并且安置的残疾人人数不少于10人（含10人）；</w:t>
      </w:r>
    </w:p>
    <w:p>
      <w:pPr>
        <w:pStyle w:val="43"/>
        <w:shd w:val="clear" w:color="auto" w:fill="FFFFFF"/>
        <w:spacing w:before="0" w:beforeAutospacing="0" w:after="0" w:afterAutospacing="0" w:line="360" w:lineRule="auto"/>
        <w:ind w:firstLine="480"/>
        <w:jc w:val="both"/>
        <w:rPr>
          <w:rFonts w:cs="宋体"/>
        </w:rPr>
      </w:pPr>
      <w:r>
        <w:rPr>
          <w:rFonts w:hint="eastAsia" w:cs="宋体"/>
        </w:rPr>
        <w:t>　　（二）依法与安置的每位残疾人签订了一年以上（含一年）的劳动合同或服务协议；</w:t>
      </w:r>
    </w:p>
    <w:p>
      <w:pPr>
        <w:pStyle w:val="43"/>
        <w:shd w:val="clear" w:color="auto" w:fill="FFFFFF"/>
        <w:spacing w:before="0" w:beforeAutospacing="0" w:after="0" w:afterAutospacing="0" w:line="360" w:lineRule="auto"/>
        <w:ind w:firstLine="480"/>
        <w:jc w:val="both"/>
        <w:rPr>
          <w:rFonts w:cs="宋体"/>
        </w:rPr>
      </w:pPr>
      <w:r>
        <w:rPr>
          <w:rFonts w:hint="eastAsia" w:cs="宋体"/>
        </w:rPr>
        <w:t>　　（三）为安置的每位残疾人按月足额缴纳了基本养老保险、基本医疗保险、失业保险、工伤保险和生育保险等社会保险费；</w:t>
      </w:r>
    </w:p>
    <w:p>
      <w:pPr>
        <w:pStyle w:val="43"/>
        <w:shd w:val="clear" w:color="auto" w:fill="FFFFFF"/>
        <w:spacing w:before="0" w:beforeAutospacing="0" w:after="0" w:afterAutospacing="0" w:line="360" w:lineRule="auto"/>
        <w:ind w:firstLine="480"/>
        <w:jc w:val="both"/>
        <w:rPr>
          <w:rFonts w:cs="宋体"/>
        </w:rPr>
      </w:pPr>
      <w:r>
        <w:rPr>
          <w:rFonts w:hint="eastAsia" w:cs="宋体"/>
        </w:rPr>
        <w:t>　　（四）通过银行等金融机构向安置的每位残疾人，按月支付了不低于单位所在区县适用的经省级人民政府批准的月最低工资标准的工资；</w:t>
      </w:r>
    </w:p>
    <w:p>
      <w:pPr>
        <w:pStyle w:val="43"/>
        <w:shd w:val="clear" w:color="auto" w:fill="FFFFFF"/>
        <w:spacing w:before="0" w:beforeAutospacing="0" w:after="0" w:afterAutospacing="0" w:line="360" w:lineRule="auto"/>
        <w:ind w:firstLine="480"/>
        <w:jc w:val="both"/>
        <w:rPr>
          <w:rFonts w:cs="宋体"/>
        </w:rPr>
      </w:pPr>
      <w:r>
        <w:rPr>
          <w:rFonts w:hint="eastAsia" w:cs="宋体"/>
        </w:rPr>
        <w:t>　　（五）提供本单位制造的货物、承担的工程或者服务（以下简称产品），或者提供其他残疾人福利性单位制造的货物（不包括使用非残疾人福利性单位注册商标的货物）。</w:t>
      </w:r>
    </w:p>
    <w:p>
      <w:pPr>
        <w:pStyle w:val="43"/>
        <w:shd w:val="clear" w:color="auto" w:fill="FFFFFF"/>
        <w:spacing w:before="0" w:beforeAutospacing="0" w:after="0" w:afterAutospacing="0" w:line="360" w:lineRule="auto"/>
        <w:ind w:firstLine="480"/>
        <w:jc w:val="both"/>
        <w:rPr>
          <w:rFonts w:cs="宋体"/>
        </w:rPr>
      </w:pPr>
      <w:r>
        <w:rPr>
          <w:rFonts w:hint="eastAsia" w:cs="宋体"/>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3"/>
        <w:shd w:val="clear" w:color="auto" w:fill="FFFFFF"/>
        <w:spacing w:before="0" w:beforeAutospacing="0" w:after="0" w:afterAutospacing="0" w:line="360" w:lineRule="auto"/>
        <w:ind w:firstLine="480"/>
        <w:jc w:val="both"/>
        <w:rPr>
          <w:rFonts w:cs="宋体"/>
        </w:rPr>
      </w:pPr>
      <w:r>
        <w:rPr>
          <w:rFonts w:hint="eastAsia" w:cs="宋体"/>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43"/>
        <w:shd w:val="clear" w:color="auto" w:fill="FFFFFF"/>
        <w:spacing w:before="0" w:beforeAutospacing="0" w:after="0" w:afterAutospacing="0" w:line="360" w:lineRule="auto"/>
        <w:ind w:firstLine="480"/>
        <w:jc w:val="both"/>
        <w:rPr>
          <w:rFonts w:cs="宋体"/>
        </w:rPr>
      </w:pPr>
      <w:r>
        <w:rPr>
          <w:rFonts w:hint="eastAsia" w:cs="宋体"/>
        </w:rPr>
        <w:t>　　中标、成交供应商为残疾人福利性单位的，采购人或者其委托的采购代理机构应当随中标、成交结果同时公告其《残疾人福利性单位声明函》，接受社会监督。</w:t>
      </w:r>
    </w:p>
    <w:p>
      <w:pPr>
        <w:pStyle w:val="43"/>
        <w:shd w:val="clear" w:color="auto" w:fill="FFFFFF"/>
        <w:spacing w:before="0" w:beforeAutospacing="0" w:after="0" w:afterAutospacing="0" w:line="360" w:lineRule="auto"/>
        <w:ind w:firstLine="480"/>
        <w:jc w:val="both"/>
        <w:rPr>
          <w:rFonts w:cs="宋体"/>
        </w:rPr>
      </w:pPr>
      <w:r>
        <w:rPr>
          <w:rFonts w:hint="eastAsia" w:cs="宋体"/>
        </w:rPr>
        <w:t>　　供应商提供的《残疾人福利性单位声明函》与事实不符的，依照《政府采购法》第七十七条第一款的规定追究法律责任。</w:t>
      </w:r>
    </w:p>
    <w:p>
      <w:pPr>
        <w:pStyle w:val="43"/>
        <w:shd w:val="clear" w:color="auto" w:fill="FFFFFF"/>
        <w:spacing w:before="0" w:beforeAutospacing="0" w:after="0" w:afterAutospacing="0" w:line="360" w:lineRule="auto"/>
        <w:ind w:firstLine="480"/>
        <w:jc w:val="both"/>
        <w:rPr>
          <w:rFonts w:cs="宋体"/>
        </w:rPr>
      </w:pPr>
      <w:r>
        <w:rPr>
          <w:rFonts w:hint="eastAsia" w:cs="宋体"/>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43"/>
        <w:shd w:val="clear" w:color="auto" w:fill="FFFFFF"/>
        <w:spacing w:before="0" w:beforeAutospacing="0" w:after="0" w:afterAutospacing="0" w:line="360" w:lineRule="auto"/>
        <w:ind w:firstLine="480"/>
        <w:jc w:val="both"/>
        <w:rPr>
          <w:rFonts w:cs="宋体"/>
        </w:rPr>
      </w:pPr>
      <w:r>
        <w:rPr>
          <w:rFonts w:hint="eastAsia" w:cs="宋体"/>
        </w:rPr>
        <w:t>　　四、采购人采购公开招标数额标准以上的货物或者服务，因落实促进残疾人就业政策的需要，依法履行有关报批程序后，可采用公开招标以外的采购方式。</w:t>
      </w:r>
    </w:p>
    <w:p>
      <w:pPr>
        <w:pStyle w:val="43"/>
        <w:shd w:val="clear" w:color="auto" w:fill="FFFFFF"/>
        <w:spacing w:before="0" w:beforeAutospacing="0" w:after="0" w:afterAutospacing="0" w:line="360" w:lineRule="auto"/>
        <w:ind w:firstLine="480"/>
        <w:jc w:val="both"/>
        <w:rPr>
          <w:rFonts w:cs="宋体"/>
        </w:rPr>
      </w:pPr>
      <w:r>
        <w:rPr>
          <w:rFonts w:hint="eastAsia" w:cs="宋体"/>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43"/>
        <w:shd w:val="clear" w:color="auto" w:fill="FFFFFF"/>
        <w:spacing w:before="0" w:beforeAutospacing="0" w:after="0" w:afterAutospacing="0" w:line="360" w:lineRule="auto"/>
        <w:ind w:firstLine="480"/>
        <w:jc w:val="both"/>
        <w:rPr>
          <w:rFonts w:cs="宋体"/>
        </w:rPr>
      </w:pPr>
      <w:r>
        <w:rPr>
          <w:rFonts w:hint="eastAsia" w:cs="宋体"/>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43"/>
        <w:shd w:val="clear" w:color="auto" w:fill="FFFFFF"/>
        <w:spacing w:before="0" w:beforeAutospacing="0" w:after="0" w:afterAutospacing="0" w:line="360" w:lineRule="auto"/>
        <w:ind w:firstLine="480"/>
        <w:jc w:val="both"/>
        <w:rPr>
          <w:rFonts w:cs="宋体"/>
        </w:rPr>
      </w:pPr>
      <w:r>
        <w:rPr>
          <w:rFonts w:hint="eastAsia" w:cs="宋体"/>
        </w:rPr>
        <w:t>　　七、本通知自2017年10月1日起执行。</w:t>
      </w:r>
    </w:p>
    <w:p>
      <w:pPr>
        <w:pStyle w:val="43"/>
        <w:shd w:val="clear" w:color="auto" w:fill="FFFFFF"/>
        <w:spacing w:before="0" w:beforeAutospacing="0" w:after="0" w:afterAutospacing="0" w:line="360" w:lineRule="auto"/>
        <w:ind w:firstLine="480"/>
        <w:jc w:val="right"/>
        <w:rPr>
          <w:rFonts w:cs="宋体"/>
        </w:rPr>
      </w:pPr>
      <w:r>
        <w:rPr>
          <w:rFonts w:hint="eastAsia" w:cs="宋体"/>
        </w:rPr>
        <w:t>　　财政部 民政部 中国残疾人联合会</w:t>
      </w:r>
    </w:p>
    <w:p>
      <w:pPr>
        <w:pStyle w:val="43"/>
        <w:shd w:val="clear" w:color="auto" w:fill="FFFFFF"/>
        <w:spacing w:before="0" w:beforeAutospacing="0" w:after="0" w:afterAutospacing="0" w:line="360" w:lineRule="auto"/>
        <w:ind w:firstLine="480"/>
        <w:jc w:val="right"/>
        <w:rPr>
          <w:rFonts w:cs="宋体"/>
        </w:rPr>
      </w:pPr>
      <w:r>
        <w:rPr>
          <w:rFonts w:hint="eastAsia" w:cs="宋体"/>
        </w:rPr>
        <w:t>　　2017年8月22日</w:t>
      </w:r>
    </w:p>
    <w:p>
      <w:pPr>
        <w:spacing w:line="360" w:lineRule="auto"/>
        <w:ind w:firstLine="420"/>
        <w:rPr>
          <w:rFonts w:ascii="宋体" w:hAnsi="宋体" w:cs="宋体"/>
        </w:rPr>
      </w:pPr>
      <w:r>
        <w:rPr>
          <w:rFonts w:hint="eastAsia" w:ascii="宋体" w:hAnsi="宋体" w:cs="宋体"/>
        </w:rPr>
        <w:br w:type="page"/>
      </w:r>
    </w:p>
    <w:p>
      <w:pPr>
        <w:pStyle w:val="6"/>
        <w:ind w:firstLine="315"/>
      </w:pPr>
      <w:bookmarkStart w:id="892" w:name="_Toc83722640"/>
      <w:bookmarkStart w:id="893" w:name="_Toc92789352"/>
      <w:bookmarkStart w:id="894" w:name="_Toc85461452"/>
      <w:bookmarkStart w:id="895" w:name="_Toc100786199"/>
      <w:r>
        <w:rPr>
          <w:rFonts w:hint="eastAsia"/>
        </w:rPr>
        <w:t>附录4：</w:t>
      </w:r>
      <w:bookmarkEnd w:id="892"/>
      <w:bookmarkEnd w:id="893"/>
      <w:bookmarkEnd w:id="894"/>
      <w:r>
        <w:rPr>
          <w:rFonts w:hint="eastAsia"/>
        </w:rPr>
        <w:t>市场监管总局关于发布参与实施政府采购节能产品、环境标志产品认证机构名录的公告</w:t>
      </w:r>
      <w:bookmarkEnd w:id="895"/>
    </w:p>
    <w:p>
      <w:pPr>
        <w:spacing w:line="360" w:lineRule="auto"/>
        <w:jc w:val="center"/>
        <w:rPr>
          <w:rFonts w:ascii="宋体" w:hAnsi="宋体" w:cs="宋体"/>
          <w:sz w:val="24"/>
          <w:szCs w:val="24"/>
        </w:rPr>
      </w:pPr>
      <w:r>
        <w:rPr>
          <w:rFonts w:hint="eastAsia" w:ascii="宋体" w:hAnsi="宋体" w:cs="宋体"/>
          <w:sz w:val="24"/>
          <w:szCs w:val="24"/>
        </w:rPr>
        <w:t>市场监管总局关于发布参与实施政府采购节能产品、</w:t>
      </w:r>
    </w:p>
    <w:p>
      <w:pPr>
        <w:spacing w:line="360" w:lineRule="auto"/>
        <w:jc w:val="center"/>
        <w:rPr>
          <w:rFonts w:ascii="宋体" w:hAnsi="宋体" w:cs="宋体"/>
          <w:sz w:val="24"/>
          <w:szCs w:val="24"/>
        </w:rPr>
      </w:pPr>
      <w:r>
        <w:rPr>
          <w:rFonts w:hint="eastAsia" w:ascii="宋体" w:hAnsi="宋体" w:cs="宋体"/>
          <w:sz w:val="24"/>
          <w:szCs w:val="24"/>
        </w:rPr>
        <w:t>环境标志产品认证机构名录的公告</w:t>
      </w:r>
    </w:p>
    <w:p>
      <w:pPr>
        <w:spacing w:line="360" w:lineRule="auto"/>
        <w:jc w:val="center"/>
        <w:rPr>
          <w:rFonts w:ascii="宋体" w:hAnsi="宋体" w:cs="宋体"/>
          <w:sz w:val="24"/>
          <w:szCs w:val="24"/>
        </w:rPr>
      </w:pPr>
      <w:r>
        <w:rPr>
          <w:rFonts w:hint="eastAsia" w:ascii="宋体" w:hAnsi="宋体" w:cs="宋体"/>
          <w:sz w:val="24"/>
          <w:szCs w:val="24"/>
        </w:rPr>
        <w:t>2019年第16号</w:t>
      </w:r>
    </w:p>
    <w:p>
      <w:pPr>
        <w:pStyle w:val="43"/>
        <w:spacing w:before="680" w:beforeAutospacing="0" w:after="632" w:afterAutospacing="0" w:line="360" w:lineRule="auto"/>
        <w:ind w:left="302" w:right="226" w:firstLine="480"/>
        <w:rPr>
          <w:rFonts w:cs="宋体"/>
        </w:rPr>
      </w:pPr>
      <w:r>
        <w:rPr>
          <w:rFonts w:hint="eastAsia" w:cs="宋体"/>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r>
        <w:rPr>
          <w:rFonts w:hint="eastAsia" w:cs="宋体"/>
        </w:rPr>
        <w:br w:type="textWrapping"/>
      </w:r>
      <w:r>
        <w:rPr>
          <w:rFonts w:hint="eastAsia" w:cs="宋体"/>
        </w:rPr>
        <w:br w:type="textWrapping"/>
      </w:r>
      <w:r>
        <w:rPr>
          <w:rFonts w:hint="eastAsia" w:cs="宋体"/>
        </w:rPr>
        <w:t>　　自本公告发布后，新增认证机构应尽快完成政府采购认证信息系统对接，对接完成后方可开展相关认证工作。</w:t>
      </w:r>
    </w:p>
    <w:p>
      <w:pPr>
        <w:pStyle w:val="43"/>
        <w:spacing w:before="680" w:beforeAutospacing="0" w:after="632" w:afterAutospacing="0" w:line="360" w:lineRule="auto"/>
        <w:ind w:left="302" w:right="226" w:firstLine="480"/>
        <w:jc w:val="right"/>
        <w:rPr>
          <w:rFonts w:cs="宋体"/>
        </w:rPr>
      </w:pPr>
      <w:r>
        <w:rPr>
          <w:rFonts w:hint="eastAsia" w:cs="宋体"/>
        </w:rPr>
        <w:t>市场监管总局</w:t>
      </w:r>
      <w:r>
        <w:rPr>
          <w:rFonts w:hint="eastAsia" w:cs="宋体"/>
        </w:rPr>
        <w:br w:type="textWrapping"/>
      </w:r>
      <w:r>
        <w:rPr>
          <w:rFonts w:hint="eastAsia" w:cs="宋体"/>
        </w:rPr>
        <w:t>2019年4月3日</w:t>
      </w:r>
    </w:p>
    <w:p>
      <w:pPr>
        <w:widowControl/>
        <w:tabs>
          <w:tab w:val="left" w:pos="7088"/>
        </w:tabs>
        <w:spacing w:before="602" w:after="302" w:line="360" w:lineRule="auto"/>
        <w:ind w:left="302" w:right="226" w:firstLine="480" w:firstLineChars="200"/>
        <w:jc w:val="left"/>
        <w:rPr>
          <w:rFonts w:ascii="宋体" w:hAnsi="宋体" w:cs="宋体"/>
          <w:sz w:val="24"/>
          <w:szCs w:val="24"/>
        </w:rPr>
      </w:pPr>
      <w:r>
        <w:rPr>
          <w:rFonts w:hint="eastAsia" w:ascii="宋体" w:hAnsi="宋体" w:cs="宋体"/>
          <w:kern w:val="0"/>
          <w:sz w:val="24"/>
          <w:szCs w:val="24"/>
        </w:rPr>
        <w:t>（此件公开发布）</w:t>
      </w:r>
    </w:p>
    <w:p>
      <w:pPr>
        <w:widowControl/>
        <w:shd w:val="clear" w:color="auto" w:fill="FFFFFF"/>
        <w:spacing w:before="602" w:after="302" w:line="360" w:lineRule="auto"/>
        <w:ind w:left="302" w:right="226"/>
        <w:jc w:val="left"/>
        <w:rPr>
          <w:rFonts w:ascii="宋体" w:hAnsi="宋体" w:cs="宋体"/>
          <w:kern w:val="0"/>
          <w:sz w:val="24"/>
          <w:szCs w:val="24"/>
        </w:rPr>
      </w:pPr>
      <w:r>
        <w:rPr>
          <w:rFonts w:hint="eastAsia" w:ascii="宋体" w:hAnsi="宋体" w:cs="宋体"/>
          <w:kern w:val="0"/>
          <w:sz w:val="24"/>
          <w:szCs w:val="24"/>
        </w:rPr>
        <w:t> </w:t>
      </w:r>
    </w:p>
    <w:p>
      <w:pPr>
        <w:widowControl/>
        <w:shd w:val="clear" w:color="auto" w:fill="FFFFFF"/>
        <w:spacing w:before="602" w:after="302" w:line="360" w:lineRule="auto"/>
        <w:ind w:left="302" w:right="226"/>
        <w:jc w:val="left"/>
        <w:rPr>
          <w:rFonts w:ascii="宋体" w:hAnsi="宋体" w:cs="宋体"/>
          <w:kern w:val="0"/>
          <w:sz w:val="24"/>
          <w:szCs w:val="24"/>
        </w:rPr>
      </w:pPr>
    </w:p>
    <w:p>
      <w:pPr>
        <w:widowControl/>
        <w:spacing w:before="602" w:after="302" w:line="360" w:lineRule="auto"/>
        <w:ind w:left="302" w:right="226" w:firstLine="560"/>
        <w:jc w:val="center"/>
        <w:rPr>
          <w:rFonts w:ascii="宋体" w:hAnsi="宋体" w:cs="宋体"/>
        </w:rPr>
      </w:pPr>
      <w:r>
        <w:rPr>
          <w:rFonts w:hint="eastAsia" w:ascii="宋体" w:hAnsi="宋体" w:cs="宋体"/>
          <w:kern w:val="0"/>
          <w:sz w:val="28"/>
          <w:szCs w:val="28"/>
        </w:rPr>
        <w:t>参与实施政府采购节能产品认证机构名录</w:t>
      </w:r>
    </w:p>
    <w:tbl>
      <w:tblPr>
        <w:tblStyle w:val="48"/>
        <w:tblW w:w="807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15"/>
        <w:gridCol w:w="1064"/>
        <w:gridCol w:w="1599"/>
        <w:gridCol w:w="1399"/>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序号</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一级目录</w:t>
            </w:r>
          </w:p>
        </w:tc>
        <w:tc>
          <w:tcPr>
            <w:tcW w:w="2998"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二级目录</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产品代码</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产品名称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产品代码</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产品名称</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计算机设备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A02010104</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台式计算机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北京赛西认证有限责任公司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中国网络安全审查技术与认证中心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A02010105</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便携式计算机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A02010107</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平板式微型计算机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2</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输入输出设备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打印设备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A02010604</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显示设备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A02010609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图形图像输入设备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sz w:val="24"/>
                <w:szCs w:val="24"/>
              </w:rPr>
            </w:pPr>
            <w:r>
              <w:rPr>
                <w:rFonts w:hint="eastAsia" w:ascii="宋体" w:hAnsi="宋体" w:cs="宋体"/>
                <w:kern w:val="0"/>
                <w:sz w:val="24"/>
                <w:szCs w:val="24"/>
              </w:rPr>
              <w:t>A020202</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投影仪</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A020204</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多功能一体机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5</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A020519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泵</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A02051901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离心泵</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电能（北京）认证中心有限公司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6</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制冷空调设备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制冷压缩机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合肥通用机械产品认证有限公司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A02052305</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空调机组</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A02052309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专用制冷、空调设备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A02052399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其他制冷空调设备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A020601</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电能（北京）认证中心有限公司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A020602</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变压器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电能（北京）认证中心有限公司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9</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A020609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镇流器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深圳市计量质量检测研究院</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10</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生活用电器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A0206180101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电冰箱</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A0206180203</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空调机</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A0206180301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洗衣机</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A02061808</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热水器</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11</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照明设备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深圳市计量质量检测研究院</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12</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电视设备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A02091001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普通电视设备（电视机）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北京泰瑞特认证有限责任公司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A020911</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视频设备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A02091107</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视频监控设备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A031210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饮食炊事机械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北京鉴衡认证中心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15</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A060805</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便器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北京新华节水产品认证有限公司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16</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A060806</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水嘴</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A060807</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便器冲洗阀</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淋浴器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bl>
    <w:p>
      <w:pPr>
        <w:widowControl/>
        <w:spacing w:before="602" w:after="302" w:line="360" w:lineRule="auto"/>
        <w:ind w:left="302" w:right="226"/>
        <w:jc w:val="center"/>
        <w:rPr>
          <w:rFonts w:ascii="宋体" w:hAnsi="宋体" w:cs="宋体"/>
        </w:rPr>
      </w:pPr>
      <w:r>
        <w:rPr>
          <w:rFonts w:hint="eastAsia" w:ascii="宋体" w:hAnsi="宋体" w:cs="宋体"/>
          <w:kern w:val="0"/>
          <w:sz w:val="24"/>
          <w:szCs w:val="24"/>
        </w:rPr>
        <w:t> </w:t>
      </w:r>
    </w:p>
    <w:p>
      <w:pPr>
        <w:widowControl/>
        <w:spacing w:before="602" w:after="302" w:line="360" w:lineRule="auto"/>
        <w:ind w:left="302" w:right="226" w:firstLine="560"/>
        <w:jc w:val="center"/>
        <w:rPr>
          <w:rFonts w:ascii="宋体" w:hAnsi="宋体" w:cs="宋体"/>
          <w:sz w:val="28"/>
          <w:szCs w:val="28"/>
        </w:rPr>
      </w:pPr>
      <w:r>
        <w:rPr>
          <w:rFonts w:hint="eastAsia" w:ascii="宋体" w:hAnsi="宋体" w:cs="宋体"/>
          <w:kern w:val="0"/>
          <w:sz w:val="28"/>
          <w:szCs w:val="28"/>
        </w:rPr>
        <w:t>参与实施政府采购环境标志产品认证机构名录 </w:t>
      </w:r>
    </w:p>
    <w:tbl>
      <w:tblPr>
        <w:tblStyle w:val="48"/>
        <w:tblW w:w="8847"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2"/>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序号</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目录</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环境标志产品</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中环联合（北京）认证中心有限公司</w:t>
            </w:r>
          </w:p>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中标合信（北京）认证有限公司</w:t>
            </w:r>
          </w:p>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中环协（北京）认证有限公司</w:t>
            </w:r>
          </w:p>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天津华诚认证有限公司</w:t>
            </w:r>
          </w:p>
        </w:tc>
      </w:tr>
    </w:tbl>
    <w:p>
      <w:pPr>
        <w:spacing w:line="360" w:lineRule="auto"/>
        <w:rPr>
          <w:rFonts w:ascii="宋体" w:hAnsi="宋体" w:cs="宋体"/>
          <w:sz w:val="24"/>
        </w:rPr>
      </w:pPr>
    </w:p>
    <w:p>
      <w:pPr>
        <w:ind w:firstLine="420"/>
        <w:rPr>
          <w:rFonts w:ascii="宋体" w:hAnsi="宋体" w:cs="宋体"/>
        </w:rPr>
      </w:pPr>
    </w:p>
    <w:sectPr>
      <w:footerReference r:id="rId11" w:type="default"/>
      <w:pgSz w:w="11907" w:h="16840"/>
      <w:pgMar w:top="1440" w:right="1800" w:bottom="1440" w:left="1800" w:header="851"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4D"/>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 w:name="font-weight : 400">
    <w:altName w:val="宋体"/>
    <w:panose1 w:val="00000000000000000000"/>
    <w:charset w:val="00"/>
    <w:family w:val="auto"/>
    <w:pitch w:val="default"/>
    <w:sig w:usb0="00000000" w:usb1="00000000" w:usb2="00000000"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昆仑楷体">
    <w:altName w:val="楷体"/>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ヒラギノ角ゴ Pro W3">
    <w:altName w:val="Malgun Gothic"/>
    <w:panose1 w:val="00000000000000000000"/>
    <w:charset w:val="81"/>
    <w:family w:val="roman"/>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t>第</w:t>
    </w:r>
    <w:r>
      <w:fldChar w:fldCharType="begin"/>
    </w:r>
    <w:r>
      <w:rPr>
        <w:rStyle w:val="52"/>
      </w:rPr>
      <w:instrText xml:space="preserve"> PAGE </w:instrText>
    </w:r>
    <w:r>
      <w:fldChar w:fldCharType="separate"/>
    </w:r>
    <w:r>
      <w:rPr>
        <w:rStyle w:val="52"/>
      </w:rPr>
      <w:t>37</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254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9"/>
                          </w:pPr>
                          <w:r>
                            <w:fldChar w:fldCharType="begin"/>
                          </w:r>
                          <w:r>
                            <w:instrText xml:space="preserve"> PAGE  \* MERGEFORMAT </w:instrText>
                          </w:r>
                          <w:r>
                            <w:fldChar w:fldCharType="separate"/>
                          </w:r>
                          <w:r>
                            <w:t>41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qQHTnPwBAAAEBAAADgAAAAAAAAABACAAAAAfAQAAZHJzL2Uyb0RvYy54bWxQ&#10;SwUGAAAAAAYABgBZAQAAj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rPr>
        <w:rFonts w:eastAsiaTheme="minor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1270" r="635" b="635"/>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9"/>
                          </w:pPr>
                          <w:r>
                            <w:fldChar w:fldCharType="begin"/>
                          </w:r>
                          <w:r>
                            <w:instrText xml:space="preserve"> PAGE  \* MERGEFORMAT </w:instrText>
                          </w:r>
                          <w:r>
                            <w:fldChar w:fldCharType="separate"/>
                          </w:r>
                          <w:r>
                            <w:t>118</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WirsBvwBAAAEBAAADgAAAAAAAAABACAAAAAfAQAAZHJzL2Uyb0RvYy54bWxQ&#10;SwUGAAAAAAYABgBZAQAAj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118</w:t>
                    </w:r>
                    <w:r>
                      <w:fldChar w:fldCharType="end"/>
                    </w:r>
                  </w:p>
                </w:txbxContent>
              </v:textbox>
            </v:shape>
          </w:pict>
        </mc:Fallback>
      </mc:AlternateContent>
    </w:r>
    <w:r>
      <w:rPr>
        <w:rFonts w:hint="eastAsia" w:eastAsiaTheme="minorEastAsia"/>
      </w:rPr>
      <w:t xml:space="preserve">   </w:t>
    </w:r>
  </w:p>
  <w:p>
    <w:pPr>
      <w:pStyle w:val="2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rPr>
      <w:t>北京市政府</w:t>
    </w:r>
    <w:r>
      <w:t>采购</w:t>
    </w:r>
    <w:r>
      <w:rPr>
        <w:rFonts w:hint="eastAsia"/>
      </w:rPr>
      <w:t>项目公开招标文件</w:t>
    </w:r>
  </w:p>
  <w:p>
    <w:pPr>
      <w:widowControl/>
      <w:snapToGrid w:val="0"/>
      <w:spacing w:line="360" w:lineRule="auto"/>
      <w:jc w:val="lef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rPr>
      <w:t>北京市政府</w:t>
    </w:r>
    <w:r>
      <w:t>采购</w:t>
    </w:r>
    <w:r>
      <w:rPr>
        <w:rFonts w:hint="eastAsia"/>
      </w:rPr>
      <w:t>项目公开招标文件示范文本</w:t>
    </w:r>
  </w:p>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5E15"/>
    <w:multiLevelType w:val="singleLevel"/>
    <w:tmpl w:val="9F275E15"/>
    <w:lvl w:ilvl="0" w:tentative="0">
      <w:start w:val="2"/>
      <w:numFmt w:val="decimal"/>
      <w:lvlText w:val="%1."/>
      <w:lvlJc w:val="left"/>
      <w:pPr>
        <w:tabs>
          <w:tab w:val="left" w:pos="312"/>
        </w:tabs>
      </w:pPr>
    </w:lvl>
  </w:abstractNum>
  <w:abstractNum w:abstractNumId="1">
    <w:nsid w:val="0000000D"/>
    <w:multiLevelType w:val="multilevel"/>
    <w:tmpl w:val="0000000D"/>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B7DC4BF"/>
    <w:multiLevelType w:val="singleLevel"/>
    <w:tmpl w:val="0B7DC4BF"/>
    <w:lvl w:ilvl="0" w:tentative="0">
      <w:start w:val="1"/>
      <w:numFmt w:val="decimal"/>
      <w:suff w:val="space"/>
      <w:lvlText w:val="%1."/>
      <w:lvlJc w:val="left"/>
    </w:lvl>
  </w:abstractNum>
  <w:abstractNum w:abstractNumId="3">
    <w:nsid w:val="1CC613E0"/>
    <w:multiLevelType w:val="multilevel"/>
    <w:tmpl w:val="1CC613E0"/>
    <w:lvl w:ilvl="0" w:tentative="0">
      <w:start w:val="2"/>
      <w:numFmt w:val="japaneseCounting"/>
      <w:pStyle w:val="265"/>
      <w:lvlText w:val="第%1章"/>
      <w:lvlJc w:val="left"/>
      <w:pPr>
        <w:tabs>
          <w:tab w:val="left" w:pos="4084"/>
        </w:tabs>
        <w:ind w:left="4084" w:hanging="1200"/>
      </w:pPr>
      <w:rPr>
        <w:rFonts w:hint="eastAsia" w:cs="Times New Roman"/>
      </w:rPr>
    </w:lvl>
    <w:lvl w:ilvl="1" w:tentative="0">
      <w:start w:val="1"/>
      <w:numFmt w:val="lowerLetter"/>
      <w:lvlText w:val="%2)"/>
      <w:lvlJc w:val="left"/>
      <w:pPr>
        <w:tabs>
          <w:tab w:val="left" w:pos="3724"/>
        </w:tabs>
        <w:ind w:left="3724" w:hanging="420"/>
      </w:pPr>
      <w:rPr>
        <w:rFonts w:cs="Times New Roman"/>
      </w:rPr>
    </w:lvl>
    <w:lvl w:ilvl="2" w:tentative="0">
      <w:start w:val="1"/>
      <w:numFmt w:val="lowerRoman"/>
      <w:lvlText w:val="%3."/>
      <w:lvlJc w:val="right"/>
      <w:pPr>
        <w:tabs>
          <w:tab w:val="left" w:pos="4144"/>
        </w:tabs>
        <w:ind w:left="4144" w:hanging="420"/>
      </w:pPr>
      <w:rPr>
        <w:rFonts w:cs="Times New Roman"/>
      </w:rPr>
    </w:lvl>
    <w:lvl w:ilvl="3" w:tentative="0">
      <w:start w:val="1"/>
      <w:numFmt w:val="decimal"/>
      <w:lvlText w:val="%4."/>
      <w:lvlJc w:val="left"/>
      <w:pPr>
        <w:tabs>
          <w:tab w:val="left" w:pos="4564"/>
        </w:tabs>
        <w:ind w:left="4564" w:hanging="420"/>
      </w:pPr>
      <w:rPr>
        <w:rFonts w:cs="Times New Roman"/>
      </w:rPr>
    </w:lvl>
    <w:lvl w:ilvl="4" w:tentative="0">
      <w:start w:val="1"/>
      <w:numFmt w:val="lowerLetter"/>
      <w:lvlText w:val="%5)"/>
      <w:lvlJc w:val="left"/>
      <w:pPr>
        <w:tabs>
          <w:tab w:val="left" w:pos="4984"/>
        </w:tabs>
        <w:ind w:left="4984" w:hanging="420"/>
      </w:pPr>
      <w:rPr>
        <w:rFonts w:cs="Times New Roman"/>
      </w:rPr>
    </w:lvl>
    <w:lvl w:ilvl="5" w:tentative="0">
      <w:start w:val="1"/>
      <w:numFmt w:val="lowerRoman"/>
      <w:lvlText w:val="%6."/>
      <w:lvlJc w:val="right"/>
      <w:pPr>
        <w:tabs>
          <w:tab w:val="left" w:pos="5404"/>
        </w:tabs>
        <w:ind w:left="5404" w:hanging="420"/>
      </w:pPr>
      <w:rPr>
        <w:rFonts w:cs="Times New Roman"/>
      </w:rPr>
    </w:lvl>
    <w:lvl w:ilvl="6" w:tentative="0">
      <w:start w:val="1"/>
      <w:numFmt w:val="decimal"/>
      <w:lvlText w:val="%7."/>
      <w:lvlJc w:val="left"/>
      <w:pPr>
        <w:tabs>
          <w:tab w:val="left" w:pos="5824"/>
        </w:tabs>
        <w:ind w:left="5824" w:hanging="420"/>
      </w:pPr>
      <w:rPr>
        <w:rFonts w:cs="Times New Roman"/>
      </w:rPr>
    </w:lvl>
    <w:lvl w:ilvl="7" w:tentative="0">
      <w:start w:val="1"/>
      <w:numFmt w:val="lowerLetter"/>
      <w:lvlText w:val="%8)"/>
      <w:lvlJc w:val="left"/>
      <w:pPr>
        <w:tabs>
          <w:tab w:val="left" w:pos="6244"/>
        </w:tabs>
        <w:ind w:left="6244" w:hanging="420"/>
      </w:pPr>
      <w:rPr>
        <w:rFonts w:cs="Times New Roman"/>
      </w:rPr>
    </w:lvl>
    <w:lvl w:ilvl="8" w:tentative="0">
      <w:start w:val="1"/>
      <w:numFmt w:val="lowerRoman"/>
      <w:lvlText w:val="%9."/>
      <w:lvlJc w:val="right"/>
      <w:pPr>
        <w:tabs>
          <w:tab w:val="left" w:pos="6664"/>
        </w:tabs>
        <w:ind w:left="6664" w:hanging="420"/>
      </w:pPr>
      <w:rPr>
        <w:rFonts w:cs="Times New Roman"/>
      </w:r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6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8925ED1"/>
    <w:multiLevelType w:val="multilevel"/>
    <w:tmpl w:val="48925ED1"/>
    <w:lvl w:ilvl="0" w:tentative="0">
      <w:start w:val="1"/>
      <w:numFmt w:val="decimal"/>
      <w:lvlText w:val="%1）"/>
      <w:lvlJc w:val="left"/>
      <w:pPr>
        <w:ind w:left="780" w:hanging="36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8">
    <w:nsid w:val="59F6D0D3"/>
    <w:multiLevelType w:val="singleLevel"/>
    <w:tmpl w:val="59F6D0D3"/>
    <w:lvl w:ilvl="0" w:tentative="0">
      <w:start w:val="1"/>
      <w:numFmt w:val="chineseCounting"/>
      <w:suff w:val="nothing"/>
      <w:lvlText w:val="%1、"/>
      <w:lvlJc w:val="left"/>
    </w:lvl>
  </w:abstractNum>
  <w:abstractNum w:abstractNumId="9">
    <w:nsid w:val="701D5B04"/>
    <w:multiLevelType w:val="multilevel"/>
    <w:tmpl w:val="701D5B04"/>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72475E2C"/>
    <w:multiLevelType w:val="multilevel"/>
    <w:tmpl w:val="72475E2C"/>
    <w:lvl w:ilvl="0" w:tentative="0">
      <w:start w:val="1"/>
      <w:numFmt w:val="decimal"/>
      <w:lvlText w:val="%1."/>
      <w:lvlJc w:val="left"/>
      <w:pPr>
        <w:ind w:left="900" w:hanging="420"/>
      </w:pPr>
    </w:lvl>
    <w:lvl w:ilvl="1" w:tentative="0">
      <w:start w:val="1"/>
      <w:numFmt w:val="lowerLetter"/>
      <w:pStyle w:val="252"/>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BEA52C6"/>
    <w:multiLevelType w:val="singleLevel"/>
    <w:tmpl w:val="7BEA52C6"/>
    <w:lvl w:ilvl="0" w:tentative="0">
      <w:start w:val="2"/>
      <w:numFmt w:val="chineseCounting"/>
      <w:suff w:val="nothing"/>
      <w:lvlText w:val="%1、"/>
      <w:lvlJc w:val="left"/>
      <w:rPr>
        <w:rFonts w:hint="eastAsia"/>
      </w:rPr>
    </w:lvl>
  </w:abstractNum>
  <w:num w:numId="1">
    <w:abstractNumId w:val="1"/>
  </w:num>
  <w:num w:numId="2">
    <w:abstractNumId w:val="10"/>
  </w:num>
  <w:num w:numId="3">
    <w:abstractNumId w:val="3"/>
  </w:num>
  <w:num w:numId="4">
    <w:abstractNumId w:val="5"/>
  </w:num>
  <w:num w:numId="5">
    <w:abstractNumId w:val="0"/>
  </w:num>
  <w:num w:numId="6">
    <w:abstractNumId w:val="4"/>
  </w:num>
  <w:num w:numId="7">
    <w:abstractNumId w:val="2"/>
  </w:num>
  <w:num w:numId="8">
    <w:abstractNumId w:val="7"/>
  </w:num>
  <w:num w:numId="9">
    <w:abstractNumId w:val="6"/>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GM0MjI3MGVlZjJlYmY5NDVjMjRhYmY0ZGE5NzIifQ=="/>
  </w:docVars>
  <w:rsids>
    <w:rsidRoot w:val="00A97135"/>
    <w:rsid w:val="00001940"/>
    <w:rsid w:val="00001E8A"/>
    <w:rsid w:val="00002CCF"/>
    <w:rsid w:val="00003263"/>
    <w:rsid w:val="00007630"/>
    <w:rsid w:val="00012C18"/>
    <w:rsid w:val="00012E3E"/>
    <w:rsid w:val="000209E2"/>
    <w:rsid w:val="000216C3"/>
    <w:rsid w:val="0004098C"/>
    <w:rsid w:val="000416E7"/>
    <w:rsid w:val="00043495"/>
    <w:rsid w:val="00046F36"/>
    <w:rsid w:val="0005014C"/>
    <w:rsid w:val="000513CF"/>
    <w:rsid w:val="00052E65"/>
    <w:rsid w:val="00052F91"/>
    <w:rsid w:val="000554E9"/>
    <w:rsid w:val="0006001F"/>
    <w:rsid w:val="00060748"/>
    <w:rsid w:val="000664C3"/>
    <w:rsid w:val="00070C98"/>
    <w:rsid w:val="00072449"/>
    <w:rsid w:val="00072AF3"/>
    <w:rsid w:val="00074902"/>
    <w:rsid w:val="00077D20"/>
    <w:rsid w:val="00085BFC"/>
    <w:rsid w:val="00086FF4"/>
    <w:rsid w:val="0009003B"/>
    <w:rsid w:val="000909AB"/>
    <w:rsid w:val="00090D57"/>
    <w:rsid w:val="00092886"/>
    <w:rsid w:val="00093005"/>
    <w:rsid w:val="0009304F"/>
    <w:rsid w:val="0009509C"/>
    <w:rsid w:val="00095477"/>
    <w:rsid w:val="000A0337"/>
    <w:rsid w:val="000A33BC"/>
    <w:rsid w:val="000A6959"/>
    <w:rsid w:val="000B3003"/>
    <w:rsid w:val="000B48BF"/>
    <w:rsid w:val="000B694D"/>
    <w:rsid w:val="000B7634"/>
    <w:rsid w:val="000C0034"/>
    <w:rsid w:val="000C18FF"/>
    <w:rsid w:val="000C5644"/>
    <w:rsid w:val="000D0992"/>
    <w:rsid w:val="000D1622"/>
    <w:rsid w:val="000D3FB0"/>
    <w:rsid w:val="000E0D56"/>
    <w:rsid w:val="000E3B90"/>
    <w:rsid w:val="000E5570"/>
    <w:rsid w:val="000E7C15"/>
    <w:rsid w:val="000F411E"/>
    <w:rsid w:val="001003C2"/>
    <w:rsid w:val="00100CED"/>
    <w:rsid w:val="001017D7"/>
    <w:rsid w:val="00104534"/>
    <w:rsid w:val="00105EA4"/>
    <w:rsid w:val="00110BDA"/>
    <w:rsid w:val="00111E32"/>
    <w:rsid w:val="00112A23"/>
    <w:rsid w:val="00121A3A"/>
    <w:rsid w:val="00122F0C"/>
    <w:rsid w:val="001230E1"/>
    <w:rsid w:val="00123F16"/>
    <w:rsid w:val="00125CFD"/>
    <w:rsid w:val="001274D9"/>
    <w:rsid w:val="00130CFC"/>
    <w:rsid w:val="00130E9C"/>
    <w:rsid w:val="001311E2"/>
    <w:rsid w:val="001344AA"/>
    <w:rsid w:val="00137DC1"/>
    <w:rsid w:val="00140CED"/>
    <w:rsid w:val="00143487"/>
    <w:rsid w:val="00146B57"/>
    <w:rsid w:val="00151464"/>
    <w:rsid w:val="00151FFC"/>
    <w:rsid w:val="0015233C"/>
    <w:rsid w:val="00152ECD"/>
    <w:rsid w:val="001551ED"/>
    <w:rsid w:val="001553DB"/>
    <w:rsid w:val="001630E9"/>
    <w:rsid w:val="0016364F"/>
    <w:rsid w:val="00163B85"/>
    <w:rsid w:val="0016494F"/>
    <w:rsid w:val="0016530A"/>
    <w:rsid w:val="00170FF4"/>
    <w:rsid w:val="001740F6"/>
    <w:rsid w:val="00176F36"/>
    <w:rsid w:val="00190236"/>
    <w:rsid w:val="001907DC"/>
    <w:rsid w:val="001936A8"/>
    <w:rsid w:val="0019739F"/>
    <w:rsid w:val="001A69D3"/>
    <w:rsid w:val="001B7675"/>
    <w:rsid w:val="001C09FC"/>
    <w:rsid w:val="001C1190"/>
    <w:rsid w:val="001C60BA"/>
    <w:rsid w:val="001C682A"/>
    <w:rsid w:val="001D1DE5"/>
    <w:rsid w:val="001D3257"/>
    <w:rsid w:val="001D38A6"/>
    <w:rsid w:val="001D487E"/>
    <w:rsid w:val="001D65B9"/>
    <w:rsid w:val="001E17A6"/>
    <w:rsid w:val="001E278E"/>
    <w:rsid w:val="001E5936"/>
    <w:rsid w:val="001E6827"/>
    <w:rsid w:val="001F531C"/>
    <w:rsid w:val="001F552D"/>
    <w:rsid w:val="001F73CE"/>
    <w:rsid w:val="001F7FAC"/>
    <w:rsid w:val="002006FC"/>
    <w:rsid w:val="002022F7"/>
    <w:rsid w:val="002045AA"/>
    <w:rsid w:val="00206B63"/>
    <w:rsid w:val="00207D7A"/>
    <w:rsid w:val="002103A7"/>
    <w:rsid w:val="002156DB"/>
    <w:rsid w:val="00215F9C"/>
    <w:rsid w:val="00216743"/>
    <w:rsid w:val="00220081"/>
    <w:rsid w:val="0022532A"/>
    <w:rsid w:val="002272B4"/>
    <w:rsid w:val="00233C74"/>
    <w:rsid w:val="0023410F"/>
    <w:rsid w:val="00237D57"/>
    <w:rsid w:val="00237EEB"/>
    <w:rsid w:val="00243691"/>
    <w:rsid w:val="0024382E"/>
    <w:rsid w:val="002535A8"/>
    <w:rsid w:val="00255A42"/>
    <w:rsid w:val="00255AD2"/>
    <w:rsid w:val="00262DC4"/>
    <w:rsid w:val="002667D0"/>
    <w:rsid w:val="00271DD6"/>
    <w:rsid w:val="00272BBF"/>
    <w:rsid w:val="00275E5F"/>
    <w:rsid w:val="00285561"/>
    <w:rsid w:val="0028573C"/>
    <w:rsid w:val="002910B2"/>
    <w:rsid w:val="002942A7"/>
    <w:rsid w:val="00294DB5"/>
    <w:rsid w:val="002A05A4"/>
    <w:rsid w:val="002A73AE"/>
    <w:rsid w:val="002B3325"/>
    <w:rsid w:val="002B4643"/>
    <w:rsid w:val="002B6C59"/>
    <w:rsid w:val="002C4814"/>
    <w:rsid w:val="002C672D"/>
    <w:rsid w:val="002D036C"/>
    <w:rsid w:val="002D5775"/>
    <w:rsid w:val="002D5D40"/>
    <w:rsid w:val="002E1490"/>
    <w:rsid w:val="002E1A81"/>
    <w:rsid w:val="002E4C38"/>
    <w:rsid w:val="002E5271"/>
    <w:rsid w:val="002E7019"/>
    <w:rsid w:val="002E7406"/>
    <w:rsid w:val="002F0647"/>
    <w:rsid w:val="002F2B88"/>
    <w:rsid w:val="002F3E6F"/>
    <w:rsid w:val="002F6071"/>
    <w:rsid w:val="003012DB"/>
    <w:rsid w:val="00312233"/>
    <w:rsid w:val="0031393F"/>
    <w:rsid w:val="00314780"/>
    <w:rsid w:val="00315D25"/>
    <w:rsid w:val="0031612F"/>
    <w:rsid w:val="003228D9"/>
    <w:rsid w:val="00324A60"/>
    <w:rsid w:val="00325665"/>
    <w:rsid w:val="003261DC"/>
    <w:rsid w:val="003263A4"/>
    <w:rsid w:val="00332582"/>
    <w:rsid w:val="003341A3"/>
    <w:rsid w:val="00334CD9"/>
    <w:rsid w:val="00335A02"/>
    <w:rsid w:val="003364E5"/>
    <w:rsid w:val="00336A39"/>
    <w:rsid w:val="00342FB6"/>
    <w:rsid w:val="00347E6F"/>
    <w:rsid w:val="00351710"/>
    <w:rsid w:val="00352AF1"/>
    <w:rsid w:val="0036051F"/>
    <w:rsid w:val="00366C41"/>
    <w:rsid w:val="00377C16"/>
    <w:rsid w:val="0038209E"/>
    <w:rsid w:val="0038340B"/>
    <w:rsid w:val="00384168"/>
    <w:rsid w:val="0038544A"/>
    <w:rsid w:val="00385BA7"/>
    <w:rsid w:val="003915E4"/>
    <w:rsid w:val="0039250A"/>
    <w:rsid w:val="003946EF"/>
    <w:rsid w:val="00395ECA"/>
    <w:rsid w:val="003A28F5"/>
    <w:rsid w:val="003A44BF"/>
    <w:rsid w:val="003C254F"/>
    <w:rsid w:val="003C367B"/>
    <w:rsid w:val="003C3D54"/>
    <w:rsid w:val="003C5F1B"/>
    <w:rsid w:val="003D115F"/>
    <w:rsid w:val="003D2F49"/>
    <w:rsid w:val="003E4833"/>
    <w:rsid w:val="003E6083"/>
    <w:rsid w:val="003F0D4B"/>
    <w:rsid w:val="003F279B"/>
    <w:rsid w:val="003F4CBD"/>
    <w:rsid w:val="004007AB"/>
    <w:rsid w:val="004015B3"/>
    <w:rsid w:val="00404263"/>
    <w:rsid w:val="0040534D"/>
    <w:rsid w:val="00407158"/>
    <w:rsid w:val="00415F70"/>
    <w:rsid w:val="00416F27"/>
    <w:rsid w:val="00423822"/>
    <w:rsid w:val="00430B23"/>
    <w:rsid w:val="00433299"/>
    <w:rsid w:val="004516C0"/>
    <w:rsid w:val="00456377"/>
    <w:rsid w:val="004641C7"/>
    <w:rsid w:val="00470177"/>
    <w:rsid w:val="00471C04"/>
    <w:rsid w:val="00471FD0"/>
    <w:rsid w:val="0047556E"/>
    <w:rsid w:val="00490FBA"/>
    <w:rsid w:val="004937FE"/>
    <w:rsid w:val="00496B5F"/>
    <w:rsid w:val="00497206"/>
    <w:rsid w:val="004A01BC"/>
    <w:rsid w:val="004A29C2"/>
    <w:rsid w:val="004A2F51"/>
    <w:rsid w:val="004A6D61"/>
    <w:rsid w:val="004A6EBE"/>
    <w:rsid w:val="004C30E5"/>
    <w:rsid w:val="004C56D4"/>
    <w:rsid w:val="004C6226"/>
    <w:rsid w:val="004C71C5"/>
    <w:rsid w:val="004D03D6"/>
    <w:rsid w:val="004D1D2A"/>
    <w:rsid w:val="004D2AD6"/>
    <w:rsid w:val="004E12D8"/>
    <w:rsid w:val="004E13B0"/>
    <w:rsid w:val="004E34CC"/>
    <w:rsid w:val="004E6E14"/>
    <w:rsid w:val="004F15D1"/>
    <w:rsid w:val="004F1ACA"/>
    <w:rsid w:val="004F478E"/>
    <w:rsid w:val="004F65E8"/>
    <w:rsid w:val="00501433"/>
    <w:rsid w:val="00501BCA"/>
    <w:rsid w:val="00511240"/>
    <w:rsid w:val="0051277E"/>
    <w:rsid w:val="00517516"/>
    <w:rsid w:val="005176AB"/>
    <w:rsid w:val="00522590"/>
    <w:rsid w:val="005253AC"/>
    <w:rsid w:val="0053472E"/>
    <w:rsid w:val="00534927"/>
    <w:rsid w:val="00537070"/>
    <w:rsid w:val="00541556"/>
    <w:rsid w:val="00542F59"/>
    <w:rsid w:val="00543AD9"/>
    <w:rsid w:val="00546181"/>
    <w:rsid w:val="00551E2D"/>
    <w:rsid w:val="0055597D"/>
    <w:rsid w:val="0056034E"/>
    <w:rsid w:val="00560D7A"/>
    <w:rsid w:val="00565B68"/>
    <w:rsid w:val="00565BA6"/>
    <w:rsid w:val="00566D28"/>
    <w:rsid w:val="005672A4"/>
    <w:rsid w:val="00567959"/>
    <w:rsid w:val="00570013"/>
    <w:rsid w:val="00571F8B"/>
    <w:rsid w:val="00574D8A"/>
    <w:rsid w:val="005802A8"/>
    <w:rsid w:val="005803EF"/>
    <w:rsid w:val="0059556D"/>
    <w:rsid w:val="005A0EA4"/>
    <w:rsid w:val="005B1473"/>
    <w:rsid w:val="005B5164"/>
    <w:rsid w:val="005B5C50"/>
    <w:rsid w:val="005C3D4C"/>
    <w:rsid w:val="005D1CA6"/>
    <w:rsid w:val="005D36D2"/>
    <w:rsid w:val="005E7152"/>
    <w:rsid w:val="005E77C8"/>
    <w:rsid w:val="005F1653"/>
    <w:rsid w:val="005F2738"/>
    <w:rsid w:val="006002C3"/>
    <w:rsid w:val="0060098F"/>
    <w:rsid w:val="0060513D"/>
    <w:rsid w:val="006063EE"/>
    <w:rsid w:val="00607965"/>
    <w:rsid w:val="00607E44"/>
    <w:rsid w:val="006109AF"/>
    <w:rsid w:val="00610DEB"/>
    <w:rsid w:val="00611FCA"/>
    <w:rsid w:val="006126C6"/>
    <w:rsid w:val="00616EF1"/>
    <w:rsid w:val="00620E6C"/>
    <w:rsid w:val="00622D68"/>
    <w:rsid w:val="00625CA7"/>
    <w:rsid w:val="006270AD"/>
    <w:rsid w:val="006273A5"/>
    <w:rsid w:val="00632160"/>
    <w:rsid w:val="00632646"/>
    <w:rsid w:val="00633B30"/>
    <w:rsid w:val="00654450"/>
    <w:rsid w:val="00655B50"/>
    <w:rsid w:val="00656974"/>
    <w:rsid w:val="00661535"/>
    <w:rsid w:val="00665C4E"/>
    <w:rsid w:val="00671027"/>
    <w:rsid w:val="0067220E"/>
    <w:rsid w:val="006758D6"/>
    <w:rsid w:val="00676F8C"/>
    <w:rsid w:val="00681270"/>
    <w:rsid w:val="00684466"/>
    <w:rsid w:val="00685B7E"/>
    <w:rsid w:val="00687129"/>
    <w:rsid w:val="006A4714"/>
    <w:rsid w:val="006A4ECA"/>
    <w:rsid w:val="006A66C4"/>
    <w:rsid w:val="006A718A"/>
    <w:rsid w:val="006B1592"/>
    <w:rsid w:val="006B1DF3"/>
    <w:rsid w:val="006B42AA"/>
    <w:rsid w:val="006B62E2"/>
    <w:rsid w:val="006B635B"/>
    <w:rsid w:val="006B6FD1"/>
    <w:rsid w:val="006B74E5"/>
    <w:rsid w:val="006C01B6"/>
    <w:rsid w:val="006C0C0B"/>
    <w:rsid w:val="006C1153"/>
    <w:rsid w:val="006C683E"/>
    <w:rsid w:val="006D036E"/>
    <w:rsid w:val="006D186B"/>
    <w:rsid w:val="006D6068"/>
    <w:rsid w:val="006E37E6"/>
    <w:rsid w:val="006E4F64"/>
    <w:rsid w:val="006E64FD"/>
    <w:rsid w:val="006E6FBF"/>
    <w:rsid w:val="006E746D"/>
    <w:rsid w:val="006F0999"/>
    <w:rsid w:val="006F32ED"/>
    <w:rsid w:val="007013AB"/>
    <w:rsid w:val="00705395"/>
    <w:rsid w:val="00710E0B"/>
    <w:rsid w:val="00712F5F"/>
    <w:rsid w:val="00713057"/>
    <w:rsid w:val="00713766"/>
    <w:rsid w:val="00714362"/>
    <w:rsid w:val="00715265"/>
    <w:rsid w:val="00716803"/>
    <w:rsid w:val="00720A62"/>
    <w:rsid w:val="00722851"/>
    <w:rsid w:val="00725D0B"/>
    <w:rsid w:val="007307DC"/>
    <w:rsid w:val="00735A90"/>
    <w:rsid w:val="007360C4"/>
    <w:rsid w:val="007402E5"/>
    <w:rsid w:val="007406BB"/>
    <w:rsid w:val="00743537"/>
    <w:rsid w:val="00750F8F"/>
    <w:rsid w:val="00756075"/>
    <w:rsid w:val="00765884"/>
    <w:rsid w:val="00766AA6"/>
    <w:rsid w:val="007674E9"/>
    <w:rsid w:val="00767D73"/>
    <w:rsid w:val="007701F1"/>
    <w:rsid w:val="00775CD0"/>
    <w:rsid w:val="00777B2B"/>
    <w:rsid w:val="007860AD"/>
    <w:rsid w:val="00787403"/>
    <w:rsid w:val="00794C63"/>
    <w:rsid w:val="007A0475"/>
    <w:rsid w:val="007A3D40"/>
    <w:rsid w:val="007B27D8"/>
    <w:rsid w:val="007B588B"/>
    <w:rsid w:val="007B770D"/>
    <w:rsid w:val="007C574B"/>
    <w:rsid w:val="007C7285"/>
    <w:rsid w:val="007C78E6"/>
    <w:rsid w:val="007C7FD5"/>
    <w:rsid w:val="007D20AF"/>
    <w:rsid w:val="007D21CE"/>
    <w:rsid w:val="007D28C2"/>
    <w:rsid w:val="007D2FD6"/>
    <w:rsid w:val="007D722A"/>
    <w:rsid w:val="007E1827"/>
    <w:rsid w:val="007E2DF4"/>
    <w:rsid w:val="007E6B14"/>
    <w:rsid w:val="00800569"/>
    <w:rsid w:val="00806754"/>
    <w:rsid w:val="0081318F"/>
    <w:rsid w:val="00813A5A"/>
    <w:rsid w:val="00820278"/>
    <w:rsid w:val="00823BFF"/>
    <w:rsid w:val="00832092"/>
    <w:rsid w:val="008424EB"/>
    <w:rsid w:val="00846614"/>
    <w:rsid w:val="00850A01"/>
    <w:rsid w:val="008568FC"/>
    <w:rsid w:val="008604D3"/>
    <w:rsid w:val="00860DB0"/>
    <w:rsid w:val="00863EFA"/>
    <w:rsid w:val="008654CB"/>
    <w:rsid w:val="00875639"/>
    <w:rsid w:val="008768A4"/>
    <w:rsid w:val="00876C82"/>
    <w:rsid w:val="008778CC"/>
    <w:rsid w:val="0087793D"/>
    <w:rsid w:val="00882B00"/>
    <w:rsid w:val="00883472"/>
    <w:rsid w:val="008847F6"/>
    <w:rsid w:val="00890688"/>
    <w:rsid w:val="0089280F"/>
    <w:rsid w:val="008933C6"/>
    <w:rsid w:val="00897735"/>
    <w:rsid w:val="008A038C"/>
    <w:rsid w:val="008A2D2D"/>
    <w:rsid w:val="008A3062"/>
    <w:rsid w:val="008B055F"/>
    <w:rsid w:val="008B4A99"/>
    <w:rsid w:val="008C0073"/>
    <w:rsid w:val="008C1169"/>
    <w:rsid w:val="008D3C54"/>
    <w:rsid w:val="008D435D"/>
    <w:rsid w:val="008D76AD"/>
    <w:rsid w:val="008E22B5"/>
    <w:rsid w:val="008F0EB1"/>
    <w:rsid w:val="008F181A"/>
    <w:rsid w:val="009026AB"/>
    <w:rsid w:val="00911C00"/>
    <w:rsid w:val="00923B89"/>
    <w:rsid w:val="00930E95"/>
    <w:rsid w:val="00946C54"/>
    <w:rsid w:val="00951BD7"/>
    <w:rsid w:val="0095496F"/>
    <w:rsid w:val="00957606"/>
    <w:rsid w:val="00961B28"/>
    <w:rsid w:val="00961BAB"/>
    <w:rsid w:val="00963D0A"/>
    <w:rsid w:val="0096485C"/>
    <w:rsid w:val="00966418"/>
    <w:rsid w:val="00966F26"/>
    <w:rsid w:val="00975B33"/>
    <w:rsid w:val="009808C2"/>
    <w:rsid w:val="009913E9"/>
    <w:rsid w:val="0099149F"/>
    <w:rsid w:val="0099404D"/>
    <w:rsid w:val="009A100A"/>
    <w:rsid w:val="009A146A"/>
    <w:rsid w:val="009A37BE"/>
    <w:rsid w:val="009A41DA"/>
    <w:rsid w:val="009B37EF"/>
    <w:rsid w:val="009C12CF"/>
    <w:rsid w:val="009D0F12"/>
    <w:rsid w:val="009D2412"/>
    <w:rsid w:val="009D41BA"/>
    <w:rsid w:val="00A0208A"/>
    <w:rsid w:val="00A07562"/>
    <w:rsid w:val="00A10072"/>
    <w:rsid w:val="00A172FA"/>
    <w:rsid w:val="00A20450"/>
    <w:rsid w:val="00A2226C"/>
    <w:rsid w:val="00A2311F"/>
    <w:rsid w:val="00A2666E"/>
    <w:rsid w:val="00A266F6"/>
    <w:rsid w:val="00A27729"/>
    <w:rsid w:val="00A372E1"/>
    <w:rsid w:val="00A41C49"/>
    <w:rsid w:val="00A51D81"/>
    <w:rsid w:val="00A56033"/>
    <w:rsid w:val="00A613FA"/>
    <w:rsid w:val="00A61E5E"/>
    <w:rsid w:val="00A66EAC"/>
    <w:rsid w:val="00A70E9C"/>
    <w:rsid w:val="00A73036"/>
    <w:rsid w:val="00A7407D"/>
    <w:rsid w:val="00A813C8"/>
    <w:rsid w:val="00A944B5"/>
    <w:rsid w:val="00A94B83"/>
    <w:rsid w:val="00A94DA4"/>
    <w:rsid w:val="00A95DD3"/>
    <w:rsid w:val="00A97135"/>
    <w:rsid w:val="00A97199"/>
    <w:rsid w:val="00A97DD4"/>
    <w:rsid w:val="00AA13B7"/>
    <w:rsid w:val="00AA3C9A"/>
    <w:rsid w:val="00AA470F"/>
    <w:rsid w:val="00AA77F6"/>
    <w:rsid w:val="00AA78D2"/>
    <w:rsid w:val="00AB637A"/>
    <w:rsid w:val="00AB7C14"/>
    <w:rsid w:val="00AC0598"/>
    <w:rsid w:val="00AC212B"/>
    <w:rsid w:val="00AC77AC"/>
    <w:rsid w:val="00AD7DD9"/>
    <w:rsid w:val="00AE0C5F"/>
    <w:rsid w:val="00AE38F9"/>
    <w:rsid w:val="00AF6BE8"/>
    <w:rsid w:val="00B01E3F"/>
    <w:rsid w:val="00B02846"/>
    <w:rsid w:val="00B02CFC"/>
    <w:rsid w:val="00B0329B"/>
    <w:rsid w:val="00B11988"/>
    <w:rsid w:val="00B15918"/>
    <w:rsid w:val="00B15D35"/>
    <w:rsid w:val="00B303BF"/>
    <w:rsid w:val="00B31943"/>
    <w:rsid w:val="00B4172F"/>
    <w:rsid w:val="00B4270C"/>
    <w:rsid w:val="00B43020"/>
    <w:rsid w:val="00B4363C"/>
    <w:rsid w:val="00B500C3"/>
    <w:rsid w:val="00B500F9"/>
    <w:rsid w:val="00B50DB3"/>
    <w:rsid w:val="00B53DFB"/>
    <w:rsid w:val="00B54373"/>
    <w:rsid w:val="00B61F82"/>
    <w:rsid w:val="00B62218"/>
    <w:rsid w:val="00B668C1"/>
    <w:rsid w:val="00B672F8"/>
    <w:rsid w:val="00B6742A"/>
    <w:rsid w:val="00B7238F"/>
    <w:rsid w:val="00B761F6"/>
    <w:rsid w:val="00B8101E"/>
    <w:rsid w:val="00B840F6"/>
    <w:rsid w:val="00B85EFE"/>
    <w:rsid w:val="00B86C11"/>
    <w:rsid w:val="00B96CDE"/>
    <w:rsid w:val="00BA0098"/>
    <w:rsid w:val="00BA0310"/>
    <w:rsid w:val="00BA2E96"/>
    <w:rsid w:val="00BA6DCC"/>
    <w:rsid w:val="00BB01C2"/>
    <w:rsid w:val="00BB140D"/>
    <w:rsid w:val="00BB2FAA"/>
    <w:rsid w:val="00BB364F"/>
    <w:rsid w:val="00BB6750"/>
    <w:rsid w:val="00BC3496"/>
    <w:rsid w:val="00BD4F7D"/>
    <w:rsid w:val="00BD676E"/>
    <w:rsid w:val="00BE09BB"/>
    <w:rsid w:val="00BE25CD"/>
    <w:rsid w:val="00BE72EE"/>
    <w:rsid w:val="00C006E0"/>
    <w:rsid w:val="00C006EF"/>
    <w:rsid w:val="00C00CC6"/>
    <w:rsid w:val="00C01275"/>
    <w:rsid w:val="00C03A52"/>
    <w:rsid w:val="00C04D63"/>
    <w:rsid w:val="00C0557E"/>
    <w:rsid w:val="00C05FD2"/>
    <w:rsid w:val="00C1400B"/>
    <w:rsid w:val="00C15598"/>
    <w:rsid w:val="00C21D65"/>
    <w:rsid w:val="00C2238F"/>
    <w:rsid w:val="00C26D19"/>
    <w:rsid w:val="00C34A2A"/>
    <w:rsid w:val="00C35446"/>
    <w:rsid w:val="00C36729"/>
    <w:rsid w:val="00C37CE3"/>
    <w:rsid w:val="00C45159"/>
    <w:rsid w:val="00C46905"/>
    <w:rsid w:val="00C52D1E"/>
    <w:rsid w:val="00C60838"/>
    <w:rsid w:val="00C61BA9"/>
    <w:rsid w:val="00C63ECE"/>
    <w:rsid w:val="00C66C89"/>
    <w:rsid w:val="00C66D84"/>
    <w:rsid w:val="00C70858"/>
    <w:rsid w:val="00C74BA8"/>
    <w:rsid w:val="00C77FF2"/>
    <w:rsid w:val="00C8043A"/>
    <w:rsid w:val="00C80C5A"/>
    <w:rsid w:val="00C82056"/>
    <w:rsid w:val="00C82856"/>
    <w:rsid w:val="00C854DA"/>
    <w:rsid w:val="00C862A6"/>
    <w:rsid w:val="00C93352"/>
    <w:rsid w:val="00C9694E"/>
    <w:rsid w:val="00CA254B"/>
    <w:rsid w:val="00CA40E8"/>
    <w:rsid w:val="00CA4E26"/>
    <w:rsid w:val="00CA5001"/>
    <w:rsid w:val="00CB1ECF"/>
    <w:rsid w:val="00CC486D"/>
    <w:rsid w:val="00CC56FD"/>
    <w:rsid w:val="00CC7C19"/>
    <w:rsid w:val="00CD02E0"/>
    <w:rsid w:val="00CD3E72"/>
    <w:rsid w:val="00CE10F6"/>
    <w:rsid w:val="00CE5355"/>
    <w:rsid w:val="00CF181C"/>
    <w:rsid w:val="00CF415E"/>
    <w:rsid w:val="00CF52FC"/>
    <w:rsid w:val="00CF61A2"/>
    <w:rsid w:val="00D02554"/>
    <w:rsid w:val="00D0334C"/>
    <w:rsid w:val="00D04A0A"/>
    <w:rsid w:val="00D22D0B"/>
    <w:rsid w:val="00D24B8E"/>
    <w:rsid w:val="00D26FB1"/>
    <w:rsid w:val="00D270CC"/>
    <w:rsid w:val="00D37D49"/>
    <w:rsid w:val="00D41068"/>
    <w:rsid w:val="00D43526"/>
    <w:rsid w:val="00D440AB"/>
    <w:rsid w:val="00D45773"/>
    <w:rsid w:val="00D458D3"/>
    <w:rsid w:val="00D465E1"/>
    <w:rsid w:val="00D51421"/>
    <w:rsid w:val="00D629B4"/>
    <w:rsid w:val="00D65DE0"/>
    <w:rsid w:val="00D6756F"/>
    <w:rsid w:val="00D71B37"/>
    <w:rsid w:val="00D7264F"/>
    <w:rsid w:val="00D73D5E"/>
    <w:rsid w:val="00D80D73"/>
    <w:rsid w:val="00D836B2"/>
    <w:rsid w:val="00D83DB4"/>
    <w:rsid w:val="00D85D32"/>
    <w:rsid w:val="00D90A1E"/>
    <w:rsid w:val="00D951E9"/>
    <w:rsid w:val="00DA328F"/>
    <w:rsid w:val="00DA7259"/>
    <w:rsid w:val="00DB0232"/>
    <w:rsid w:val="00DB6771"/>
    <w:rsid w:val="00DC0256"/>
    <w:rsid w:val="00DD4716"/>
    <w:rsid w:val="00DD6B61"/>
    <w:rsid w:val="00DD6C62"/>
    <w:rsid w:val="00DF0FED"/>
    <w:rsid w:val="00DF6215"/>
    <w:rsid w:val="00E05CFD"/>
    <w:rsid w:val="00E0735A"/>
    <w:rsid w:val="00E0744F"/>
    <w:rsid w:val="00E10AF3"/>
    <w:rsid w:val="00E1258D"/>
    <w:rsid w:val="00E130FE"/>
    <w:rsid w:val="00E1475F"/>
    <w:rsid w:val="00E153E9"/>
    <w:rsid w:val="00E20D2E"/>
    <w:rsid w:val="00E230D1"/>
    <w:rsid w:val="00E24DCC"/>
    <w:rsid w:val="00E26A40"/>
    <w:rsid w:val="00E3719A"/>
    <w:rsid w:val="00E406AD"/>
    <w:rsid w:val="00E41D0C"/>
    <w:rsid w:val="00E435AD"/>
    <w:rsid w:val="00E46AD8"/>
    <w:rsid w:val="00E54BB6"/>
    <w:rsid w:val="00E56819"/>
    <w:rsid w:val="00E67509"/>
    <w:rsid w:val="00E67827"/>
    <w:rsid w:val="00E67DE0"/>
    <w:rsid w:val="00E84516"/>
    <w:rsid w:val="00E928AB"/>
    <w:rsid w:val="00E9532D"/>
    <w:rsid w:val="00E9744F"/>
    <w:rsid w:val="00EA01BC"/>
    <w:rsid w:val="00EA10CC"/>
    <w:rsid w:val="00EA13E7"/>
    <w:rsid w:val="00EA2AC4"/>
    <w:rsid w:val="00EB2FC4"/>
    <w:rsid w:val="00EB430E"/>
    <w:rsid w:val="00EC388C"/>
    <w:rsid w:val="00EC465B"/>
    <w:rsid w:val="00EC4DFD"/>
    <w:rsid w:val="00ED2B21"/>
    <w:rsid w:val="00ED38B4"/>
    <w:rsid w:val="00ED66B8"/>
    <w:rsid w:val="00EE100E"/>
    <w:rsid w:val="00EE206D"/>
    <w:rsid w:val="00EE2C06"/>
    <w:rsid w:val="00EE339A"/>
    <w:rsid w:val="00EE3708"/>
    <w:rsid w:val="00EE4E23"/>
    <w:rsid w:val="00EF4C80"/>
    <w:rsid w:val="00EF6072"/>
    <w:rsid w:val="00F07D62"/>
    <w:rsid w:val="00F14CE4"/>
    <w:rsid w:val="00F21A76"/>
    <w:rsid w:val="00F24C34"/>
    <w:rsid w:val="00F3069C"/>
    <w:rsid w:val="00F30B6F"/>
    <w:rsid w:val="00F35AEB"/>
    <w:rsid w:val="00F44CB4"/>
    <w:rsid w:val="00F50D7F"/>
    <w:rsid w:val="00F56321"/>
    <w:rsid w:val="00F65474"/>
    <w:rsid w:val="00F66D6E"/>
    <w:rsid w:val="00F67201"/>
    <w:rsid w:val="00F72C4A"/>
    <w:rsid w:val="00F73FCA"/>
    <w:rsid w:val="00F74B23"/>
    <w:rsid w:val="00F76053"/>
    <w:rsid w:val="00F80AA8"/>
    <w:rsid w:val="00F87640"/>
    <w:rsid w:val="00F9654A"/>
    <w:rsid w:val="00FA3100"/>
    <w:rsid w:val="00FB1513"/>
    <w:rsid w:val="00FB42B9"/>
    <w:rsid w:val="00FB4469"/>
    <w:rsid w:val="00FB54E8"/>
    <w:rsid w:val="00FC0A2B"/>
    <w:rsid w:val="00FC1167"/>
    <w:rsid w:val="00FC33E5"/>
    <w:rsid w:val="00FC6AC5"/>
    <w:rsid w:val="00FD0E06"/>
    <w:rsid w:val="00FD4513"/>
    <w:rsid w:val="00FD4A35"/>
    <w:rsid w:val="00FD4D1F"/>
    <w:rsid w:val="00FE5BD2"/>
    <w:rsid w:val="00FE6473"/>
    <w:rsid w:val="00FF1CCB"/>
    <w:rsid w:val="00FF49CD"/>
    <w:rsid w:val="015A0376"/>
    <w:rsid w:val="01AA4CF6"/>
    <w:rsid w:val="021F59FA"/>
    <w:rsid w:val="02551AC2"/>
    <w:rsid w:val="02B64923"/>
    <w:rsid w:val="03026A55"/>
    <w:rsid w:val="0333345C"/>
    <w:rsid w:val="033A5A90"/>
    <w:rsid w:val="034E2FD1"/>
    <w:rsid w:val="03BD390D"/>
    <w:rsid w:val="03D7581E"/>
    <w:rsid w:val="04BD1B14"/>
    <w:rsid w:val="05151F76"/>
    <w:rsid w:val="057B3913"/>
    <w:rsid w:val="05D35C95"/>
    <w:rsid w:val="06113CB0"/>
    <w:rsid w:val="0613385C"/>
    <w:rsid w:val="067C03B3"/>
    <w:rsid w:val="06BB116A"/>
    <w:rsid w:val="06BF0C88"/>
    <w:rsid w:val="06C62F02"/>
    <w:rsid w:val="0799647F"/>
    <w:rsid w:val="07C66EBA"/>
    <w:rsid w:val="07DC28C4"/>
    <w:rsid w:val="080E5FE7"/>
    <w:rsid w:val="083F547E"/>
    <w:rsid w:val="08477B74"/>
    <w:rsid w:val="08A70FC7"/>
    <w:rsid w:val="091268D2"/>
    <w:rsid w:val="09572272"/>
    <w:rsid w:val="09D82ACA"/>
    <w:rsid w:val="0BAA5DA0"/>
    <w:rsid w:val="0BE51BEF"/>
    <w:rsid w:val="0D5C11EF"/>
    <w:rsid w:val="0D8B27AF"/>
    <w:rsid w:val="0DB66863"/>
    <w:rsid w:val="0DD93B1F"/>
    <w:rsid w:val="0DE1042A"/>
    <w:rsid w:val="0E0908A4"/>
    <w:rsid w:val="0E8C2EDA"/>
    <w:rsid w:val="0EC7585E"/>
    <w:rsid w:val="0F874BF7"/>
    <w:rsid w:val="0FFC0436"/>
    <w:rsid w:val="101E361A"/>
    <w:rsid w:val="104325BB"/>
    <w:rsid w:val="108C6F6A"/>
    <w:rsid w:val="10C60030"/>
    <w:rsid w:val="114A6594"/>
    <w:rsid w:val="119E382F"/>
    <w:rsid w:val="11F95EA1"/>
    <w:rsid w:val="12422527"/>
    <w:rsid w:val="127C300E"/>
    <w:rsid w:val="133A2B6A"/>
    <w:rsid w:val="134E34D6"/>
    <w:rsid w:val="13786781"/>
    <w:rsid w:val="14713D0E"/>
    <w:rsid w:val="147D42D6"/>
    <w:rsid w:val="149C3C30"/>
    <w:rsid w:val="14E75976"/>
    <w:rsid w:val="15127975"/>
    <w:rsid w:val="151B07A6"/>
    <w:rsid w:val="155604DD"/>
    <w:rsid w:val="15D6076F"/>
    <w:rsid w:val="164B51D1"/>
    <w:rsid w:val="16667303"/>
    <w:rsid w:val="16AE3967"/>
    <w:rsid w:val="17E2237B"/>
    <w:rsid w:val="180214A0"/>
    <w:rsid w:val="18CE37A9"/>
    <w:rsid w:val="192302EC"/>
    <w:rsid w:val="19F278A2"/>
    <w:rsid w:val="1A216E7A"/>
    <w:rsid w:val="1A317D12"/>
    <w:rsid w:val="1AF07A25"/>
    <w:rsid w:val="1AF23138"/>
    <w:rsid w:val="1B001596"/>
    <w:rsid w:val="1C64757C"/>
    <w:rsid w:val="1D1327C1"/>
    <w:rsid w:val="1DAB48F2"/>
    <w:rsid w:val="1DD80D03"/>
    <w:rsid w:val="1E110F21"/>
    <w:rsid w:val="1E4C1AE7"/>
    <w:rsid w:val="1E7B0638"/>
    <w:rsid w:val="1FCB1E28"/>
    <w:rsid w:val="20230F6D"/>
    <w:rsid w:val="20754390"/>
    <w:rsid w:val="208B7597"/>
    <w:rsid w:val="20E573DD"/>
    <w:rsid w:val="20FE69A1"/>
    <w:rsid w:val="21370B35"/>
    <w:rsid w:val="214F3036"/>
    <w:rsid w:val="216D63F8"/>
    <w:rsid w:val="22943C8B"/>
    <w:rsid w:val="22CA2854"/>
    <w:rsid w:val="23B618DF"/>
    <w:rsid w:val="23C12716"/>
    <w:rsid w:val="24057C45"/>
    <w:rsid w:val="24145799"/>
    <w:rsid w:val="24BC0A7F"/>
    <w:rsid w:val="25695674"/>
    <w:rsid w:val="262F74B8"/>
    <w:rsid w:val="26375455"/>
    <w:rsid w:val="264834DB"/>
    <w:rsid w:val="265625E0"/>
    <w:rsid w:val="268A0491"/>
    <w:rsid w:val="269760F4"/>
    <w:rsid w:val="27094CA2"/>
    <w:rsid w:val="27120FF3"/>
    <w:rsid w:val="271C1FB5"/>
    <w:rsid w:val="271F6B87"/>
    <w:rsid w:val="27527420"/>
    <w:rsid w:val="27D07AA2"/>
    <w:rsid w:val="28795DA7"/>
    <w:rsid w:val="29706FA2"/>
    <w:rsid w:val="297F5EFD"/>
    <w:rsid w:val="29C42AC7"/>
    <w:rsid w:val="29FA09EA"/>
    <w:rsid w:val="2A173BF6"/>
    <w:rsid w:val="2A3658EB"/>
    <w:rsid w:val="2A7E61B2"/>
    <w:rsid w:val="2B8A00F2"/>
    <w:rsid w:val="2B8C29D0"/>
    <w:rsid w:val="2CBB18F7"/>
    <w:rsid w:val="2CD07544"/>
    <w:rsid w:val="2D3D22E5"/>
    <w:rsid w:val="2E1333C6"/>
    <w:rsid w:val="2E5D24B4"/>
    <w:rsid w:val="2E642546"/>
    <w:rsid w:val="2E702B00"/>
    <w:rsid w:val="2E910C46"/>
    <w:rsid w:val="2EDF0F5D"/>
    <w:rsid w:val="2F6B5D04"/>
    <w:rsid w:val="2F8C268B"/>
    <w:rsid w:val="2FE92F12"/>
    <w:rsid w:val="302B127B"/>
    <w:rsid w:val="304E099E"/>
    <w:rsid w:val="308D6B7F"/>
    <w:rsid w:val="30A02DF9"/>
    <w:rsid w:val="311554AF"/>
    <w:rsid w:val="31C04FEF"/>
    <w:rsid w:val="326F193C"/>
    <w:rsid w:val="3294652F"/>
    <w:rsid w:val="3369159F"/>
    <w:rsid w:val="338C2575"/>
    <w:rsid w:val="33AA52CB"/>
    <w:rsid w:val="33BA04B6"/>
    <w:rsid w:val="33C21B11"/>
    <w:rsid w:val="33FA00A0"/>
    <w:rsid w:val="34B800A1"/>
    <w:rsid w:val="35BA3391"/>
    <w:rsid w:val="360A2570"/>
    <w:rsid w:val="3633308B"/>
    <w:rsid w:val="36AA3345"/>
    <w:rsid w:val="36B2697C"/>
    <w:rsid w:val="36C50003"/>
    <w:rsid w:val="36ED0048"/>
    <w:rsid w:val="3715740A"/>
    <w:rsid w:val="37813CE1"/>
    <w:rsid w:val="37C00011"/>
    <w:rsid w:val="37CD4314"/>
    <w:rsid w:val="37D42EB4"/>
    <w:rsid w:val="388468B9"/>
    <w:rsid w:val="389845C4"/>
    <w:rsid w:val="38D72328"/>
    <w:rsid w:val="3904265B"/>
    <w:rsid w:val="3948754F"/>
    <w:rsid w:val="39653FE8"/>
    <w:rsid w:val="39A30079"/>
    <w:rsid w:val="39C91242"/>
    <w:rsid w:val="3AFF12CA"/>
    <w:rsid w:val="3B17790E"/>
    <w:rsid w:val="3BF27D8E"/>
    <w:rsid w:val="3BFE13FA"/>
    <w:rsid w:val="3C2E5791"/>
    <w:rsid w:val="3C9F2351"/>
    <w:rsid w:val="3CE024D8"/>
    <w:rsid w:val="3CFA5C50"/>
    <w:rsid w:val="3D5E2DF1"/>
    <w:rsid w:val="3DE85E9C"/>
    <w:rsid w:val="3E1A5306"/>
    <w:rsid w:val="3ED12B6E"/>
    <w:rsid w:val="3F2610E7"/>
    <w:rsid w:val="3F3188E5"/>
    <w:rsid w:val="3FD26CD3"/>
    <w:rsid w:val="4004259C"/>
    <w:rsid w:val="403F1053"/>
    <w:rsid w:val="40461E2B"/>
    <w:rsid w:val="4048714F"/>
    <w:rsid w:val="405D597D"/>
    <w:rsid w:val="406867FC"/>
    <w:rsid w:val="407C4E4B"/>
    <w:rsid w:val="408B3189"/>
    <w:rsid w:val="40BB708C"/>
    <w:rsid w:val="419213D2"/>
    <w:rsid w:val="41E601C4"/>
    <w:rsid w:val="41FB1DC8"/>
    <w:rsid w:val="421E1CB5"/>
    <w:rsid w:val="423477D6"/>
    <w:rsid w:val="42C91BA7"/>
    <w:rsid w:val="431762B8"/>
    <w:rsid w:val="43377D46"/>
    <w:rsid w:val="43980956"/>
    <w:rsid w:val="439F30B0"/>
    <w:rsid w:val="43BD0C0D"/>
    <w:rsid w:val="43CF6E1F"/>
    <w:rsid w:val="44906321"/>
    <w:rsid w:val="44B2664C"/>
    <w:rsid w:val="45363E83"/>
    <w:rsid w:val="456762C9"/>
    <w:rsid w:val="45973DBD"/>
    <w:rsid w:val="45976605"/>
    <w:rsid w:val="45A36E6F"/>
    <w:rsid w:val="462927CC"/>
    <w:rsid w:val="46310FCF"/>
    <w:rsid w:val="464473C4"/>
    <w:rsid w:val="4646138E"/>
    <w:rsid w:val="466F6005"/>
    <w:rsid w:val="46A27683"/>
    <w:rsid w:val="47513C32"/>
    <w:rsid w:val="47B9262B"/>
    <w:rsid w:val="48906086"/>
    <w:rsid w:val="48A6482D"/>
    <w:rsid w:val="49CA3BC4"/>
    <w:rsid w:val="4A04300D"/>
    <w:rsid w:val="4AB85DED"/>
    <w:rsid w:val="4AD712CB"/>
    <w:rsid w:val="4AFA4B39"/>
    <w:rsid w:val="4B0E67B2"/>
    <w:rsid w:val="4B257495"/>
    <w:rsid w:val="4BD5230C"/>
    <w:rsid w:val="4BFB18AC"/>
    <w:rsid w:val="4C45351A"/>
    <w:rsid w:val="4C4771B3"/>
    <w:rsid w:val="4C5D5ECA"/>
    <w:rsid w:val="4C6F2CC0"/>
    <w:rsid w:val="4CD111F9"/>
    <w:rsid w:val="4D2A69CE"/>
    <w:rsid w:val="4D562446"/>
    <w:rsid w:val="4DAB5948"/>
    <w:rsid w:val="4DCB3CF4"/>
    <w:rsid w:val="4DCE5621"/>
    <w:rsid w:val="4DF30905"/>
    <w:rsid w:val="4E3153AC"/>
    <w:rsid w:val="4E5034B8"/>
    <w:rsid w:val="4E6D1482"/>
    <w:rsid w:val="4E7A3E9F"/>
    <w:rsid w:val="4E7E7902"/>
    <w:rsid w:val="4F66483E"/>
    <w:rsid w:val="4FDD6193"/>
    <w:rsid w:val="5138200B"/>
    <w:rsid w:val="51826FC0"/>
    <w:rsid w:val="51C616B7"/>
    <w:rsid w:val="5243733E"/>
    <w:rsid w:val="52970A52"/>
    <w:rsid w:val="55004DFD"/>
    <w:rsid w:val="55084E70"/>
    <w:rsid w:val="55205D9C"/>
    <w:rsid w:val="55241AA3"/>
    <w:rsid w:val="55CD1818"/>
    <w:rsid w:val="55E12697"/>
    <w:rsid w:val="56143D1E"/>
    <w:rsid w:val="568051AB"/>
    <w:rsid w:val="56F05266"/>
    <w:rsid w:val="582F14A6"/>
    <w:rsid w:val="58533509"/>
    <w:rsid w:val="58557D35"/>
    <w:rsid w:val="585D7471"/>
    <w:rsid w:val="597306EB"/>
    <w:rsid w:val="5B0911A2"/>
    <w:rsid w:val="5B6D2E22"/>
    <w:rsid w:val="5BCD3846"/>
    <w:rsid w:val="5BF8682E"/>
    <w:rsid w:val="5BFE230C"/>
    <w:rsid w:val="5C205CD8"/>
    <w:rsid w:val="5C473F3F"/>
    <w:rsid w:val="5CED3917"/>
    <w:rsid w:val="5CF16F39"/>
    <w:rsid w:val="5D323134"/>
    <w:rsid w:val="5E2F22B0"/>
    <w:rsid w:val="5E342DB8"/>
    <w:rsid w:val="5E76762E"/>
    <w:rsid w:val="5EA902B4"/>
    <w:rsid w:val="5EEB4428"/>
    <w:rsid w:val="5FC7848C"/>
    <w:rsid w:val="6071159A"/>
    <w:rsid w:val="60D67FFC"/>
    <w:rsid w:val="6121660E"/>
    <w:rsid w:val="61AA48E1"/>
    <w:rsid w:val="61FE2B2F"/>
    <w:rsid w:val="626E5B42"/>
    <w:rsid w:val="62BC50FE"/>
    <w:rsid w:val="62BE57EC"/>
    <w:rsid w:val="62BF638B"/>
    <w:rsid w:val="62ED7B55"/>
    <w:rsid w:val="63BD210C"/>
    <w:rsid w:val="63F7225D"/>
    <w:rsid w:val="65257F68"/>
    <w:rsid w:val="652D30E7"/>
    <w:rsid w:val="6535250C"/>
    <w:rsid w:val="65C119D4"/>
    <w:rsid w:val="6678592C"/>
    <w:rsid w:val="66E67E3C"/>
    <w:rsid w:val="66EC0E41"/>
    <w:rsid w:val="67062EA5"/>
    <w:rsid w:val="673B3590"/>
    <w:rsid w:val="67895D06"/>
    <w:rsid w:val="679E5B44"/>
    <w:rsid w:val="68570199"/>
    <w:rsid w:val="687A309F"/>
    <w:rsid w:val="68B845A0"/>
    <w:rsid w:val="699A5FDE"/>
    <w:rsid w:val="6A5305BA"/>
    <w:rsid w:val="6A6D0887"/>
    <w:rsid w:val="6AAB7C6E"/>
    <w:rsid w:val="6B376354"/>
    <w:rsid w:val="6C1F48BA"/>
    <w:rsid w:val="6C5C2C53"/>
    <w:rsid w:val="6C6E4164"/>
    <w:rsid w:val="6DE103EF"/>
    <w:rsid w:val="6DE949F3"/>
    <w:rsid w:val="6DF10966"/>
    <w:rsid w:val="6E6E0BD2"/>
    <w:rsid w:val="6EBB1A40"/>
    <w:rsid w:val="6F586194"/>
    <w:rsid w:val="6F813D9F"/>
    <w:rsid w:val="700F3CEF"/>
    <w:rsid w:val="706037E8"/>
    <w:rsid w:val="70655ED1"/>
    <w:rsid w:val="70767DE2"/>
    <w:rsid w:val="707F181E"/>
    <w:rsid w:val="708B47E3"/>
    <w:rsid w:val="70DB11EE"/>
    <w:rsid w:val="70E03FF6"/>
    <w:rsid w:val="70F536CF"/>
    <w:rsid w:val="71BE30E3"/>
    <w:rsid w:val="72303324"/>
    <w:rsid w:val="72707D11"/>
    <w:rsid w:val="727F0FA3"/>
    <w:rsid w:val="72AE5A41"/>
    <w:rsid w:val="72CB03A1"/>
    <w:rsid w:val="72D96CB3"/>
    <w:rsid w:val="72E27942"/>
    <w:rsid w:val="72F83C7E"/>
    <w:rsid w:val="73045661"/>
    <w:rsid w:val="73307D3B"/>
    <w:rsid w:val="734343DB"/>
    <w:rsid w:val="73E00E83"/>
    <w:rsid w:val="73E75BA6"/>
    <w:rsid w:val="749E52B8"/>
    <w:rsid w:val="74A534CF"/>
    <w:rsid w:val="750E0EA6"/>
    <w:rsid w:val="754817E7"/>
    <w:rsid w:val="75EC5B90"/>
    <w:rsid w:val="76016E1E"/>
    <w:rsid w:val="76031F44"/>
    <w:rsid w:val="763025FA"/>
    <w:rsid w:val="77031C97"/>
    <w:rsid w:val="77A46DFD"/>
    <w:rsid w:val="782F2920"/>
    <w:rsid w:val="78E57983"/>
    <w:rsid w:val="78F9553C"/>
    <w:rsid w:val="79B40937"/>
    <w:rsid w:val="79CD3CB0"/>
    <w:rsid w:val="7A777FB1"/>
    <w:rsid w:val="7B7D733F"/>
    <w:rsid w:val="7BAE53C5"/>
    <w:rsid w:val="7C1B7AF2"/>
    <w:rsid w:val="7C6D5212"/>
    <w:rsid w:val="7D1A0B18"/>
    <w:rsid w:val="7D3C416E"/>
    <w:rsid w:val="7D982262"/>
    <w:rsid w:val="7D9B3079"/>
    <w:rsid w:val="7DF52450"/>
    <w:rsid w:val="7DF52776"/>
    <w:rsid w:val="7E955D07"/>
    <w:rsid w:val="7EB10D93"/>
    <w:rsid w:val="7EDD4B0F"/>
    <w:rsid w:val="7F542BF2"/>
    <w:rsid w:val="7FF52619"/>
    <w:rsid w:val="B67FDC42"/>
    <w:rsid w:val="BA7B23C6"/>
    <w:rsid w:val="BBFDB761"/>
    <w:rsid w:val="C6CA2839"/>
    <w:rsid w:val="DDF3DDAE"/>
    <w:rsid w:val="DFFDD3AB"/>
    <w:rsid w:val="EF8D30CD"/>
    <w:rsid w:val="EFE7A8B1"/>
    <w:rsid w:val="FAB7DDF1"/>
    <w:rsid w:val="FBFF10E8"/>
    <w:rsid w:val="FC3FD332"/>
    <w:rsid w:val="FCEF15C2"/>
    <w:rsid w:val="FFEAD8F8"/>
    <w:rsid w:val="FFEF1697"/>
    <w:rsid w:val="FFFB6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0"/>
    <w:autoRedefine/>
    <w:qFormat/>
    <w:uiPriority w:val="0"/>
    <w:pPr>
      <w:keepNext/>
      <w:widowControl/>
      <w:tabs>
        <w:tab w:val="left" w:pos="432"/>
      </w:tabs>
      <w:ind w:left="432" w:hanging="432"/>
      <w:jc w:val="center"/>
      <w:outlineLvl w:val="0"/>
    </w:pPr>
    <w:rPr>
      <w:rFonts w:ascii="黑体" w:hAnsi="Times New Roman" w:cs="宋体"/>
      <w:b/>
      <w:kern w:val="0"/>
      <w:sz w:val="28"/>
      <w:szCs w:val="20"/>
      <w:lang w:val="zh-CN"/>
    </w:rPr>
  </w:style>
  <w:style w:type="paragraph" w:styleId="4">
    <w:name w:val="heading 2"/>
    <w:basedOn w:val="1"/>
    <w:next w:val="5"/>
    <w:link w:val="71"/>
    <w:autoRedefine/>
    <w:qFormat/>
    <w:uiPriority w:val="0"/>
    <w:pPr>
      <w:keepNext/>
      <w:keepLines/>
      <w:widowControl/>
      <w:spacing w:before="260" w:after="260" w:line="412" w:lineRule="auto"/>
      <w:outlineLvl w:val="1"/>
    </w:pPr>
    <w:rPr>
      <w:rFonts w:ascii="Arial" w:hAnsi="Arial"/>
      <w:kern w:val="0"/>
      <w:sz w:val="28"/>
      <w:szCs w:val="20"/>
      <w:lang w:val="zh-CN"/>
    </w:rPr>
  </w:style>
  <w:style w:type="paragraph" w:styleId="6">
    <w:name w:val="heading 3"/>
    <w:basedOn w:val="2"/>
    <w:next w:val="1"/>
    <w:link w:val="72"/>
    <w:autoRedefine/>
    <w:qFormat/>
    <w:uiPriority w:val="0"/>
    <w:pPr>
      <w:keepNext/>
      <w:keepLines/>
      <w:widowControl/>
      <w:numPr>
        <w:ilvl w:val="2"/>
        <w:numId w:val="1"/>
      </w:numPr>
      <w:tabs>
        <w:tab w:val="left" w:pos="432"/>
        <w:tab w:val="left" w:pos="567"/>
      </w:tabs>
      <w:spacing w:before="120" w:after="120"/>
      <w:jc w:val="left"/>
      <w:outlineLvl w:val="2"/>
      <w:pPrChange w:id="0" w:author="admin" w:date="2024-11-29T22:55:00Z">
        <w:pPr>
          <w:keepNext/>
          <w:keepLines/>
          <w:numPr>
            <w:ilvl w:val="2"/>
            <w:numId w:val="1"/>
          </w:numPr>
          <w:spacing w:before="120" w:after="120" w:line="360" w:lineRule="auto"/>
          <w:ind w:left="720" w:hanging="720"/>
          <w:jc w:val="center"/>
          <w:outlineLvl w:val="2"/>
        </w:pPr>
      </w:pPrChange>
    </w:pPr>
    <w:rPr>
      <w:b/>
      <w:kern w:val="0"/>
      <w:sz w:val="32"/>
      <w:lang w:val="zh-CN"/>
      <w:rPrChange w:id="1" w:author="admin" w:date="2024-11-29T22:55:00Z">
        <w:rPr>
          <w:b/>
          <w:sz w:val="32"/>
          <w:lang w:val="zh-CN" w:eastAsia="zh-CN" w:bidi="ar-SA"/>
        </w:rPr>
      </w:rPrChange>
    </w:rPr>
  </w:style>
  <w:style w:type="paragraph" w:styleId="7">
    <w:name w:val="heading 4"/>
    <w:basedOn w:val="1"/>
    <w:next w:val="1"/>
    <w:link w:val="73"/>
    <w:autoRedefine/>
    <w:qFormat/>
    <w:uiPriority w:val="0"/>
    <w:pPr>
      <w:keepNext/>
      <w:keepLines/>
      <w:spacing w:line="360" w:lineRule="auto"/>
      <w:outlineLvl w:val="3"/>
    </w:pPr>
    <w:rPr>
      <w:rFonts w:asciiTheme="majorEastAsia" w:hAnsiTheme="majorEastAsia" w:eastAsiaTheme="majorEastAsia"/>
      <w:b/>
      <w:bCs/>
      <w:sz w:val="24"/>
      <w:szCs w:val="24"/>
    </w:rPr>
  </w:style>
  <w:style w:type="paragraph" w:styleId="8">
    <w:name w:val="heading 5"/>
    <w:basedOn w:val="1"/>
    <w:next w:val="1"/>
    <w:link w:val="74"/>
    <w:autoRedefine/>
    <w:qFormat/>
    <w:uiPriority w:val="0"/>
    <w:pPr>
      <w:keepNext/>
      <w:keepLines/>
      <w:spacing w:before="280" w:after="290" w:line="374" w:lineRule="auto"/>
      <w:outlineLvl w:val="4"/>
    </w:pPr>
    <w:rPr>
      <w:rFonts w:cs="宋体"/>
      <w:b/>
      <w:bCs/>
      <w:sz w:val="28"/>
      <w:szCs w:val="28"/>
    </w:rPr>
  </w:style>
  <w:style w:type="paragraph" w:styleId="9">
    <w:name w:val="heading 6"/>
    <w:basedOn w:val="1"/>
    <w:next w:val="1"/>
    <w:link w:val="75"/>
    <w:autoRedefine/>
    <w:qFormat/>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szCs w:val="24"/>
      <w:lang w:val="zh-CN"/>
    </w:rPr>
  </w:style>
  <w:style w:type="paragraph" w:styleId="10">
    <w:name w:val="heading 7"/>
    <w:basedOn w:val="1"/>
    <w:next w:val="1"/>
    <w:link w:val="76"/>
    <w:autoRedefine/>
    <w:qFormat/>
    <w:uiPriority w:val="0"/>
    <w:pPr>
      <w:keepNext/>
      <w:keepLines/>
      <w:widowControl/>
      <w:tabs>
        <w:tab w:val="left" w:pos="2520"/>
      </w:tabs>
      <w:spacing w:before="240" w:after="64" w:line="316" w:lineRule="auto"/>
      <w:ind w:left="1296" w:hanging="1296"/>
      <w:jc w:val="left"/>
      <w:outlineLvl w:val="6"/>
    </w:pPr>
    <w:rPr>
      <w:rFonts w:ascii="Times New Roman" w:hAnsi="Times New Roman"/>
      <w:b/>
      <w:bCs/>
      <w:kern w:val="0"/>
      <w:sz w:val="24"/>
      <w:szCs w:val="24"/>
      <w:lang w:val="zh-CN"/>
    </w:rPr>
  </w:style>
  <w:style w:type="paragraph" w:styleId="11">
    <w:name w:val="heading 8"/>
    <w:basedOn w:val="1"/>
    <w:next w:val="1"/>
    <w:link w:val="77"/>
    <w:autoRedefine/>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lang w:val="zh-CN"/>
    </w:rPr>
  </w:style>
  <w:style w:type="paragraph" w:styleId="12">
    <w:name w:val="heading 9"/>
    <w:basedOn w:val="1"/>
    <w:next w:val="1"/>
    <w:link w:val="78"/>
    <w:autoRedefine/>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lang w:val="zh-CN"/>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89"/>
    <w:autoRedefine/>
    <w:qFormat/>
    <w:uiPriority w:val="0"/>
    <w:pPr>
      <w:tabs>
        <w:tab w:val="left" w:pos="567"/>
      </w:tabs>
      <w:spacing w:line="360" w:lineRule="auto"/>
      <w:ind w:firstLine="235" w:firstLineChars="98"/>
      <w:pPrChange w:id="2" w:author="柳丽" w:date="2025-01-07T16:46:00Z">
        <w:pPr>
          <w:widowControl w:val="0"/>
          <w:spacing w:line="0" w:lineRule="atLeast"/>
          <w:jc w:val="both"/>
        </w:pPr>
      </w:pPrChange>
    </w:pPr>
    <w:rPr>
      <w:rFonts w:ascii="宋体" w:hAnsi="宋体" w:cs="宋体"/>
      <w:bCs/>
      <w:sz w:val="24"/>
      <w:szCs w:val="24"/>
      <w:rPrChange w:id="3" w:author="柳丽" w:date="2025-01-07T16:46:00Z">
        <w:rPr>
          <w:kern w:val="2"/>
          <w:sz w:val="30"/>
          <w:lang w:val="en-US" w:eastAsia="zh-CN" w:bidi="ar-SA"/>
        </w:rPr>
      </w:rPrChange>
    </w:rPr>
  </w:style>
  <w:style w:type="paragraph" w:styleId="5">
    <w:name w:val="Normal Indent"/>
    <w:basedOn w:val="1"/>
    <w:link w:val="69"/>
    <w:autoRedefine/>
    <w:qFormat/>
    <w:uiPriority w:val="0"/>
    <w:pPr>
      <w:widowControl/>
      <w:ind w:firstLine="420"/>
      <w:jc w:val="left"/>
    </w:pPr>
    <w:rPr>
      <w:rFonts w:ascii="Times New Roman" w:hAnsi="Times New Roman"/>
      <w:kern w:val="0"/>
      <w:sz w:val="20"/>
      <w:szCs w:val="20"/>
    </w:rPr>
  </w:style>
  <w:style w:type="paragraph" w:styleId="13">
    <w:name w:val="toc 7"/>
    <w:basedOn w:val="1"/>
    <w:next w:val="1"/>
    <w:autoRedefine/>
    <w:qFormat/>
    <w:uiPriority w:val="0"/>
    <w:pPr>
      <w:ind w:left="2520" w:leftChars="1200"/>
    </w:pPr>
    <w:rPr>
      <w:rFonts w:ascii="Times New Roman" w:hAnsi="Times New Roman"/>
      <w:szCs w:val="24"/>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81"/>
    <w:autoRedefine/>
    <w:qFormat/>
    <w:uiPriority w:val="99"/>
    <w:pPr>
      <w:shd w:val="clear" w:color="auto" w:fill="000080"/>
    </w:pPr>
    <w:rPr>
      <w:rFonts w:ascii="Times New Roman" w:hAnsi="Times New Roman" w:eastAsia="Times New Roman"/>
      <w:szCs w:val="24"/>
    </w:rPr>
  </w:style>
  <w:style w:type="paragraph" w:styleId="16">
    <w:name w:val="annotation text"/>
    <w:basedOn w:val="1"/>
    <w:link w:val="84"/>
    <w:autoRedefine/>
    <w:qFormat/>
    <w:uiPriority w:val="99"/>
    <w:pPr>
      <w:jc w:val="left"/>
    </w:pPr>
    <w:rPr>
      <w:rFonts w:ascii="Times New Roman" w:hAnsi="Times New Roman"/>
      <w:szCs w:val="24"/>
    </w:rPr>
  </w:style>
  <w:style w:type="paragraph" w:styleId="17">
    <w:name w:val="Body Text 3"/>
    <w:basedOn w:val="1"/>
    <w:next w:val="1"/>
    <w:link w:val="87"/>
    <w:autoRedefine/>
    <w:qFormat/>
    <w:uiPriority w:val="0"/>
    <w:pPr>
      <w:spacing w:after="120"/>
    </w:pPr>
    <w:rPr>
      <w:rFonts w:ascii="Times New Roman" w:hAnsi="Times New Roman" w:eastAsia="Times New Roman"/>
      <w:sz w:val="16"/>
      <w:szCs w:val="16"/>
    </w:rPr>
  </w:style>
  <w:style w:type="paragraph" w:styleId="18">
    <w:name w:val="Body Text Indent"/>
    <w:basedOn w:val="1"/>
    <w:next w:val="19"/>
    <w:link w:val="92"/>
    <w:autoRedefine/>
    <w:qFormat/>
    <w:uiPriority w:val="0"/>
    <w:pPr>
      <w:widowControl/>
      <w:overflowPunct w:val="0"/>
      <w:autoSpaceDE w:val="0"/>
      <w:autoSpaceDN w:val="0"/>
      <w:adjustRightInd w:val="0"/>
      <w:spacing w:line="360" w:lineRule="auto"/>
      <w:ind w:firstLine="540"/>
    </w:pPr>
    <w:rPr>
      <w:rFonts w:ascii="宋体" w:hAnsi="MS Sans Serif" w:eastAsia="Times New Roman"/>
      <w:spacing w:val="12"/>
      <w:kern w:val="0"/>
      <w:sz w:val="24"/>
      <w:szCs w:val="20"/>
    </w:rPr>
  </w:style>
  <w:style w:type="paragraph" w:customStyle="1" w:styleId="19">
    <w:name w:val="样式 正文文本缩进 + 左  0 字符"/>
    <w:basedOn w:val="1"/>
    <w:next w:val="20"/>
    <w:autoRedefine/>
    <w:qFormat/>
    <w:uiPriority w:val="99"/>
    <w:pPr>
      <w:spacing w:line="360" w:lineRule="auto"/>
      <w:ind w:firstLine="250" w:firstLineChars="250"/>
    </w:pPr>
    <w:rPr>
      <w:rFonts w:cs="宋体"/>
      <w:kern w:val="0"/>
      <w:sz w:val="24"/>
      <w:szCs w:val="20"/>
    </w:rPr>
  </w:style>
  <w:style w:type="paragraph" w:styleId="20">
    <w:name w:val="Balloon Text"/>
    <w:basedOn w:val="1"/>
    <w:link w:val="102"/>
    <w:autoRedefine/>
    <w:qFormat/>
    <w:uiPriority w:val="99"/>
    <w:rPr>
      <w:rFonts w:ascii="Times New Roman" w:hAnsi="Times New Roman" w:eastAsia="Times New Roman"/>
      <w:sz w:val="18"/>
      <w:szCs w:val="18"/>
    </w:rPr>
  </w:style>
  <w:style w:type="paragraph" w:styleId="21">
    <w:name w:val="Block Text"/>
    <w:basedOn w:val="1"/>
    <w:autoRedefine/>
    <w:qFormat/>
    <w:uiPriority w:val="0"/>
    <w:pPr>
      <w:adjustRightInd w:val="0"/>
      <w:ind w:left="420" w:right="33"/>
      <w:jc w:val="left"/>
    </w:pPr>
    <w:rPr>
      <w:rFonts w:ascii="Times New Roman" w:hAnsi="Times New Roman"/>
      <w:kern w:val="0"/>
      <w:sz w:val="24"/>
      <w:szCs w:val="20"/>
    </w:rPr>
  </w:style>
  <w:style w:type="paragraph" w:styleId="22">
    <w:name w:val="index 4"/>
    <w:basedOn w:val="1"/>
    <w:next w:val="1"/>
    <w:autoRedefine/>
    <w:qFormat/>
    <w:uiPriority w:val="0"/>
    <w:pPr>
      <w:ind w:left="600" w:leftChars="600"/>
    </w:pPr>
    <w:rPr>
      <w:rFonts w:ascii="Times New Roman" w:hAnsi="Times New Roman"/>
      <w:szCs w:val="24"/>
    </w:rPr>
  </w:style>
  <w:style w:type="paragraph" w:styleId="23">
    <w:name w:val="toc 5"/>
    <w:basedOn w:val="1"/>
    <w:next w:val="1"/>
    <w:autoRedefine/>
    <w:qFormat/>
    <w:uiPriority w:val="0"/>
    <w:pPr>
      <w:ind w:left="1680" w:leftChars="800"/>
    </w:pPr>
    <w:rPr>
      <w:rFonts w:ascii="Times New Roman" w:hAnsi="Times New Roman"/>
      <w:szCs w:val="24"/>
    </w:rPr>
  </w:style>
  <w:style w:type="paragraph" w:styleId="24">
    <w:name w:val="toc 3"/>
    <w:basedOn w:val="1"/>
    <w:next w:val="1"/>
    <w:autoRedefine/>
    <w:qFormat/>
    <w:uiPriority w:val="39"/>
    <w:pPr>
      <w:ind w:left="840" w:leftChars="400"/>
    </w:pPr>
    <w:rPr>
      <w:rFonts w:ascii="Times New Roman" w:hAnsi="Times New Roman"/>
      <w:szCs w:val="24"/>
    </w:rPr>
  </w:style>
  <w:style w:type="paragraph" w:styleId="25">
    <w:name w:val="Plain Text"/>
    <w:basedOn w:val="1"/>
    <w:link w:val="95"/>
    <w:autoRedefine/>
    <w:qFormat/>
    <w:uiPriority w:val="0"/>
    <w:rPr>
      <w:rFonts w:ascii="宋体" w:hAnsi="Courier New" w:cs="Courier New"/>
      <w:szCs w:val="21"/>
    </w:rPr>
  </w:style>
  <w:style w:type="paragraph" w:styleId="26">
    <w:name w:val="toc 8"/>
    <w:basedOn w:val="1"/>
    <w:next w:val="1"/>
    <w:autoRedefine/>
    <w:qFormat/>
    <w:uiPriority w:val="0"/>
    <w:pPr>
      <w:ind w:left="2940" w:leftChars="1400"/>
    </w:pPr>
    <w:rPr>
      <w:rFonts w:ascii="Times New Roman" w:hAnsi="Times New Roman"/>
      <w:szCs w:val="24"/>
    </w:rPr>
  </w:style>
  <w:style w:type="paragraph" w:styleId="27">
    <w:name w:val="Date"/>
    <w:basedOn w:val="1"/>
    <w:next w:val="1"/>
    <w:link w:val="96"/>
    <w:autoRedefine/>
    <w:qFormat/>
    <w:uiPriority w:val="99"/>
    <w:rPr>
      <w:rFonts w:ascii="Times New Roman" w:hAnsi="Times New Roman"/>
      <w:sz w:val="24"/>
      <w:szCs w:val="20"/>
    </w:rPr>
  </w:style>
  <w:style w:type="paragraph" w:styleId="28">
    <w:name w:val="Body Text Indent 2"/>
    <w:basedOn w:val="1"/>
    <w:link w:val="99"/>
    <w:autoRedefine/>
    <w:qFormat/>
    <w:uiPriority w:val="0"/>
    <w:pPr>
      <w:widowControl/>
      <w:overflowPunct w:val="0"/>
      <w:autoSpaceDE w:val="0"/>
      <w:autoSpaceDN w:val="0"/>
      <w:adjustRightInd w:val="0"/>
      <w:spacing w:line="360" w:lineRule="auto"/>
      <w:ind w:firstLine="555"/>
    </w:pPr>
    <w:rPr>
      <w:rFonts w:ascii="宋体" w:hAnsi="MS Sans Serif" w:eastAsia="Times New Roman"/>
      <w:spacing w:val="12"/>
      <w:kern w:val="0"/>
      <w:sz w:val="24"/>
      <w:szCs w:val="20"/>
    </w:rPr>
  </w:style>
  <w:style w:type="paragraph" w:styleId="29">
    <w:name w:val="footer"/>
    <w:basedOn w:val="1"/>
    <w:link w:val="105"/>
    <w:autoRedefine/>
    <w:qFormat/>
    <w:uiPriority w:val="99"/>
    <w:pPr>
      <w:widowControl/>
      <w:tabs>
        <w:tab w:val="center" w:pos="4153"/>
        <w:tab w:val="right" w:pos="8306"/>
      </w:tabs>
      <w:snapToGrid w:val="0"/>
      <w:jc w:val="left"/>
    </w:pPr>
    <w:rPr>
      <w:rFonts w:ascii="Times New Roman" w:hAnsi="Times New Roman" w:eastAsia="Times New Roman"/>
      <w:kern w:val="0"/>
      <w:sz w:val="18"/>
      <w:szCs w:val="20"/>
    </w:rPr>
  </w:style>
  <w:style w:type="paragraph" w:styleId="30">
    <w:name w:val="envelope return"/>
    <w:basedOn w:val="1"/>
    <w:autoRedefine/>
    <w:qFormat/>
    <w:uiPriority w:val="99"/>
    <w:pPr>
      <w:snapToGrid w:val="0"/>
    </w:pPr>
    <w:rPr>
      <w:rFonts w:ascii="Arial" w:hAnsi="Arial" w:cs="Arial"/>
    </w:rPr>
  </w:style>
  <w:style w:type="paragraph" w:styleId="31">
    <w:name w:val="header"/>
    <w:basedOn w:val="1"/>
    <w:link w:val="108"/>
    <w:autoRedefine/>
    <w:qFormat/>
    <w:uiPriority w:val="99"/>
    <w:pPr>
      <w:widowControl/>
      <w:pBdr>
        <w:bottom w:val="single" w:color="auto" w:sz="6" w:space="1"/>
      </w:pBdr>
      <w:tabs>
        <w:tab w:val="center" w:pos="4153"/>
        <w:tab w:val="right" w:pos="8306"/>
      </w:tabs>
      <w:snapToGrid w:val="0"/>
      <w:jc w:val="center"/>
    </w:pPr>
    <w:rPr>
      <w:rFonts w:ascii="Times New Roman" w:hAnsi="Times New Roman" w:eastAsia="Times New Roman"/>
      <w:kern w:val="0"/>
      <w:sz w:val="18"/>
      <w:szCs w:val="20"/>
    </w:rPr>
  </w:style>
  <w:style w:type="paragraph" w:styleId="32">
    <w:name w:val="toc 1"/>
    <w:basedOn w:val="1"/>
    <w:next w:val="1"/>
    <w:autoRedefine/>
    <w:qFormat/>
    <w:uiPriority w:val="39"/>
    <w:pPr>
      <w:tabs>
        <w:tab w:val="right" w:leader="dot" w:pos="8302"/>
      </w:tabs>
      <w:spacing w:line="400" w:lineRule="exact"/>
    </w:pPr>
    <w:rPr>
      <w:rFonts w:ascii="Times New Roman" w:hAnsi="Times New Roman"/>
      <w:szCs w:val="24"/>
    </w:rPr>
  </w:style>
  <w:style w:type="paragraph" w:styleId="33">
    <w:name w:val="toc 4"/>
    <w:basedOn w:val="1"/>
    <w:next w:val="1"/>
    <w:autoRedefine/>
    <w:qFormat/>
    <w:uiPriority w:val="0"/>
    <w:pPr>
      <w:ind w:left="1260" w:leftChars="600"/>
    </w:pPr>
    <w:rPr>
      <w:rFonts w:ascii="Times New Roman" w:hAnsi="Times New Roman"/>
      <w:szCs w:val="24"/>
    </w:rPr>
  </w:style>
  <w:style w:type="paragraph" w:styleId="34">
    <w:name w:val="Subtitle"/>
    <w:basedOn w:val="1"/>
    <w:next w:val="1"/>
    <w:link w:val="111"/>
    <w:autoRedefine/>
    <w:qFormat/>
    <w:uiPriority w:val="0"/>
    <w:pPr>
      <w:spacing w:before="240" w:after="60" w:line="312" w:lineRule="auto"/>
      <w:jc w:val="center"/>
      <w:outlineLvl w:val="1"/>
    </w:pPr>
    <w:rPr>
      <w:rFonts w:ascii="Cambria" w:hAnsi="Cambria" w:eastAsia="Times New Roman"/>
      <w:b/>
      <w:bCs/>
      <w:kern w:val="28"/>
      <w:sz w:val="32"/>
      <w:szCs w:val="32"/>
    </w:rPr>
  </w:style>
  <w:style w:type="paragraph" w:styleId="35">
    <w:name w:val="footnote text"/>
    <w:basedOn w:val="1"/>
    <w:link w:val="112"/>
    <w:autoRedefine/>
    <w:qFormat/>
    <w:uiPriority w:val="0"/>
    <w:pPr>
      <w:adjustRightInd w:val="0"/>
      <w:spacing w:line="312" w:lineRule="atLeast"/>
      <w:jc w:val="left"/>
    </w:pPr>
    <w:rPr>
      <w:rFonts w:ascii="Times New Roman" w:hAnsi="Times New Roman"/>
      <w:kern w:val="0"/>
      <w:sz w:val="18"/>
      <w:szCs w:val="20"/>
    </w:rPr>
  </w:style>
  <w:style w:type="paragraph" w:styleId="36">
    <w:name w:val="toc 6"/>
    <w:basedOn w:val="1"/>
    <w:next w:val="1"/>
    <w:autoRedefine/>
    <w:qFormat/>
    <w:uiPriority w:val="0"/>
    <w:pPr>
      <w:ind w:left="2100" w:leftChars="1000"/>
    </w:pPr>
    <w:rPr>
      <w:rFonts w:ascii="Times New Roman" w:hAnsi="Times New Roman"/>
      <w:szCs w:val="24"/>
    </w:rPr>
  </w:style>
  <w:style w:type="paragraph" w:styleId="37">
    <w:name w:val="Body Text Indent 3"/>
    <w:basedOn w:val="1"/>
    <w:link w:val="113"/>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szCs w:val="20"/>
    </w:rPr>
  </w:style>
  <w:style w:type="paragraph" w:styleId="38">
    <w:name w:val="table of figures"/>
    <w:basedOn w:val="1"/>
    <w:next w:val="1"/>
    <w:autoRedefine/>
    <w:qFormat/>
    <w:uiPriority w:val="0"/>
    <w:pPr>
      <w:ind w:left="840" w:hanging="420"/>
    </w:pPr>
    <w:rPr>
      <w:rFonts w:ascii="Times New Roman" w:hAnsi="Times New Roman"/>
      <w:szCs w:val="20"/>
    </w:rPr>
  </w:style>
  <w:style w:type="paragraph" w:styleId="39">
    <w:name w:val="toc 2"/>
    <w:basedOn w:val="1"/>
    <w:next w:val="1"/>
    <w:autoRedefine/>
    <w:qFormat/>
    <w:uiPriority w:val="39"/>
    <w:pPr>
      <w:ind w:left="420" w:leftChars="200"/>
    </w:pPr>
    <w:rPr>
      <w:rFonts w:ascii="Times New Roman" w:hAnsi="Times New Roman"/>
      <w:szCs w:val="24"/>
    </w:rPr>
  </w:style>
  <w:style w:type="paragraph" w:styleId="40">
    <w:name w:val="toc 9"/>
    <w:basedOn w:val="1"/>
    <w:next w:val="1"/>
    <w:autoRedefine/>
    <w:qFormat/>
    <w:uiPriority w:val="0"/>
    <w:pPr>
      <w:ind w:left="3360" w:leftChars="1600"/>
    </w:pPr>
    <w:rPr>
      <w:rFonts w:ascii="Times New Roman" w:hAnsi="Times New Roman"/>
      <w:szCs w:val="24"/>
    </w:rPr>
  </w:style>
  <w:style w:type="paragraph" w:styleId="41">
    <w:name w:val="Body Text 2"/>
    <w:basedOn w:val="1"/>
    <w:link w:val="114"/>
    <w:autoRedefine/>
    <w:qFormat/>
    <w:uiPriority w:val="0"/>
    <w:pPr>
      <w:adjustRightInd w:val="0"/>
      <w:spacing w:line="360" w:lineRule="atLeast"/>
    </w:pPr>
    <w:rPr>
      <w:rFonts w:ascii="宋体" w:hAnsi="宋体"/>
      <w:sz w:val="24"/>
      <w:szCs w:val="24"/>
      <w:u w:val="single"/>
    </w:rPr>
  </w:style>
  <w:style w:type="paragraph" w:styleId="42">
    <w:name w:val="HTML Preformatted"/>
    <w:basedOn w:val="1"/>
    <w:link w:val="11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ascii="宋体" w:hAnsi="宋体" w:eastAsia="仿宋_GB2312"/>
      <w:kern w:val="0"/>
      <w:sz w:val="24"/>
      <w:szCs w:val="24"/>
    </w:rPr>
  </w:style>
  <w:style w:type="paragraph" w:styleId="43">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44">
    <w:name w:val="index 1"/>
    <w:basedOn w:val="1"/>
    <w:next w:val="1"/>
    <w:autoRedefine/>
    <w:qFormat/>
    <w:uiPriority w:val="0"/>
    <w:rPr>
      <w:rFonts w:ascii="Times New Roman" w:hAnsi="Times New Roman"/>
      <w:szCs w:val="21"/>
    </w:rPr>
  </w:style>
  <w:style w:type="paragraph" w:styleId="45">
    <w:name w:val="Title"/>
    <w:basedOn w:val="1"/>
    <w:next w:val="1"/>
    <w:link w:val="119"/>
    <w:autoRedefine/>
    <w:qFormat/>
    <w:uiPriority w:val="0"/>
    <w:pPr>
      <w:spacing w:before="240" w:after="60"/>
      <w:jc w:val="center"/>
      <w:outlineLvl w:val="0"/>
    </w:pPr>
    <w:rPr>
      <w:rFonts w:ascii="Cambria" w:hAnsi="Cambria" w:eastAsia="Times New Roman"/>
      <w:b/>
      <w:bCs/>
      <w:sz w:val="44"/>
      <w:szCs w:val="32"/>
    </w:rPr>
  </w:style>
  <w:style w:type="paragraph" w:styleId="46">
    <w:name w:val="annotation subject"/>
    <w:basedOn w:val="16"/>
    <w:next w:val="16"/>
    <w:link w:val="122"/>
    <w:autoRedefine/>
    <w:qFormat/>
    <w:uiPriority w:val="99"/>
    <w:rPr>
      <w:rFonts w:eastAsia="Times New Roman"/>
      <w:b/>
      <w:bCs/>
    </w:rPr>
  </w:style>
  <w:style w:type="paragraph" w:styleId="47">
    <w:name w:val="Body Text First Indent 2"/>
    <w:basedOn w:val="18"/>
    <w:autoRedefine/>
    <w:qFormat/>
    <w:uiPriority w:val="0"/>
    <w:pPr>
      <w:ind w:firstLine="420" w:firstLineChars="200"/>
    </w:pPr>
  </w:style>
  <w:style w:type="table" w:styleId="49">
    <w:name w:val="Table Grid"/>
    <w:basedOn w:val="4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b/>
      <w:bCs/>
    </w:rPr>
  </w:style>
  <w:style w:type="character" w:styleId="52">
    <w:name w:val="page number"/>
    <w:autoRedefine/>
    <w:qFormat/>
    <w:uiPriority w:val="0"/>
  </w:style>
  <w:style w:type="character" w:styleId="53">
    <w:name w:val="FollowedHyperlink"/>
    <w:autoRedefine/>
    <w:qFormat/>
    <w:uiPriority w:val="99"/>
    <w:rPr>
      <w:color w:val="3894C1"/>
      <w:u w:val="none"/>
    </w:rPr>
  </w:style>
  <w:style w:type="character" w:styleId="54">
    <w:name w:val="Emphasis"/>
    <w:autoRedefine/>
    <w:qFormat/>
    <w:uiPriority w:val="0"/>
    <w:rPr>
      <w:b/>
      <w:bCs/>
    </w:rPr>
  </w:style>
  <w:style w:type="character" w:styleId="55">
    <w:name w:val="Hyperlink"/>
    <w:autoRedefine/>
    <w:qFormat/>
    <w:uiPriority w:val="99"/>
    <w:rPr>
      <w:color w:val="3894C1"/>
      <w:u w:val="non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paragraph" w:customStyle="1" w:styleId="58">
    <w:name w:val="_Style 3"/>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59">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character" w:customStyle="1" w:styleId="60">
    <w:name w:val="标题 1 Char"/>
    <w:basedOn w:val="50"/>
    <w:autoRedefine/>
    <w:qFormat/>
    <w:uiPriority w:val="0"/>
    <w:rPr>
      <w:rFonts w:ascii="Calibri" w:hAnsi="Calibri" w:eastAsia="宋体" w:cs="Times New Roman"/>
      <w:b/>
      <w:bCs/>
      <w:kern w:val="44"/>
      <w:sz w:val="44"/>
      <w:szCs w:val="44"/>
    </w:rPr>
  </w:style>
  <w:style w:type="character" w:customStyle="1" w:styleId="61">
    <w:name w:val="标题 2 Char"/>
    <w:basedOn w:val="50"/>
    <w:autoRedefine/>
    <w:qFormat/>
    <w:uiPriority w:val="0"/>
    <w:rPr>
      <w:rFonts w:asciiTheme="majorHAnsi" w:hAnsiTheme="majorHAnsi" w:eastAsiaTheme="majorEastAsia" w:cstheme="majorBidi"/>
      <w:b/>
      <w:bCs/>
      <w:sz w:val="32"/>
      <w:szCs w:val="32"/>
    </w:rPr>
  </w:style>
  <w:style w:type="character" w:customStyle="1" w:styleId="62">
    <w:name w:val="标题 3 Char"/>
    <w:basedOn w:val="50"/>
    <w:autoRedefine/>
    <w:qFormat/>
    <w:uiPriority w:val="0"/>
    <w:rPr>
      <w:rFonts w:ascii="Calibri" w:hAnsi="Calibri" w:eastAsia="宋体" w:cs="Times New Roman"/>
      <w:b/>
      <w:bCs/>
      <w:sz w:val="32"/>
      <w:szCs w:val="32"/>
    </w:rPr>
  </w:style>
  <w:style w:type="character" w:customStyle="1" w:styleId="63">
    <w:name w:val="标题 4 Char"/>
    <w:basedOn w:val="50"/>
    <w:autoRedefine/>
    <w:qFormat/>
    <w:uiPriority w:val="0"/>
    <w:rPr>
      <w:rFonts w:asciiTheme="majorHAnsi" w:hAnsiTheme="majorHAnsi" w:eastAsiaTheme="majorEastAsia" w:cstheme="majorBidi"/>
      <w:b/>
      <w:bCs/>
      <w:sz w:val="28"/>
      <w:szCs w:val="28"/>
    </w:rPr>
  </w:style>
  <w:style w:type="character" w:customStyle="1" w:styleId="64">
    <w:name w:val="标题 5 Char"/>
    <w:basedOn w:val="50"/>
    <w:autoRedefine/>
    <w:qFormat/>
    <w:uiPriority w:val="0"/>
    <w:rPr>
      <w:rFonts w:ascii="Calibri" w:hAnsi="Calibri" w:eastAsia="宋体" w:cs="Times New Roman"/>
      <w:b/>
      <w:bCs/>
      <w:sz w:val="28"/>
      <w:szCs w:val="28"/>
    </w:rPr>
  </w:style>
  <w:style w:type="character" w:customStyle="1" w:styleId="65">
    <w:name w:val="标题 6 Char"/>
    <w:basedOn w:val="50"/>
    <w:autoRedefine/>
    <w:qFormat/>
    <w:uiPriority w:val="0"/>
    <w:rPr>
      <w:rFonts w:asciiTheme="majorHAnsi" w:hAnsiTheme="majorHAnsi" w:eastAsiaTheme="majorEastAsia" w:cstheme="majorBidi"/>
      <w:b/>
      <w:bCs/>
      <w:sz w:val="24"/>
      <w:szCs w:val="24"/>
    </w:rPr>
  </w:style>
  <w:style w:type="character" w:customStyle="1" w:styleId="66">
    <w:name w:val="标题 7 Char"/>
    <w:basedOn w:val="50"/>
    <w:autoRedefine/>
    <w:qFormat/>
    <w:uiPriority w:val="0"/>
    <w:rPr>
      <w:rFonts w:ascii="Calibri" w:hAnsi="Calibri" w:eastAsia="宋体" w:cs="Times New Roman"/>
      <w:b/>
      <w:bCs/>
      <w:sz w:val="24"/>
      <w:szCs w:val="24"/>
    </w:rPr>
  </w:style>
  <w:style w:type="character" w:customStyle="1" w:styleId="67">
    <w:name w:val="标题 8 Char"/>
    <w:basedOn w:val="50"/>
    <w:autoRedefine/>
    <w:qFormat/>
    <w:uiPriority w:val="0"/>
    <w:rPr>
      <w:rFonts w:asciiTheme="majorHAnsi" w:hAnsiTheme="majorHAnsi" w:eastAsiaTheme="majorEastAsia" w:cstheme="majorBidi"/>
      <w:sz w:val="24"/>
      <w:szCs w:val="24"/>
    </w:rPr>
  </w:style>
  <w:style w:type="character" w:customStyle="1" w:styleId="68">
    <w:name w:val="标题 9 Char"/>
    <w:basedOn w:val="50"/>
    <w:autoRedefine/>
    <w:qFormat/>
    <w:uiPriority w:val="0"/>
    <w:rPr>
      <w:rFonts w:asciiTheme="majorHAnsi" w:hAnsiTheme="majorHAnsi" w:eastAsiaTheme="majorEastAsia" w:cstheme="majorBidi"/>
      <w:szCs w:val="21"/>
    </w:rPr>
  </w:style>
  <w:style w:type="character" w:customStyle="1" w:styleId="69">
    <w:name w:val="正文缩进 Char"/>
    <w:link w:val="5"/>
    <w:autoRedefine/>
    <w:qFormat/>
    <w:locked/>
    <w:uiPriority w:val="0"/>
    <w:rPr>
      <w:rFonts w:ascii="Times New Roman" w:hAnsi="Times New Roman" w:eastAsia="宋体" w:cs="Times New Roman"/>
      <w:kern w:val="0"/>
      <w:sz w:val="20"/>
      <w:szCs w:val="20"/>
    </w:rPr>
  </w:style>
  <w:style w:type="character" w:customStyle="1" w:styleId="70">
    <w:name w:val="标题 1 Char1"/>
    <w:link w:val="3"/>
    <w:autoRedefine/>
    <w:qFormat/>
    <w:locked/>
    <w:uiPriority w:val="0"/>
    <w:rPr>
      <w:rFonts w:ascii="黑体" w:hAnsi="Times New Roman" w:eastAsia="宋体" w:cs="宋体"/>
      <w:b/>
      <w:kern w:val="0"/>
      <w:sz w:val="28"/>
      <w:szCs w:val="20"/>
      <w:lang w:val="zh-CN"/>
    </w:rPr>
  </w:style>
  <w:style w:type="character" w:customStyle="1" w:styleId="71">
    <w:name w:val="标题 2 Char1"/>
    <w:link w:val="4"/>
    <w:autoRedefine/>
    <w:qFormat/>
    <w:locked/>
    <w:uiPriority w:val="0"/>
    <w:rPr>
      <w:rFonts w:ascii="Arial" w:hAnsi="Arial" w:eastAsia="宋体" w:cs="Times New Roman"/>
      <w:kern w:val="0"/>
      <w:sz w:val="28"/>
      <w:szCs w:val="20"/>
      <w:lang w:val="zh-CN"/>
    </w:rPr>
  </w:style>
  <w:style w:type="character" w:customStyle="1" w:styleId="72">
    <w:name w:val="标题 3 Char1"/>
    <w:link w:val="6"/>
    <w:autoRedefine/>
    <w:qFormat/>
    <w:locked/>
    <w:uiPriority w:val="0"/>
    <w:rPr>
      <w:rFonts w:eastAsia="Times New Roman"/>
      <w:b/>
      <w:sz w:val="32"/>
      <w:lang w:val="zh-CN"/>
    </w:rPr>
  </w:style>
  <w:style w:type="character" w:customStyle="1" w:styleId="73">
    <w:name w:val="标题 4 Char1"/>
    <w:link w:val="7"/>
    <w:autoRedefine/>
    <w:qFormat/>
    <w:locked/>
    <w:uiPriority w:val="0"/>
    <w:rPr>
      <w:rFonts w:asciiTheme="majorEastAsia" w:hAnsiTheme="majorEastAsia" w:eastAsiaTheme="majorEastAsia"/>
      <w:b/>
      <w:bCs/>
      <w:kern w:val="2"/>
      <w:sz w:val="24"/>
      <w:szCs w:val="24"/>
    </w:rPr>
  </w:style>
  <w:style w:type="character" w:customStyle="1" w:styleId="74">
    <w:name w:val="标题 5 Char1"/>
    <w:link w:val="8"/>
    <w:autoRedefine/>
    <w:qFormat/>
    <w:locked/>
    <w:uiPriority w:val="0"/>
    <w:rPr>
      <w:rFonts w:ascii="Calibri" w:hAnsi="Calibri" w:eastAsia="宋体" w:cs="宋体"/>
      <w:b/>
      <w:bCs/>
      <w:sz w:val="28"/>
      <w:szCs w:val="28"/>
    </w:rPr>
  </w:style>
  <w:style w:type="character" w:customStyle="1" w:styleId="75">
    <w:name w:val="标题 6 Char1"/>
    <w:link w:val="9"/>
    <w:autoRedefine/>
    <w:qFormat/>
    <w:locked/>
    <w:uiPriority w:val="0"/>
    <w:rPr>
      <w:rFonts w:ascii="Arial" w:hAnsi="Arial" w:eastAsia="黑体" w:cs="Times New Roman"/>
      <w:b/>
      <w:bCs/>
      <w:kern w:val="0"/>
      <w:sz w:val="24"/>
      <w:szCs w:val="24"/>
      <w:lang w:val="zh-CN"/>
    </w:rPr>
  </w:style>
  <w:style w:type="character" w:customStyle="1" w:styleId="76">
    <w:name w:val="标题 7 Char1"/>
    <w:link w:val="10"/>
    <w:autoRedefine/>
    <w:qFormat/>
    <w:locked/>
    <w:uiPriority w:val="0"/>
    <w:rPr>
      <w:rFonts w:ascii="Times New Roman" w:hAnsi="Times New Roman" w:eastAsia="宋体" w:cs="Times New Roman"/>
      <w:b/>
      <w:bCs/>
      <w:kern w:val="0"/>
      <w:sz w:val="24"/>
      <w:szCs w:val="24"/>
      <w:lang w:val="zh-CN"/>
    </w:rPr>
  </w:style>
  <w:style w:type="character" w:customStyle="1" w:styleId="77">
    <w:name w:val="标题 8 Char1"/>
    <w:link w:val="11"/>
    <w:autoRedefine/>
    <w:qFormat/>
    <w:locked/>
    <w:uiPriority w:val="0"/>
    <w:rPr>
      <w:rFonts w:ascii="Arial" w:hAnsi="Arial" w:eastAsia="黑体" w:cs="Times New Roman"/>
      <w:kern w:val="0"/>
      <w:sz w:val="24"/>
      <w:szCs w:val="24"/>
      <w:lang w:val="zh-CN"/>
    </w:rPr>
  </w:style>
  <w:style w:type="character" w:customStyle="1" w:styleId="78">
    <w:name w:val="标题 9 Char1"/>
    <w:link w:val="12"/>
    <w:autoRedefine/>
    <w:qFormat/>
    <w:locked/>
    <w:uiPriority w:val="0"/>
    <w:rPr>
      <w:rFonts w:ascii="Arial" w:hAnsi="Arial" w:eastAsia="黑体" w:cs="Times New Roman"/>
      <w:kern w:val="0"/>
      <w:szCs w:val="21"/>
      <w:lang w:val="zh-CN"/>
    </w:rPr>
  </w:style>
  <w:style w:type="character" w:customStyle="1" w:styleId="79">
    <w:name w:val="文档结构图 Char"/>
    <w:basedOn w:val="50"/>
    <w:link w:val="80"/>
    <w:autoRedefine/>
    <w:qFormat/>
    <w:uiPriority w:val="0"/>
    <w:rPr>
      <w:rFonts w:ascii="宋体" w:hAnsi="Calibri" w:eastAsia="宋体" w:cs="Times New Roman"/>
      <w:sz w:val="18"/>
      <w:szCs w:val="18"/>
    </w:rPr>
  </w:style>
  <w:style w:type="paragraph" w:customStyle="1" w:styleId="80">
    <w:name w:val="文档结构图1"/>
    <w:basedOn w:val="1"/>
    <w:link w:val="79"/>
    <w:autoRedefine/>
    <w:qFormat/>
    <w:uiPriority w:val="0"/>
    <w:pPr>
      <w:shd w:val="clear" w:color="auto" w:fill="000080"/>
    </w:pPr>
    <w:rPr>
      <w:rFonts w:ascii="宋体"/>
      <w:sz w:val="18"/>
      <w:szCs w:val="18"/>
      <w:shd w:val="clear" w:color="auto" w:fill="000080"/>
    </w:rPr>
  </w:style>
  <w:style w:type="character" w:customStyle="1" w:styleId="81">
    <w:name w:val="文档结构图 Char2"/>
    <w:link w:val="15"/>
    <w:autoRedefine/>
    <w:qFormat/>
    <w:locked/>
    <w:uiPriority w:val="99"/>
    <w:rPr>
      <w:rFonts w:ascii="Times New Roman" w:hAnsi="Times New Roman" w:eastAsia="Times New Roman" w:cs="Times New Roman"/>
      <w:szCs w:val="24"/>
      <w:shd w:val="clear" w:color="auto" w:fill="000080"/>
    </w:rPr>
  </w:style>
  <w:style w:type="character" w:customStyle="1" w:styleId="82">
    <w:name w:val="批注文字 Char"/>
    <w:basedOn w:val="50"/>
    <w:link w:val="83"/>
    <w:autoRedefine/>
    <w:qFormat/>
    <w:uiPriority w:val="99"/>
    <w:rPr>
      <w:rFonts w:ascii="Calibri" w:hAnsi="Calibri" w:eastAsia="宋体" w:cs="Times New Roman"/>
    </w:rPr>
  </w:style>
  <w:style w:type="paragraph" w:customStyle="1" w:styleId="83">
    <w:name w:val="批注文字1"/>
    <w:basedOn w:val="1"/>
    <w:link w:val="82"/>
    <w:autoRedefine/>
    <w:qFormat/>
    <w:uiPriority w:val="0"/>
  </w:style>
  <w:style w:type="character" w:customStyle="1" w:styleId="84">
    <w:name w:val="批注文字 Char1"/>
    <w:link w:val="16"/>
    <w:autoRedefine/>
    <w:qFormat/>
    <w:locked/>
    <w:uiPriority w:val="99"/>
    <w:rPr>
      <w:rFonts w:ascii="Times New Roman" w:hAnsi="Times New Roman" w:eastAsia="宋体" w:cs="Times New Roman"/>
      <w:szCs w:val="24"/>
    </w:rPr>
  </w:style>
  <w:style w:type="character" w:customStyle="1" w:styleId="85">
    <w:name w:val="正文文本 3 Char"/>
    <w:basedOn w:val="50"/>
    <w:link w:val="86"/>
    <w:autoRedefine/>
    <w:qFormat/>
    <w:uiPriority w:val="0"/>
    <w:rPr>
      <w:rFonts w:ascii="Calibri" w:hAnsi="Calibri" w:eastAsia="宋体" w:cs="Times New Roman"/>
      <w:sz w:val="16"/>
      <w:szCs w:val="16"/>
    </w:rPr>
  </w:style>
  <w:style w:type="paragraph" w:customStyle="1" w:styleId="86">
    <w:name w:val="正文文本 31"/>
    <w:basedOn w:val="1"/>
    <w:link w:val="85"/>
    <w:autoRedefine/>
    <w:qFormat/>
    <w:uiPriority w:val="0"/>
    <w:pPr>
      <w:spacing w:after="120"/>
    </w:pPr>
    <w:rPr>
      <w:sz w:val="16"/>
      <w:szCs w:val="16"/>
    </w:rPr>
  </w:style>
  <w:style w:type="character" w:customStyle="1" w:styleId="87">
    <w:name w:val="正文文本 3 Char1"/>
    <w:link w:val="17"/>
    <w:autoRedefine/>
    <w:qFormat/>
    <w:locked/>
    <w:uiPriority w:val="0"/>
    <w:rPr>
      <w:rFonts w:ascii="Times New Roman" w:hAnsi="Times New Roman" w:eastAsia="Times New Roman" w:cs="Times New Roman"/>
      <w:sz w:val="16"/>
      <w:szCs w:val="16"/>
    </w:rPr>
  </w:style>
  <w:style w:type="character" w:customStyle="1" w:styleId="88">
    <w:name w:val="正文文本 Char"/>
    <w:basedOn w:val="50"/>
    <w:autoRedefine/>
    <w:qFormat/>
    <w:uiPriority w:val="0"/>
    <w:rPr>
      <w:rFonts w:ascii="Calibri" w:hAnsi="Calibri" w:eastAsia="宋体" w:cs="Times New Roman"/>
    </w:rPr>
  </w:style>
  <w:style w:type="character" w:customStyle="1" w:styleId="89">
    <w:name w:val="正文文本 Char2"/>
    <w:link w:val="2"/>
    <w:autoRedefine/>
    <w:qFormat/>
    <w:locked/>
    <w:uiPriority w:val="0"/>
    <w:rPr>
      <w:rFonts w:ascii="宋体" w:hAnsi="宋体" w:cs="宋体"/>
      <w:bCs/>
      <w:kern w:val="2"/>
      <w:sz w:val="24"/>
      <w:szCs w:val="24"/>
    </w:rPr>
  </w:style>
  <w:style w:type="character" w:customStyle="1" w:styleId="90">
    <w:name w:val="正文文本缩进 Char"/>
    <w:basedOn w:val="50"/>
    <w:link w:val="91"/>
    <w:autoRedefine/>
    <w:qFormat/>
    <w:uiPriority w:val="0"/>
    <w:rPr>
      <w:rFonts w:ascii="Calibri" w:hAnsi="Calibri" w:eastAsia="宋体" w:cs="Times New Roman"/>
    </w:rPr>
  </w:style>
  <w:style w:type="paragraph" w:customStyle="1" w:styleId="91">
    <w:name w:val="正文文本缩进1"/>
    <w:basedOn w:val="1"/>
    <w:link w:val="90"/>
    <w:autoRedefine/>
    <w:qFormat/>
    <w:uiPriority w:val="0"/>
    <w:pPr>
      <w:spacing w:after="120"/>
      <w:ind w:left="420" w:leftChars="200"/>
    </w:pPr>
  </w:style>
  <w:style w:type="character" w:customStyle="1" w:styleId="92">
    <w:name w:val="正文文本缩进 Char1"/>
    <w:link w:val="18"/>
    <w:autoRedefine/>
    <w:qFormat/>
    <w:locked/>
    <w:uiPriority w:val="0"/>
    <w:rPr>
      <w:rFonts w:ascii="宋体" w:hAnsi="MS Sans Serif" w:eastAsia="Times New Roman" w:cs="Times New Roman"/>
      <w:spacing w:val="12"/>
      <w:kern w:val="0"/>
      <w:sz w:val="24"/>
      <w:szCs w:val="20"/>
    </w:rPr>
  </w:style>
  <w:style w:type="character" w:customStyle="1" w:styleId="93">
    <w:name w:val="纯文本 Char"/>
    <w:basedOn w:val="50"/>
    <w:link w:val="94"/>
    <w:autoRedefine/>
    <w:qFormat/>
    <w:uiPriority w:val="0"/>
    <w:rPr>
      <w:rFonts w:ascii="宋体" w:hAnsi="Courier New" w:eastAsia="宋体" w:cs="Courier New"/>
      <w:szCs w:val="21"/>
    </w:rPr>
  </w:style>
  <w:style w:type="paragraph" w:customStyle="1" w:styleId="94">
    <w:name w:val="纯文本1"/>
    <w:basedOn w:val="1"/>
    <w:link w:val="93"/>
    <w:autoRedefine/>
    <w:qFormat/>
    <w:uiPriority w:val="0"/>
    <w:rPr>
      <w:rFonts w:ascii="宋体" w:hAnsi="Courier New" w:cs="Courier New"/>
      <w:szCs w:val="21"/>
    </w:rPr>
  </w:style>
  <w:style w:type="character" w:customStyle="1" w:styleId="95">
    <w:name w:val="纯文本 Char1"/>
    <w:link w:val="25"/>
    <w:autoRedefine/>
    <w:qFormat/>
    <w:locked/>
    <w:uiPriority w:val="0"/>
    <w:rPr>
      <w:rFonts w:ascii="宋体" w:hAnsi="Courier New" w:eastAsia="宋体" w:cs="Courier New"/>
      <w:szCs w:val="21"/>
    </w:rPr>
  </w:style>
  <w:style w:type="character" w:customStyle="1" w:styleId="96">
    <w:name w:val="日期 Char"/>
    <w:basedOn w:val="50"/>
    <w:link w:val="27"/>
    <w:autoRedefine/>
    <w:qFormat/>
    <w:uiPriority w:val="99"/>
    <w:rPr>
      <w:rFonts w:ascii="Times New Roman" w:hAnsi="Times New Roman" w:eastAsia="宋体" w:cs="Times New Roman"/>
      <w:sz w:val="24"/>
      <w:szCs w:val="20"/>
    </w:rPr>
  </w:style>
  <w:style w:type="character" w:customStyle="1" w:styleId="97">
    <w:name w:val="正文文本缩进 2 Char"/>
    <w:basedOn w:val="50"/>
    <w:link w:val="98"/>
    <w:autoRedefine/>
    <w:qFormat/>
    <w:uiPriority w:val="0"/>
    <w:rPr>
      <w:rFonts w:ascii="Calibri" w:hAnsi="Calibri" w:eastAsia="宋体" w:cs="Times New Roman"/>
    </w:rPr>
  </w:style>
  <w:style w:type="paragraph" w:customStyle="1" w:styleId="98">
    <w:name w:val="正文文本缩进 21"/>
    <w:basedOn w:val="1"/>
    <w:link w:val="97"/>
    <w:autoRedefine/>
    <w:qFormat/>
    <w:uiPriority w:val="0"/>
    <w:pPr>
      <w:ind w:left="1260"/>
    </w:pPr>
  </w:style>
  <w:style w:type="character" w:customStyle="1" w:styleId="99">
    <w:name w:val="正文文本缩进 2 Char1"/>
    <w:link w:val="28"/>
    <w:autoRedefine/>
    <w:qFormat/>
    <w:locked/>
    <w:uiPriority w:val="0"/>
    <w:rPr>
      <w:rFonts w:ascii="宋体" w:hAnsi="MS Sans Serif" w:eastAsia="Times New Roman" w:cs="Times New Roman"/>
      <w:spacing w:val="12"/>
      <w:kern w:val="0"/>
      <w:sz w:val="24"/>
      <w:szCs w:val="20"/>
    </w:rPr>
  </w:style>
  <w:style w:type="character" w:customStyle="1" w:styleId="100">
    <w:name w:val="批注框文本 Char"/>
    <w:basedOn w:val="50"/>
    <w:link w:val="101"/>
    <w:autoRedefine/>
    <w:qFormat/>
    <w:uiPriority w:val="0"/>
    <w:rPr>
      <w:rFonts w:ascii="Calibri" w:hAnsi="Calibri" w:eastAsia="宋体" w:cs="Times New Roman"/>
      <w:sz w:val="18"/>
      <w:szCs w:val="18"/>
    </w:rPr>
  </w:style>
  <w:style w:type="paragraph" w:customStyle="1" w:styleId="101">
    <w:name w:val="批注框文本1"/>
    <w:basedOn w:val="1"/>
    <w:link w:val="100"/>
    <w:autoRedefine/>
    <w:qFormat/>
    <w:uiPriority w:val="0"/>
    <w:rPr>
      <w:sz w:val="18"/>
      <w:szCs w:val="18"/>
    </w:rPr>
  </w:style>
  <w:style w:type="character" w:customStyle="1" w:styleId="102">
    <w:name w:val="批注框文本 Char2"/>
    <w:link w:val="20"/>
    <w:autoRedefine/>
    <w:qFormat/>
    <w:locked/>
    <w:uiPriority w:val="99"/>
    <w:rPr>
      <w:rFonts w:ascii="Times New Roman" w:hAnsi="Times New Roman" w:eastAsia="Times New Roman" w:cs="Times New Roman"/>
      <w:sz w:val="18"/>
      <w:szCs w:val="18"/>
    </w:rPr>
  </w:style>
  <w:style w:type="character" w:customStyle="1" w:styleId="103">
    <w:name w:val="页脚 Char"/>
    <w:basedOn w:val="50"/>
    <w:link w:val="104"/>
    <w:autoRedefine/>
    <w:qFormat/>
    <w:uiPriority w:val="99"/>
    <w:rPr>
      <w:rFonts w:ascii="Calibri" w:hAnsi="Calibri" w:eastAsia="宋体" w:cs="Times New Roman"/>
      <w:sz w:val="18"/>
      <w:szCs w:val="18"/>
    </w:rPr>
  </w:style>
  <w:style w:type="paragraph" w:customStyle="1" w:styleId="104">
    <w:name w:val="页脚1"/>
    <w:basedOn w:val="1"/>
    <w:link w:val="103"/>
    <w:autoRedefine/>
    <w:qFormat/>
    <w:uiPriority w:val="0"/>
    <w:pPr>
      <w:tabs>
        <w:tab w:val="center" w:pos="4153"/>
        <w:tab w:val="right" w:pos="8306"/>
      </w:tabs>
      <w:snapToGrid w:val="0"/>
    </w:pPr>
    <w:rPr>
      <w:sz w:val="18"/>
      <w:szCs w:val="18"/>
    </w:rPr>
  </w:style>
  <w:style w:type="character" w:customStyle="1" w:styleId="105">
    <w:name w:val="页脚 Char1"/>
    <w:link w:val="29"/>
    <w:autoRedefine/>
    <w:qFormat/>
    <w:locked/>
    <w:uiPriority w:val="99"/>
    <w:rPr>
      <w:rFonts w:ascii="Times New Roman" w:hAnsi="Times New Roman" w:eastAsia="Times New Roman" w:cs="Times New Roman"/>
      <w:kern w:val="0"/>
      <w:sz w:val="18"/>
      <w:szCs w:val="20"/>
    </w:rPr>
  </w:style>
  <w:style w:type="character" w:customStyle="1" w:styleId="106">
    <w:name w:val="页眉 Char"/>
    <w:basedOn w:val="50"/>
    <w:link w:val="107"/>
    <w:autoRedefine/>
    <w:qFormat/>
    <w:uiPriority w:val="99"/>
    <w:rPr>
      <w:rFonts w:ascii="Calibri" w:hAnsi="Calibri" w:eastAsia="宋体" w:cs="Times New Roman"/>
      <w:sz w:val="18"/>
      <w:szCs w:val="18"/>
    </w:rPr>
  </w:style>
  <w:style w:type="paragraph" w:customStyle="1" w:styleId="107">
    <w:name w:val="页眉1"/>
    <w:basedOn w:val="1"/>
    <w:link w:val="106"/>
    <w:autoRedefine/>
    <w:qFormat/>
    <w:uiPriority w:val="0"/>
    <w:pPr>
      <w:pBdr>
        <w:bottom w:val="single" w:color="auto" w:sz="6" w:space="1"/>
      </w:pBdr>
      <w:tabs>
        <w:tab w:val="center" w:pos="4153"/>
        <w:tab w:val="right" w:pos="8306"/>
      </w:tabs>
      <w:snapToGrid w:val="0"/>
    </w:pPr>
    <w:rPr>
      <w:sz w:val="18"/>
      <w:szCs w:val="18"/>
    </w:rPr>
  </w:style>
  <w:style w:type="character" w:customStyle="1" w:styleId="108">
    <w:name w:val="页眉 Char1"/>
    <w:link w:val="31"/>
    <w:autoRedefine/>
    <w:qFormat/>
    <w:locked/>
    <w:uiPriority w:val="99"/>
    <w:rPr>
      <w:rFonts w:ascii="Times New Roman" w:hAnsi="Times New Roman" w:eastAsia="Times New Roman" w:cs="Times New Roman"/>
      <w:kern w:val="0"/>
      <w:sz w:val="18"/>
      <w:szCs w:val="20"/>
    </w:rPr>
  </w:style>
  <w:style w:type="character" w:customStyle="1" w:styleId="109">
    <w:name w:val="副标题 Char"/>
    <w:basedOn w:val="50"/>
    <w:link w:val="110"/>
    <w:autoRedefine/>
    <w:qFormat/>
    <w:uiPriority w:val="0"/>
    <w:rPr>
      <w:rFonts w:eastAsia="宋体" w:asciiTheme="majorHAnsi" w:hAnsiTheme="majorHAnsi" w:cstheme="majorBidi"/>
      <w:b/>
      <w:bCs/>
      <w:kern w:val="28"/>
      <w:sz w:val="32"/>
      <w:szCs w:val="32"/>
    </w:rPr>
  </w:style>
  <w:style w:type="paragraph" w:customStyle="1" w:styleId="110">
    <w:name w:val="副标题1"/>
    <w:basedOn w:val="1"/>
    <w:next w:val="1"/>
    <w:link w:val="109"/>
    <w:autoRedefine/>
    <w:qFormat/>
    <w:uiPriority w:val="0"/>
    <w:pPr>
      <w:spacing w:before="240" w:after="60" w:line="312" w:lineRule="auto"/>
      <w:outlineLvl w:val="1"/>
    </w:pPr>
    <w:rPr>
      <w:rFonts w:asciiTheme="majorHAnsi" w:hAnsiTheme="majorHAnsi" w:cstheme="majorBidi"/>
      <w:b/>
      <w:bCs/>
      <w:kern w:val="28"/>
      <w:sz w:val="32"/>
      <w:szCs w:val="32"/>
    </w:rPr>
  </w:style>
  <w:style w:type="character" w:customStyle="1" w:styleId="111">
    <w:name w:val="副标题 Char2"/>
    <w:link w:val="34"/>
    <w:autoRedefine/>
    <w:qFormat/>
    <w:locked/>
    <w:uiPriority w:val="0"/>
    <w:rPr>
      <w:rFonts w:ascii="Cambria" w:hAnsi="Cambria" w:eastAsia="Times New Roman" w:cs="Times New Roman"/>
      <w:b/>
      <w:bCs/>
      <w:kern w:val="28"/>
      <w:sz w:val="32"/>
      <w:szCs w:val="32"/>
    </w:rPr>
  </w:style>
  <w:style w:type="character" w:customStyle="1" w:styleId="112">
    <w:name w:val="脚注文本 Char"/>
    <w:basedOn w:val="50"/>
    <w:link w:val="35"/>
    <w:autoRedefine/>
    <w:qFormat/>
    <w:uiPriority w:val="0"/>
    <w:rPr>
      <w:rFonts w:ascii="Times New Roman" w:hAnsi="Times New Roman" w:eastAsia="宋体" w:cs="Times New Roman"/>
      <w:kern w:val="0"/>
      <w:sz w:val="18"/>
      <w:szCs w:val="20"/>
    </w:rPr>
  </w:style>
  <w:style w:type="character" w:customStyle="1" w:styleId="113">
    <w:name w:val="正文文本缩进 3 Char"/>
    <w:basedOn w:val="50"/>
    <w:link w:val="37"/>
    <w:autoRedefine/>
    <w:qFormat/>
    <w:uiPriority w:val="0"/>
    <w:rPr>
      <w:rFonts w:ascii="宋体" w:hAnsi="MS Sans Serif" w:eastAsia="宋体" w:cs="Times New Roman"/>
      <w:color w:val="000000"/>
      <w:kern w:val="0"/>
      <w:sz w:val="24"/>
      <w:szCs w:val="20"/>
    </w:rPr>
  </w:style>
  <w:style w:type="character" w:customStyle="1" w:styleId="114">
    <w:name w:val="正文文本 2 Char"/>
    <w:basedOn w:val="50"/>
    <w:link w:val="41"/>
    <w:autoRedefine/>
    <w:qFormat/>
    <w:uiPriority w:val="0"/>
    <w:rPr>
      <w:rFonts w:ascii="宋体" w:hAnsi="宋体" w:eastAsia="宋体" w:cs="Times New Roman"/>
      <w:sz w:val="24"/>
      <w:szCs w:val="24"/>
      <w:u w:val="single"/>
    </w:rPr>
  </w:style>
  <w:style w:type="character" w:customStyle="1" w:styleId="115">
    <w:name w:val="HTML 预设格式 Char"/>
    <w:basedOn w:val="50"/>
    <w:autoRedefine/>
    <w:qFormat/>
    <w:uiPriority w:val="0"/>
    <w:rPr>
      <w:rFonts w:ascii="Courier New" w:hAnsi="Courier New" w:eastAsia="宋体" w:cs="Courier New"/>
      <w:sz w:val="20"/>
      <w:szCs w:val="20"/>
    </w:rPr>
  </w:style>
  <w:style w:type="character" w:customStyle="1" w:styleId="116">
    <w:name w:val="HTML 预设格式 Char2"/>
    <w:link w:val="42"/>
    <w:autoRedefine/>
    <w:qFormat/>
    <w:locked/>
    <w:uiPriority w:val="0"/>
    <w:rPr>
      <w:rFonts w:ascii="宋体" w:hAnsi="宋体" w:eastAsia="仿宋_GB2312" w:cs="Times New Roman"/>
      <w:kern w:val="0"/>
      <w:sz w:val="24"/>
      <w:szCs w:val="24"/>
    </w:rPr>
  </w:style>
  <w:style w:type="character" w:customStyle="1" w:styleId="117">
    <w:name w:val="标题 Char"/>
    <w:basedOn w:val="50"/>
    <w:link w:val="118"/>
    <w:autoRedefine/>
    <w:qFormat/>
    <w:uiPriority w:val="0"/>
    <w:rPr>
      <w:rFonts w:eastAsia="宋体" w:asciiTheme="majorHAnsi" w:hAnsiTheme="majorHAnsi" w:cstheme="majorBidi"/>
      <w:b/>
      <w:bCs/>
      <w:sz w:val="32"/>
      <w:szCs w:val="32"/>
    </w:rPr>
  </w:style>
  <w:style w:type="paragraph" w:customStyle="1" w:styleId="118">
    <w:name w:val="标题2"/>
    <w:basedOn w:val="1"/>
    <w:link w:val="117"/>
    <w:autoRedefine/>
    <w:qFormat/>
    <w:uiPriority w:val="0"/>
    <w:pPr>
      <w:autoSpaceDE w:val="0"/>
      <w:autoSpaceDN w:val="0"/>
      <w:adjustRightInd w:val="0"/>
    </w:pPr>
    <w:rPr>
      <w:rFonts w:asciiTheme="majorHAnsi" w:hAnsiTheme="majorHAnsi" w:cstheme="majorBidi"/>
      <w:b/>
      <w:bCs/>
      <w:sz w:val="32"/>
      <w:szCs w:val="32"/>
    </w:rPr>
  </w:style>
  <w:style w:type="character" w:customStyle="1" w:styleId="119">
    <w:name w:val="标题 Char2"/>
    <w:link w:val="45"/>
    <w:autoRedefine/>
    <w:qFormat/>
    <w:locked/>
    <w:uiPriority w:val="0"/>
    <w:rPr>
      <w:rFonts w:ascii="Cambria" w:hAnsi="Cambria" w:eastAsia="Times New Roman" w:cs="Times New Roman"/>
      <w:b/>
      <w:bCs/>
      <w:sz w:val="44"/>
      <w:szCs w:val="32"/>
    </w:rPr>
  </w:style>
  <w:style w:type="character" w:customStyle="1" w:styleId="120">
    <w:name w:val="批注主题 Char"/>
    <w:basedOn w:val="82"/>
    <w:link w:val="121"/>
    <w:autoRedefine/>
    <w:qFormat/>
    <w:uiPriority w:val="99"/>
    <w:rPr>
      <w:rFonts w:ascii="Calibri" w:hAnsi="Calibri" w:eastAsia="宋体" w:cs="Times New Roman"/>
      <w:b/>
      <w:bCs/>
    </w:rPr>
  </w:style>
  <w:style w:type="paragraph" w:customStyle="1" w:styleId="121">
    <w:name w:val="批注主题1"/>
    <w:basedOn w:val="83"/>
    <w:next w:val="83"/>
    <w:link w:val="120"/>
    <w:autoRedefine/>
    <w:qFormat/>
    <w:uiPriority w:val="0"/>
    <w:rPr>
      <w:b/>
      <w:bCs/>
    </w:rPr>
  </w:style>
  <w:style w:type="character" w:customStyle="1" w:styleId="122">
    <w:name w:val="批注主题 Char2"/>
    <w:link w:val="46"/>
    <w:autoRedefine/>
    <w:qFormat/>
    <w:locked/>
    <w:uiPriority w:val="99"/>
    <w:rPr>
      <w:rFonts w:ascii="Times New Roman" w:hAnsi="Times New Roman" w:eastAsia="Times New Roman" w:cs="Times New Roman"/>
      <w:b/>
      <w:bCs/>
      <w:szCs w:val="24"/>
    </w:rPr>
  </w:style>
  <w:style w:type="character" w:customStyle="1" w:styleId="123">
    <w:name w:val="标题5 Char Char"/>
    <w:link w:val="124"/>
    <w:autoRedefine/>
    <w:qFormat/>
    <w:locked/>
    <w:uiPriority w:val="0"/>
    <w:rPr>
      <w:rFonts w:ascii="Arial" w:hAnsi="Arial" w:cs="Arial"/>
      <w:b/>
      <w:bCs/>
      <w:sz w:val="24"/>
      <w:szCs w:val="32"/>
    </w:rPr>
  </w:style>
  <w:style w:type="paragraph" w:customStyle="1" w:styleId="124">
    <w:name w:val="标题5"/>
    <w:basedOn w:val="6"/>
    <w:link w:val="123"/>
    <w:autoRedefine/>
    <w:qFormat/>
    <w:uiPriority w:val="0"/>
    <w:pPr>
      <w:widowControl w:val="0"/>
      <w:numPr>
        <w:ilvl w:val="0"/>
        <w:numId w:val="0"/>
      </w:numPr>
      <w:spacing w:before="260" w:after="260" w:line="412" w:lineRule="auto"/>
      <w:jc w:val="both"/>
    </w:pPr>
    <w:rPr>
      <w:rFonts w:ascii="Arial" w:hAnsi="Arial" w:cs="Arial" w:eastAsiaTheme="minorEastAsia"/>
      <w:bCs w:val="0"/>
      <w:kern w:val="2"/>
      <w:sz w:val="24"/>
      <w:szCs w:val="32"/>
      <w:lang w:val="en-US"/>
    </w:rPr>
  </w:style>
  <w:style w:type="character" w:customStyle="1" w:styleId="125">
    <w:name w:val="xmfy Char Char"/>
    <w:link w:val="126"/>
    <w:autoRedefine/>
    <w:qFormat/>
    <w:locked/>
    <w:uiPriority w:val="0"/>
    <w:rPr>
      <w:rFonts w:ascii="宋体" w:hAnsi="宋体" w:eastAsia="宋体" w:cs="宋体"/>
      <w:sz w:val="28"/>
    </w:rPr>
  </w:style>
  <w:style w:type="paragraph" w:customStyle="1" w:styleId="126">
    <w:name w:val="xmfy"/>
    <w:basedOn w:val="5"/>
    <w:link w:val="125"/>
    <w:autoRedefine/>
    <w:qFormat/>
    <w:uiPriority w:val="0"/>
    <w:pPr>
      <w:widowControl w:val="0"/>
      <w:spacing w:line="312" w:lineRule="auto"/>
      <w:ind w:firstLine="567"/>
      <w:jc w:val="both"/>
    </w:pPr>
    <w:rPr>
      <w:rFonts w:ascii="宋体" w:hAnsi="宋体" w:cs="宋体"/>
      <w:kern w:val="2"/>
      <w:sz w:val="28"/>
      <w:szCs w:val="22"/>
    </w:rPr>
  </w:style>
  <w:style w:type="character" w:customStyle="1" w:styleId="127">
    <w:name w:val="引用 Char"/>
    <w:link w:val="128"/>
    <w:autoRedefine/>
    <w:qFormat/>
    <w:locked/>
    <w:uiPriority w:val="0"/>
    <w:rPr>
      <w:i/>
      <w:iCs/>
      <w:color w:val="000000"/>
    </w:rPr>
  </w:style>
  <w:style w:type="paragraph" w:customStyle="1" w:styleId="128">
    <w:name w:val="引用1"/>
    <w:basedOn w:val="1"/>
    <w:next w:val="1"/>
    <w:link w:val="127"/>
    <w:autoRedefine/>
    <w:qFormat/>
    <w:uiPriority w:val="0"/>
    <w:rPr>
      <w:rFonts w:asciiTheme="minorHAnsi" w:hAnsiTheme="minorHAnsi" w:eastAsiaTheme="minorEastAsia" w:cstheme="minorBidi"/>
      <w:i/>
      <w:iCs/>
      <w:color w:val="000000"/>
    </w:rPr>
  </w:style>
  <w:style w:type="character" w:customStyle="1" w:styleId="129">
    <w:name w:val="引用 Char1"/>
    <w:autoRedefine/>
    <w:qFormat/>
    <w:uiPriority w:val="29"/>
    <w:rPr>
      <w:rFonts w:ascii="Calibri" w:hAnsi="Calibri" w:eastAsia="宋体" w:cs="Times New Roman"/>
      <w:i/>
      <w:iCs/>
      <w:color w:val="000000"/>
    </w:rPr>
  </w:style>
  <w:style w:type="character" w:customStyle="1" w:styleId="130">
    <w:name w:val="标题4 Char Char"/>
    <w:link w:val="131"/>
    <w:autoRedefine/>
    <w:qFormat/>
    <w:locked/>
    <w:uiPriority w:val="0"/>
    <w:rPr>
      <w:rFonts w:ascii="Arial" w:hAnsi="Arial" w:cs="Arial"/>
      <w:b/>
      <w:bCs/>
      <w:sz w:val="24"/>
      <w:szCs w:val="32"/>
    </w:rPr>
  </w:style>
  <w:style w:type="paragraph" w:customStyle="1" w:styleId="131">
    <w:name w:val="标题4"/>
    <w:basedOn w:val="4"/>
    <w:next w:val="22"/>
    <w:link w:val="130"/>
    <w:autoRedefine/>
    <w:qFormat/>
    <w:uiPriority w:val="0"/>
    <w:pPr>
      <w:widowControl w:val="0"/>
    </w:pPr>
    <w:rPr>
      <w:rFonts w:cs="Arial" w:eastAsiaTheme="minorEastAsia"/>
      <w:b/>
      <w:bCs/>
      <w:kern w:val="2"/>
      <w:sz w:val="24"/>
      <w:szCs w:val="32"/>
      <w:lang w:val="en-US"/>
    </w:rPr>
  </w:style>
  <w:style w:type="character" w:customStyle="1" w:styleId="132">
    <w:name w:val="!BECC正文 Char"/>
    <w:link w:val="133"/>
    <w:autoRedefine/>
    <w:qFormat/>
    <w:locked/>
    <w:uiPriority w:val="0"/>
    <w:rPr>
      <w:sz w:val="24"/>
      <w:szCs w:val="24"/>
    </w:rPr>
  </w:style>
  <w:style w:type="paragraph" w:customStyle="1" w:styleId="133">
    <w:name w:val="!BECC正文"/>
    <w:basedOn w:val="1"/>
    <w:link w:val="132"/>
    <w:autoRedefine/>
    <w:qFormat/>
    <w:uiPriority w:val="0"/>
    <w:pPr>
      <w:tabs>
        <w:tab w:val="left" w:pos="0"/>
      </w:tabs>
      <w:spacing w:beforeLines="50" w:line="360" w:lineRule="auto"/>
      <w:ind w:firstLine="200" w:firstLineChars="200"/>
      <w:contextualSpacing/>
    </w:pPr>
    <w:rPr>
      <w:rFonts w:asciiTheme="minorHAnsi" w:hAnsiTheme="minorHAnsi" w:eastAsiaTheme="minorEastAsia" w:cstheme="minorBidi"/>
      <w:sz w:val="24"/>
      <w:szCs w:val="24"/>
    </w:rPr>
  </w:style>
  <w:style w:type="character" w:customStyle="1" w:styleId="134">
    <w:name w:val="正文加粗 Char"/>
    <w:link w:val="135"/>
    <w:autoRedefine/>
    <w:qFormat/>
    <w:locked/>
    <w:uiPriority w:val="0"/>
    <w:rPr>
      <w:b/>
      <w:sz w:val="24"/>
      <w:szCs w:val="24"/>
    </w:rPr>
  </w:style>
  <w:style w:type="paragraph" w:customStyle="1" w:styleId="135">
    <w:name w:val="正文加粗"/>
    <w:basedOn w:val="1"/>
    <w:next w:val="1"/>
    <w:link w:val="134"/>
    <w:autoRedefine/>
    <w:qFormat/>
    <w:uiPriority w:val="0"/>
    <w:pPr>
      <w:adjustRightInd w:val="0"/>
      <w:snapToGrid w:val="0"/>
      <w:spacing w:line="360" w:lineRule="auto"/>
      <w:ind w:right="240" w:firstLine="480" w:firstLineChars="200"/>
      <w:jc w:val="left"/>
    </w:pPr>
    <w:rPr>
      <w:rFonts w:asciiTheme="minorHAnsi" w:hAnsiTheme="minorHAnsi" w:eastAsiaTheme="minorEastAsia" w:cstheme="minorBidi"/>
      <w:b/>
      <w:sz w:val="24"/>
      <w:szCs w:val="24"/>
    </w:rPr>
  </w:style>
  <w:style w:type="character" w:customStyle="1" w:styleId="136">
    <w:name w:val="明显引用 Char"/>
    <w:link w:val="137"/>
    <w:autoRedefine/>
    <w:qFormat/>
    <w:locked/>
    <w:uiPriority w:val="0"/>
    <w:rPr>
      <w:b/>
      <w:bCs/>
      <w:i/>
      <w:iCs/>
      <w:color w:val="4F81BD"/>
    </w:rPr>
  </w:style>
  <w:style w:type="paragraph" w:customStyle="1" w:styleId="137">
    <w:name w:val="明显引用1"/>
    <w:basedOn w:val="1"/>
    <w:next w:val="1"/>
    <w:link w:val="136"/>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38">
    <w:name w:val="明显引用 Char1"/>
    <w:autoRedefine/>
    <w:qFormat/>
    <w:uiPriority w:val="30"/>
    <w:rPr>
      <w:rFonts w:ascii="Calibri" w:hAnsi="Calibri" w:eastAsia="宋体" w:cs="Times New Roman"/>
      <w:b/>
      <w:bCs/>
      <w:i/>
      <w:iCs/>
      <w:color w:val="4F81BD"/>
    </w:rPr>
  </w:style>
  <w:style w:type="character" w:customStyle="1" w:styleId="139">
    <w:name w:val="my正文 Char"/>
    <w:link w:val="140"/>
    <w:autoRedefine/>
    <w:qFormat/>
    <w:locked/>
    <w:uiPriority w:val="0"/>
    <w:rPr>
      <w:rFonts w:ascii="宋体" w:hAnsi="宋体" w:eastAsia="宋体"/>
      <w:sz w:val="24"/>
    </w:rPr>
  </w:style>
  <w:style w:type="paragraph" w:customStyle="1" w:styleId="140">
    <w:name w:val="my正文"/>
    <w:link w:val="139"/>
    <w:autoRedefine/>
    <w:qFormat/>
    <w:uiPriority w:val="0"/>
    <w:pPr>
      <w:spacing w:line="360" w:lineRule="auto"/>
      <w:ind w:firstLine="225" w:firstLineChars="225"/>
    </w:pPr>
    <w:rPr>
      <w:rFonts w:ascii="宋体" w:hAnsi="宋体" w:eastAsia="宋体" w:cstheme="minorBidi"/>
      <w:kern w:val="2"/>
      <w:sz w:val="24"/>
      <w:szCs w:val="22"/>
      <w:lang w:val="en-US" w:eastAsia="zh-CN" w:bidi="ar-SA"/>
    </w:rPr>
  </w:style>
  <w:style w:type="paragraph" w:customStyle="1" w:styleId="14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样式 标题 2 + Times New Roman 四号 非加粗 段前: 5 磅 段后: 0 磅 行距: 固定值 20..."/>
    <w:basedOn w:val="4"/>
    <w:autoRedefine/>
    <w:qFormat/>
    <w:uiPriority w:val="0"/>
    <w:pPr>
      <w:widowControl w:val="0"/>
      <w:spacing w:before="100" w:after="0" w:line="400" w:lineRule="exact"/>
    </w:pPr>
    <w:rPr>
      <w:rFonts w:ascii="Times New Roman" w:hAnsi="Times New Roman" w:cs="宋体"/>
      <w:b/>
    </w:rPr>
  </w:style>
  <w:style w:type="paragraph" w:customStyle="1" w:styleId="143">
    <w:name w:val="表内文字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144">
    <w:name w:val="xl8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5">
    <w:name w:val="Style4"/>
    <w:basedOn w:val="1"/>
    <w:autoRedefine/>
    <w:qFormat/>
    <w:uiPriority w:val="0"/>
    <w:pPr>
      <w:adjustRightInd w:val="0"/>
      <w:jc w:val="left"/>
    </w:pPr>
    <w:rPr>
      <w:rFonts w:ascii="宋体"/>
      <w:kern w:val="0"/>
      <w:sz w:val="24"/>
      <w:szCs w:val="24"/>
    </w:rPr>
  </w:style>
  <w:style w:type="paragraph" w:customStyle="1" w:styleId="146">
    <w:name w:val="列出段落1"/>
    <w:basedOn w:val="1"/>
    <w:autoRedefine/>
    <w:qFormat/>
    <w:uiPriority w:val="34"/>
    <w:pPr>
      <w:ind w:firstLine="420" w:firstLineChars="200"/>
    </w:pPr>
    <w:rPr>
      <w:rFonts w:ascii="Cambria" w:hAnsi="Cambria"/>
      <w:sz w:val="24"/>
      <w:szCs w:val="24"/>
    </w:rPr>
  </w:style>
  <w:style w:type="paragraph" w:customStyle="1" w:styleId="147">
    <w:name w:val="xl8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8">
    <w:name w:val="xl7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9">
    <w:name w:val="目录"/>
    <w:basedOn w:val="1"/>
    <w:autoRedefine/>
    <w:qFormat/>
    <w:uiPriority w:val="0"/>
    <w:pPr>
      <w:widowControl/>
      <w:jc w:val="center"/>
    </w:pPr>
    <w:rPr>
      <w:rFonts w:ascii="宋体" w:hAnsi="Times New Roman"/>
      <w:b/>
      <w:kern w:val="0"/>
      <w:sz w:val="36"/>
      <w:szCs w:val="20"/>
    </w:rPr>
  </w:style>
  <w:style w:type="paragraph" w:customStyle="1" w:styleId="150">
    <w:name w:val="默认段落字体 Para Char Char Char Char"/>
    <w:basedOn w:val="1"/>
    <w:autoRedefine/>
    <w:qFormat/>
    <w:uiPriority w:val="0"/>
    <w:rPr>
      <w:rFonts w:ascii="Times New Roman" w:hAnsi="Times New Roman"/>
      <w:szCs w:val="24"/>
    </w:rPr>
  </w:style>
  <w:style w:type="paragraph" w:customStyle="1" w:styleId="151">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paragraph" w:customStyle="1" w:styleId="152">
    <w:name w:val="Style3"/>
    <w:basedOn w:val="1"/>
    <w:autoRedefine/>
    <w:qFormat/>
    <w:uiPriority w:val="0"/>
    <w:pPr>
      <w:adjustRightInd w:val="0"/>
      <w:spacing w:line="550" w:lineRule="exact"/>
      <w:ind w:firstLine="571"/>
      <w:jc w:val="left"/>
    </w:pPr>
    <w:rPr>
      <w:rFonts w:ascii="宋体"/>
      <w:kern w:val="0"/>
      <w:sz w:val="24"/>
      <w:szCs w:val="24"/>
    </w:rPr>
  </w:style>
  <w:style w:type="paragraph" w:customStyle="1" w:styleId="153">
    <w:name w:val="xl8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4">
    <w:name w:val="xl8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6">
    <w:name w:val="xl8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57">
    <w:name w:val="图内文字5号居中"/>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158">
    <w:name w:val="xl8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0">
    <w:name w:val="样式 标题 3 + (中文) 黑体 小四 非加粗 段前: 7.8 磅 段后: 0 磅 行距: 固定值 20 磅"/>
    <w:basedOn w:val="6"/>
    <w:autoRedefine/>
    <w:qFormat/>
    <w:uiPriority w:val="0"/>
    <w:pPr>
      <w:widowControl w:val="0"/>
      <w:numPr>
        <w:ilvl w:val="0"/>
        <w:numId w:val="0"/>
      </w:numPr>
      <w:spacing w:before="0" w:after="0" w:line="400" w:lineRule="exact"/>
      <w:jc w:val="both"/>
    </w:pPr>
    <w:rPr>
      <w:rFonts w:eastAsia="黑体"/>
      <w:b w:val="0"/>
      <w:kern w:val="2"/>
      <w:sz w:val="24"/>
      <w:lang w:val="en-US"/>
    </w:rPr>
  </w:style>
  <w:style w:type="paragraph" w:customStyle="1" w:styleId="161">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2">
    <w:name w:val="xl8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3">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xl7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5">
    <w:name w:val="xl8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6">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67">
    <w:name w:val="xl8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8">
    <w:name w:val="xl8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9">
    <w:name w:val="font11"/>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70">
    <w:name w:val="正文文字缩进"/>
    <w:basedOn w:val="1"/>
    <w:next w:val="1"/>
    <w:autoRedefine/>
    <w:qFormat/>
    <w:uiPriority w:val="0"/>
    <w:pPr>
      <w:widowControl/>
      <w:ind w:left="420"/>
    </w:pPr>
    <w:rPr>
      <w:rFonts w:ascii="仿宋_GB2312" w:hAnsi="Times New Roman" w:eastAsia="仿宋_GB2312"/>
      <w:color w:val="000000"/>
      <w:sz w:val="30"/>
      <w:szCs w:val="24"/>
    </w:rPr>
  </w:style>
  <w:style w:type="paragraph" w:customStyle="1" w:styleId="171">
    <w:name w:val="xl8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2">
    <w:name w:val="xl8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73">
    <w:name w:val="xl8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Style1"/>
    <w:basedOn w:val="1"/>
    <w:autoRedefine/>
    <w:qFormat/>
    <w:uiPriority w:val="0"/>
    <w:pPr>
      <w:adjustRightInd w:val="0"/>
      <w:jc w:val="left"/>
    </w:pPr>
    <w:rPr>
      <w:rFonts w:ascii="宋体"/>
      <w:kern w:val="0"/>
      <w:sz w:val="24"/>
      <w:szCs w:val="24"/>
    </w:rPr>
  </w:style>
  <w:style w:type="paragraph" w:customStyle="1" w:styleId="175">
    <w:name w:val="xl8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6">
    <w:name w:val="xl7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7">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8">
    <w:name w:val="Char"/>
    <w:basedOn w:val="1"/>
    <w:autoRedefine/>
    <w:qFormat/>
    <w:uiPriority w:val="0"/>
    <w:rPr>
      <w:rFonts w:ascii="宋体" w:hAnsi="Times New Roman"/>
      <w:kern w:val="0"/>
      <w:sz w:val="24"/>
      <w:szCs w:val="24"/>
    </w:rPr>
  </w:style>
  <w:style w:type="paragraph" w:customStyle="1" w:styleId="179">
    <w:name w:val="图标题"/>
    <w:basedOn w:val="1"/>
    <w:autoRedefine/>
    <w:qFormat/>
    <w:uiPriority w:val="0"/>
    <w:pPr>
      <w:spacing w:line="360" w:lineRule="auto"/>
      <w:jc w:val="center"/>
    </w:pPr>
    <w:rPr>
      <w:rFonts w:ascii="Times New Roman" w:hAnsi="Times New Roman"/>
      <w:szCs w:val="24"/>
    </w:rPr>
  </w:style>
  <w:style w:type="paragraph" w:customStyle="1" w:styleId="180">
    <w:name w:val="xl7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
    <w:name w:val="xl8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2">
    <w:name w:val="xl8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xl8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4">
    <w:name w:val="xl8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5">
    <w:name w:val="font8"/>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86">
    <w:name w:val="xl7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7">
    <w:name w:val="列出段落2"/>
    <w:basedOn w:val="1"/>
    <w:autoRedefine/>
    <w:qFormat/>
    <w:uiPriority w:val="34"/>
    <w:pPr>
      <w:ind w:firstLine="420" w:firstLineChars="200"/>
    </w:pPr>
  </w:style>
  <w:style w:type="paragraph" w:customStyle="1" w:styleId="188">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
    <w:name w:val="xl8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0">
    <w:name w:val="font1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1">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2">
    <w:name w:val="Char1 Char Char Char"/>
    <w:basedOn w:val="1"/>
    <w:autoRedefine/>
    <w:qFormat/>
    <w:uiPriority w:val="0"/>
    <w:rPr>
      <w:rFonts w:ascii="Tahoma" w:hAnsi="Tahoma"/>
      <w:sz w:val="24"/>
      <w:szCs w:val="20"/>
    </w:rPr>
  </w:style>
  <w:style w:type="paragraph" w:customStyle="1" w:styleId="193">
    <w:name w:val="样式1"/>
    <w:basedOn w:val="1"/>
    <w:link w:val="194"/>
    <w:autoRedefine/>
    <w:qFormat/>
    <w:uiPriority w:val="0"/>
    <w:pPr>
      <w:spacing w:before="120" w:after="120" w:line="300" w:lineRule="auto"/>
    </w:pPr>
    <w:rPr>
      <w:rFonts w:ascii="宋体" w:hAnsi="宋体"/>
      <w:b/>
      <w:sz w:val="24"/>
      <w:szCs w:val="20"/>
    </w:rPr>
  </w:style>
  <w:style w:type="character" w:customStyle="1" w:styleId="194">
    <w:name w:val="样式1 Char"/>
    <w:link w:val="193"/>
    <w:autoRedefine/>
    <w:qFormat/>
    <w:uiPriority w:val="0"/>
    <w:rPr>
      <w:rFonts w:ascii="宋体" w:hAnsi="宋体" w:eastAsia="宋体" w:cs="Times New Roman"/>
      <w:b/>
      <w:sz w:val="24"/>
      <w:szCs w:val="20"/>
    </w:rPr>
  </w:style>
  <w:style w:type="paragraph" w:customStyle="1" w:styleId="195">
    <w:name w:val="xl8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6">
    <w:name w:val="xl8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7">
    <w:name w:val="Style2"/>
    <w:basedOn w:val="1"/>
    <w:autoRedefine/>
    <w:qFormat/>
    <w:uiPriority w:val="0"/>
    <w:pPr>
      <w:adjustRightInd w:val="0"/>
      <w:spacing w:line="533" w:lineRule="exact"/>
      <w:jc w:val="left"/>
    </w:pPr>
    <w:rPr>
      <w:rFonts w:ascii="宋体"/>
      <w:kern w:val="0"/>
      <w:sz w:val="24"/>
      <w:szCs w:val="24"/>
    </w:rPr>
  </w:style>
  <w:style w:type="paragraph" w:customStyle="1" w:styleId="198">
    <w:name w:val="font1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9">
    <w:name w:val="xl7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01">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paragraph" w:customStyle="1" w:styleId="202">
    <w:name w:val="TOC 标题1"/>
    <w:basedOn w:val="3"/>
    <w:next w:val="1"/>
    <w:autoRedefine/>
    <w:qFormat/>
    <w:uiPriority w:val="39"/>
    <w:pPr>
      <w:keepLines/>
      <w:widowControl w:val="0"/>
      <w:spacing w:before="340" w:after="330" w:line="576" w:lineRule="auto"/>
      <w:ind w:left="0" w:firstLine="0"/>
      <w:jc w:val="both"/>
      <w:outlineLvl w:val="9"/>
    </w:pPr>
    <w:rPr>
      <w:rFonts w:ascii="Calibri" w:hAnsi="Calibri" w:cs="Times New Roman"/>
      <w:b w:val="0"/>
      <w:bCs/>
      <w:kern w:val="44"/>
      <w:sz w:val="44"/>
      <w:szCs w:val="44"/>
    </w:rPr>
  </w:style>
  <w:style w:type="paragraph" w:customStyle="1" w:styleId="203">
    <w:name w:val="表内文字居左"/>
    <w:autoRedefine/>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04">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xl8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7">
    <w:name w:val="xl8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正文文字缩进 2"/>
    <w:basedOn w:val="1"/>
    <w:next w:val="1"/>
    <w:autoRedefine/>
    <w:qFormat/>
    <w:uiPriority w:val="0"/>
    <w:pPr>
      <w:widowControl/>
      <w:spacing w:line="288" w:lineRule="auto"/>
      <w:ind w:firstLine="560"/>
    </w:pPr>
    <w:rPr>
      <w:rFonts w:ascii="宋体" w:hAnsi="Times New Roman"/>
      <w:color w:val="000000"/>
      <w:sz w:val="28"/>
      <w:szCs w:val="24"/>
    </w:rPr>
  </w:style>
  <w:style w:type="paragraph" w:customStyle="1" w:styleId="209">
    <w:name w:val="xl8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Cs w:val="21"/>
    </w:rPr>
  </w:style>
  <w:style w:type="character" w:customStyle="1" w:styleId="211">
    <w:name w:val="样式 正文 +"/>
    <w:autoRedefine/>
    <w:qFormat/>
    <w:uiPriority w:val="0"/>
    <w:rPr>
      <w:rFonts w:hint="default" w:ascii="Times New Roman" w:hAnsi="Times New Roman" w:eastAsia="Times New Roman" w:cs="Times New Roman"/>
      <w:kern w:val="0"/>
      <w:sz w:val="28"/>
    </w:rPr>
  </w:style>
  <w:style w:type="character" w:customStyle="1" w:styleId="212">
    <w:name w:val="文档结构图 Char1"/>
    <w:autoRedefine/>
    <w:qFormat/>
    <w:uiPriority w:val="99"/>
    <w:rPr>
      <w:rFonts w:hint="eastAsia" w:ascii="宋体" w:hAnsi="宋体" w:eastAsia="宋体"/>
      <w:kern w:val="2"/>
      <w:sz w:val="18"/>
      <w:szCs w:val="18"/>
    </w:rPr>
  </w:style>
  <w:style w:type="character" w:customStyle="1" w:styleId="213">
    <w:name w:val="Font Style18"/>
    <w:autoRedefine/>
    <w:qFormat/>
    <w:uiPriority w:val="0"/>
    <w:rPr>
      <w:rFonts w:hint="default" w:ascii="Candara" w:hAnsi="Candara" w:cs="Candara"/>
      <w:spacing w:val="-20"/>
      <w:sz w:val="20"/>
      <w:szCs w:val="20"/>
    </w:rPr>
  </w:style>
  <w:style w:type="character" w:customStyle="1" w:styleId="214">
    <w:name w:val="Font Style15"/>
    <w:autoRedefine/>
    <w:qFormat/>
    <w:uiPriority w:val="0"/>
    <w:rPr>
      <w:rFonts w:hint="eastAsia" w:ascii="宋体" w:hAnsi="宋体" w:eastAsia="宋体" w:cs="宋体"/>
      <w:b/>
      <w:bCs/>
      <w:sz w:val="20"/>
      <w:szCs w:val="20"/>
    </w:rPr>
  </w:style>
  <w:style w:type="character" w:customStyle="1" w:styleId="215">
    <w:name w:val="xmfy Char Char Char"/>
    <w:autoRedefine/>
    <w:qFormat/>
    <w:uiPriority w:val="0"/>
    <w:rPr>
      <w:rFonts w:hint="eastAsia" w:ascii="宋体" w:hAnsi="宋体" w:eastAsia="宋体" w:cs="宋体"/>
      <w:kern w:val="2"/>
      <w:sz w:val="28"/>
      <w:szCs w:val="28"/>
      <w:lang w:val="en-US" w:eastAsia="zh-CN" w:bidi="ar-SA"/>
    </w:rPr>
  </w:style>
  <w:style w:type="character" w:customStyle="1" w:styleId="216">
    <w:name w:val="Char Char1"/>
    <w:autoRedefine/>
    <w:qFormat/>
    <w:uiPriority w:val="0"/>
    <w:rPr>
      <w:sz w:val="24"/>
    </w:rPr>
  </w:style>
  <w:style w:type="character" w:customStyle="1" w:styleId="217">
    <w:name w:val="不明显参考1"/>
    <w:autoRedefine/>
    <w:qFormat/>
    <w:uiPriority w:val="31"/>
    <w:rPr>
      <w:smallCaps/>
      <w:color w:val="C0504D"/>
      <w:u w:val="single"/>
    </w:rPr>
  </w:style>
  <w:style w:type="character" w:customStyle="1" w:styleId="218">
    <w:name w:val="文字加横线"/>
    <w:autoRedefine/>
    <w:qFormat/>
    <w:uiPriority w:val="0"/>
    <w:rPr>
      <w:u w:val="single"/>
    </w:rPr>
  </w:style>
  <w:style w:type="character" w:customStyle="1" w:styleId="219">
    <w:name w:val="text1"/>
    <w:autoRedefine/>
    <w:qFormat/>
    <w:uiPriority w:val="0"/>
    <w:rPr>
      <w:spacing w:val="280"/>
      <w:sz w:val="18"/>
      <w:szCs w:val="18"/>
    </w:rPr>
  </w:style>
  <w:style w:type="character" w:customStyle="1" w:styleId="220">
    <w:name w:val="不明显强调1"/>
    <w:autoRedefine/>
    <w:qFormat/>
    <w:uiPriority w:val="19"/>
    <w:rPr>
      <w:i/>
      <w:iCs/>
      <w:color w:val="808080"/>
    </w:rPr>
  </w:style>
  <w:style w:type="character" w:customStyle="1" w:styleId="221">
    <w:name w:val="书籍标题1"/>
    <w:autoRedefine/>
    <w:qFormat/>
    <w:uiPriority w:val="33"/>
    <w:rPr>
      <w:b/>
      <w:bCs/>
      <w:smallCaps/>
      <w:spacing w:val="5"/>
    </w:rPr>
  </w:style>
  <w:style w:type="character" w:customStyle="1" w:styleId="222">
    <w:name w:val="批注框文本 Char1"/>
    <w:link w:val="223"/>
    <w:autoRedefine/>
    <w:qFormat/>
    <w:uiPriority w:val="0"/>
    <w:rPr>
      <w:sz w:val="18"/>
      <w:szCs w:val="18"/>
    </w:rPr>
  </w:style>
  <w:style w:type="paragraph" w:customStyle="1" w:styleId="223">
    <w:name w:val="批注框文本2"/>
    <w:basedOn w:val="1"/>
    <w:link w:val="222"/>
    <w:autoRedefine/>
    <w:qFormat/>
    <w:uiPriority w:val="0"/>
    <w:rPr>
      <w:rFonts w:asciiTheme="minorHAnsi" w:hAnsiTheme="minorHAnsi" w:eastAsiaTheme="minorEastAsia" w:cstheme="minorBidi"/>
      <w:sz w:val="18"/>
      <w:szCs w:val="18"/>
    </w:rPr>
  </w:style>
  <w:style w:type="character" w:customStyle="1" w:styleId="224">
    <w:name w:val="textcontents"/>
    <w:autoRedefine/>
    <w:qFormat/>
    <w:uiPriority w:val="0"/>
    <w:rPr>
      <w:rFonts w:hint="default" w:ascii="Times New Roman" w:hAnsi="Times New Roman" w:cs="Times New Roman"/>
    </w:rPr>
  </w:style>
  <w:style w:type="character" w:customStyle="1" w:styleId="225">
    <w:name w:val="副标题 Char1"/>
    <w:autoRedefine/>
    <w:qFormat/>
    <w:uiPriority w:val="0"/>
    <w:rPr>
      <w:rFonts w:hint="default" w:ascii="Cambria" w:hAnsi="Cambria" w:cs="Times New Roman"/>
      <w:b/>
      <w:bCs/>
      <w:kern w:val="28"/>
      <w:sz w:val="32"/>
      <w:szCs w:val="32"/>
    </w:rPr>
  </w:style>
  <w:style w:type="character" w:customStyle="1" w:styleId="226">
    <w:name w:val="批注文字 Char Char"/>
    <w:autoRedefine/>
    <w:qFormat/>
    <w:uiPriority w:val="0"/>
    <w:rPr>
      <w:rFonts w:hint="eastAsia" w:ascii="宋体" w:hAnsi="Times New Roman" w:eastAsia="宋体" w:cs="Times New Roman"/>
      <w:sz w:val="28"/>
      <w:szCs w:val="20"/>
    </w:rPr>
  </w:style>
  <w:style w:type="character" w:customStyle="1" w:styleId="227">
    <w:name w:val="Font Style13"/>
    <w:autoRedefine/>
    <w:qFormat/>
    <w:uiPriority w:val="0"/>
    <w:rPr>
      <w:rFonts w:hint="eastAsia" w:ascii="宋体" w:hAnsi="宋体" w:eastAsia="宋体" w:cs="宋体"/>
      <w:b/>
      <w:bCs/>
      <w:spacing w:val="500"/>
      <w:sz w:val="48"/>
      <w:szCs w:val="48"/>
    </w:rPr>
  </w:style>
  <w:style w:type="character" w:customStyle="1" w:styleId="228">
    <w:name w:val="HTML 预设格式 Char1"/>
    <w:autoRedefine/>
    <w:qFormat/>
    <w:uiPriority w:val="0"/>
    <w:rPr>
      <w:rFonts w:hint="default" w:ascii="Courier New" w:hAnsi="Courier New" w:cs="Courier New"/>
      <w:kern w:val="2"/>
    </w:rPr>
  </w:style>
  <w:style w:type="character" w:customStyle="1" w:styleId="229">
    <w:name w:val="标题 Char1"/>
    <w:autoRedefine/>
    <w:qFormat/>
    <w:uiPriority w:val="0"/>
    <w:rPr>
      <w:rFonts w:hint="default" w:ascii="Cambria" w:hAnsi="Cambria" w:cs="Times New Roman"/>
      <w:b/>
      <w:bCs/>
      <w:kern w:val="2"/>
      <w:sz w:val="32"/>
      <w:szCs w:val="32"/>
    </w:rPr>
  </w:style>
  <w:style w:type="character" w:customStyle="1" w:styleId="230">
    <w:name w:val="批注主题 Char1"/>
    <w:link w:val="231"/>
    <w:autoRedefine/>
    <w:qFormat/>
    <w:uiPriority w:val="0"/>
    <w:rPr>
      <w:b/>
      <w:bCs/>
    </w:rPr>
  </w:style>
  <w:style w:type="paragraph" w:customStyle="1" w:styleId="231">
    <w:name w:val="批注主题2"/>
    <w:basedOn w:val="232"/>
    <w:next w:val="232"/>
    <w:link w:val="230"/>
    <w:autoRedefine/>
    <w:qFormat/>
    <w:uiPriority w:val="0"/>
    <w:rPr>
      <w:rFonts w:asciiTheme="minorHAnsi" w:hAnsiTheme="minorHAnsi" w:eastAsiaTheme="minorEastAsia" w:cstheme="minorBidi"/>
      <w:b/>
      <w:bCs/>
      <w:szCs w:val="22"/>
    </w:rPr>
  </w:style>
  <w:style w:type="paragraph" w:customStyle="1" w:styleId="232">
    <w:name w:val="批注文字2"/>
    <w:basedOn w:val="1"/>
    <w:autoRedefine/>
    <w:qFormat/>
    <w:uiPriority w:val="0"/>
    <w:pPr>
      <w:jc w:val="left"/>
    </w:pPr>
    <w:rPr>
      <w:szCs w:val="20"/>
    </w:rPr>
  </w:style>
  <w:style w:type="character" w:customStyle="1" w:styleId="233">
    <w:name w:val="Font Style16"/>
    <w:autoRedefine/>
    <w:qFormat/>
    <w:uiPriority w:val="0"/>
    <w:rPr>
      <w:rFonts w:hint="default" w:ascii="Times New Roman" w:hAnsi="Times New Roman" w:cs="Times New Roman"/>
      <w:sz w:val="22"/>
      <w:szCs w:val="22"/>
    </w:rPr>
  </w:style>
  <w:style w:type="character" w:customStyle="1" w:styleId="234">
    <w:name w:val="style11"/>
    <w:autoRedefine/>
    <w:qFormat/>
    <w:uiPriority w:val="0"/>
    <w:rPr>
      <w:color w:val="000000"/>
      <w:sz w:val="18"/>
      <w:szCs w:val="18"/>
    </w:rPr>
  </w:style>
  <w:style w:type="character" w:customStyle="1" w:styleId="235">
    <w:name w:val="Font Style14"/>
    <w:autoRedefine/>
    <w:qFormat/>
    <w:uiPriority w:val="0"/>
    <w:rPr>
      <w:rFonts w:hint="eastAsia" w:ascii="宋体" w:hAnsi="宋体" w:eastAsia="宋体" w:cs="宋体"/>
      <w:sz w:val="22"/>
      <w:szCs w:val="22"/>
    </w:rPr>
  </w:style>
  <w:style w:type="character" w:customStyle="1" w:styleId="236">
    <w:name w:val="明显强调1"/>
    <w:autoRedefine/>
    <w:qFormat/>
    <w:uiPriority w:val="21"/>
    <w:rPr>
      <w:b/>
      <w:bCs/>
      <w:i/>
      <w:iCs/>
      <w:color w:val="4F81BD"/>
    </w:rPr>
  </w:style>
  <w:style w:type="character" w:customStyle="1" w:styleId="237">
    <w:name w:val="Font Style11"/>
    <w:autoRedefine/>
    <w:qFormat/>
    <w:uiPriority w:val="0"/>
    <w:rPr>
      <w:rFonts w:hint="eastAsia" w:ascii="宋体" w:hAnsi="宋体" w:eastAsia="宋体" w:cs="宋体"/>
      <w:sz w:val="22"/>
      <w:szCs w:val="22"/>
    </w:rPr>
  </w:style>
  <w:style w:type="character" w:customStyle="1" w:styleId="238">
    <w:name w:val="日期 Char1"/>
    <w:autoRedefine/>
    <w:qFormat/>
    <w:uiPriority w:val="0"/>
    <w:rPr>
      <w:kern w:val="2"/>
      <w:sz w:val="21"/>
      <w:szCs w:val="22"/>
    </w:rPr>
  </w:style>
  <w:style w:type="character" w:customStyle="1" w:styleId="239">
    <w:name w:val="正文文本 Char1"/>
    <w:autoRedefine/>
    <w:qFormat/>
    <w:uiPriority w:val="0"/>
    <w:rPr>
      <w:kern w:val="2"/>
      <w:sz w:val="21"/>
      <w:szCs w:val="22"/>
    </w:rPr>
  </w:style>
  <w:style w:type="character" w:customStyle="1" w:styleId="240">
    <w:name w:val="明显参考1"/>
    <w:autoRedefine/>
    <w:qFormat/>
    <w:uiPriority w:val="32"/>
    <w:rPr>
      <w:b/>
      <w:bCs/>
      <w:smallCaps/>
      <w:color w:val="C0504D"/>
      <w:spacing w:val="5"/>
      <w:u w:val="single"/>
    </w:rPr>
  </w:style>
  <w:style w:type="paragraph" w:customStyle="1" w:styleId="241">
    <w:name w:val="Char1"/>
    <w:basedOn w:val="1"/>
    <w:autoRedefine/>
    <w:qFormat/>
    <w:uiPriority w:val="0"/>
    <w:rPr>
      <w:rFonts w:ascii="Times New Roman" w:hAnsi="Times New Roman"/>
      <w:szCs w:val="24"/>
    </w:rPr>
  </w:style>
  <w:style w:type="character" w:customStyle="1" w:styleId="242">
    <w:name w:val="font112"/>
    <w:autoRedefine/>
    <w:qFormat/>
    <w:uiPriority w:val="0"/>
    <w:rPr>
      <w:rFonts w:hint="eastAsia" w:ascii="宋体" w:hAnsi="宋体" w:eastAsia="宋体" w:cs="宋体"/>
      <w:color w:val="000000"/>
      <w:sz w:val="20"/>
      <w:szCs w:val="20"/>
      <w:u w:val="none"/>
    </w:rPr>
  </w:style>
  <w:style w:type="character" w:customStyle="1" w:styleId="243">
    <w:name w:val="font41"/>
    <w:autoRedefine/>
    <w:qFormat/>
    <w:uiPriority w:val="0"/>
    <w:rPr>
      <w:rFonts w:hint="eastAsia" w:ascii="宋体" w:hAnsi="宋体" w:eastAsia="宋体" w:cs="宋体"/>
      <w:color w:val="000000"/>
      <w:sz w:val="21"/>
      <w:szCs w:val="21"/>
      <w:u w:val="none"/>
    </w:rPr>
  </w:style>
  <w:style w:type="character" w:customStyle="1" w:styleId="244">
    <w:name w:val="font81"/>
    <w:autoRedefine/>
    <w:qFormat/>
    <w:uiPriority w:val="0"/>
    <w:rPr>
      <w:rFonts w:hint="default" w:ascii="Times New Roman" w:hAnsi="Times New Roman" w:cs="Times New Roman"/>
      <w:color w:val="000000"/>
      <w:sz w:val="21"/>
      <w:szCs w:val="21"/>
      <w:u w:val="none"/>
    </w:rPr>
  </w:style>
  <w:style w:type="character" w:customStyle="1" w:styleId="245">
    <w:name w:val="font71"/>
    <w:autoRedefine/>
    <w:qFormat/>
    <w:uiPriority w:val="0"/>
    <w:rPr>
      <w:rFonts w:hint="default" w:ascii="Times New Roman" w:hAnsi="Times New Roman" w:cs="Times New Roman"/>
      <w:color w:val="000000"/>
      <w:sz w:val="20"/>
      <w:szCs w:val="20"/>
      <w:u w:val="none"/>
    </w:rPr>
  </w:style>
  <w:style w:type="character" w:customStyle="1" w:styleId="246">
    <w:name w:val="font21"/>
    <w:autoRedefine/>
    <w:qFormat/>
    <w:uiPriority w:val="0"/>
    <w:rPr>
      <w:rFonts w:hint="default" w:ascii="Arial" w:hAnsi="Arial" w:cs="Arial"/>
      <w:color w:val="000000"/>
      <w:sz w:val="20"/>
      <w:szCs w:val="20"/>
      <w:u w:val="none"/>
    </w:rPr>
  </w:style>
  <w:style w:type="paragraph" w:customStyle="1" w:styleId="247">
    <w:name w:val="列出段落3"/>
    <w:basedOn w:val="1"/>
    <w:link w:val="248"/>
    <w:autoRedefine/>
    <w:qFormat/>
    <w:uiPriority w:val="34"/>
    <w:pPr>
      <w:ind w:firstLine="420" w:firstLineChars="200"/>
    </w:pPr>
  </w:style>
  <w:style w:type="character" w:customStyle="1" w:styleId="248">
    <w:name w:val="列出段落 Char"/>
    <w:link w:val="247"/>
    <w:autoRedefine/>
    <w:qFormat/>
    <w:uiPriority w:val="34"/>
    <w:rPr>
      <w:rFonts w:ascii="Calibri" w:hAnsi="Calibri" w:eastAsia="宋体" w:cs="Times New Roman"/>
    </w:rPr>
  </w:style>
  <w:style w:type="paragraph" w:customStyle="1" w:styleId="249">
    <w:name w:val="正常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首缩两字"/>
    <w:basedOn w:val="1"/>
    <w:autoRedefine/>
    <w:qFormat/>
    <w:uiPriority w:val="0"/>
    <w:pPr>
      <w:spacing w:line="360" w:lineRule="auto"/>
      <w:ind w:firstLine="200" w:firstLineChars="200"/>
    </w:pPr>
    <w:rPr>
      <w:rFonts w:ascii="Verdana" w:hAnsi="Verdana"/>
      <w:sz w:val="24"/>
    </w:rPr>
  </w:style>
  <w:style w:type="paragraph" w:customStyle="1" w:styleId="251">
    <w:name w:val="列出段落31"/>
    <w:basedOn w:val="1"/>
    <w:autoRedefine/>
    <w:qFormat/>
    <w:uiPriority w:val="0"/>
    <w:pPr>
      <w:ind w:firstLine="420" w:firstLineChars="200"/>
    </w:pPr>
  </w:style>
  <w:style w:type="paragraph" w:customStyle="1" w:styleId="252">
    <w:name w:val="样式2"/>
    <w:basedOn w:val="1"/>
    <w:autoRedefine/>
    <w:qFormat/>
    <w:uiPriority w:val="0"/>
    <w:pPr>
      <w:numPr>
        <w:ilvl w:val="1"/>
        <w:numId w:val="2"/>
      </w:numPr>
      <w:textAlignment w:val="baseline"/>
    </w:pPr>
    <w:rPr>
      <w:rFonts w:ascii="宋体"/>
      <w:szCs w:val="21"/>
    </w:rPr>
  </w:style>
  <w:style w:type="character" w:customStyle="1" w:styleId="253">
    <w:name w:val="批注文字 字符"/>
    <w:autoRedefine/>
    <w:semiHidden/>
    <w:qFormat/>
    <w:uiPriority w:val="99"/>
    <w:rPr>
      <w:kern w:val="2"/>
      <w:sz w:val="21"/>
      <w:szCs w:val="22"/>
    </w:rPr>
  </w:style>
  <w:style w:type="paragraph" w:customStyle="1" w:styleId="254">
    <w:name w:val="无间隔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256">
    <w:name w:val="列出段落6"/>
    <w:basedOn w:val="1"/>
    <w:autoRedefine/>
    <w:qFormat/>
    <w:uiPriority w:val="0"/>
    <w:pPr>
      <w:ind w:firstLine="420" w:firstLineChars="200"/>
    </w:pPr>
  </w:style>
  <w:style w:type="character" w:customStyle="1" w:styleId="257">
    <w:name w:val="占位符文本1"/>
    <w:autoRedefine/>
    <w:unhideWhenUsed/>
    <w:qFormat/>
    <w:uiPriority w:val="99"/>
    <w:rPr>
      <w:color w:val="808080"/>
    </w:rPr>
  </w:style>
  <w:style w:type="paragraph" w:customStyle="1" w:styleId="258">
    <w:name w:val="List Paragraph2"/>
    <w:basedOn w:val="1"/>
    <w:autoRedefine/>
    <w:qFormat/>
    <w:uiPriority w:val="34"/>
    <w:pPr>
      <w:widowControl/>
      <w:ind w:firstLine="420" w:firstLineChars="200"/>
      <w:jc w:val="left"/>
    </w:pPr>
    <w:rPr>
      <w:rFonts w:ascii="宋体"/>
      <w:kern w:val="0"/>
      <w:sz w:val="24"/>
      <w:szCs w:val="24"/>
    </w:rPr>
  </w:style>
  <w:style w:type="character" w:customStyle="1" w:styleId="259">
    <w:name w:val="font01"/>
    <w:autoRedefine/>
    <w:qFormat/>
    <w:uiPriority w:val="0"/>
    <w:rPr>
      <w:rFonts w:ascii="font-weight : 400" w:hAnsi="font-weight : 400" w:eastAsia="font-weight : 400" w:cs="font-weight : 400"/>
      <w:color w:val="000000"/>
      <w:sz w:val="22"/>
      <w:szCs w:val="22"/>
      <w:u w:val="none"/>
    </w:rPr>
  </w:style>
  <w:style w:type="character" w:customStyle="1" w:styleId="260">
    <w:name w:val="font61"/>
    <w:autoRedefine/>
    <w:qFormat/>
    <w:uiPriority w:val="0"/>
    <w:rPr>
      <w:rFonts w:ascii="宋体" w:hAnsi="宋体" w:eastAsia="宋体" w:cs="宋体"/>
      <w:color w:val="000000"/>
      <w:sz w:val="22"/>
      <w:szCs w:val="22"/>
      <w:u w:val="none"/>
    </w:rPr>
  </w:style>
  <w:style w:type="character" w:customStyle="1" w:styleId="261">
    <w:name w:val="font141"/>
    <w:autoRedefine/>
    <w:qFormat/>
    <w:uiPriority w:val="0"/>
    <w:rPr>
      <w:rFonts w:hint="eastAsia" w:ascii="宋体" w:hAnsi="宋体" w:eastAsia="宋体" w:cs="宋体"/>
      <w:color w:val="000000"/>
      <w:sz w:val="22"/>
      <w:szCs w:val="22"/>
      <w:u w:val="none"/>
    </w:rPr>
  </w:style>
  <w:style w:type="paragraph" w:customStyle="1" w:styleId="262">
    <w:name w:val="修订2"/>
    <w:autoRedefine/>
    <w:unhideWhenUsed/>
    <w:qFormat/>
    <w:uiPriority w:val="99"/>
    <w:rPr>
      <w:rFonts w:ascii="Calibri" w:hAnsi="Calibri" w:eastAsia="宋体" w:cs="Times New Roman"/>
      <w:kern w:val="2"/>
      <w:sz w:val="21"/>
      <w:szCs w:val="22"/>
      <w:lang w:val="en-US" w:eastAsia="zh-CN" w:bidi="ar-SA"/>
    </w:rPr>
  </w:style>
  <w:style w:type="paragraph" w:customStyle="1" w:styleId="263">
    <w:name w:val="修订3"/>
    <w:autoRedefine/>
    <w:unhideWhenUsed/>
    <w:qFormat/>
    <w:uiPriority w:val="99"/>
    <w:rPr>
      <w:rFonts w:ascii="Calibri" w:hAnsi="Calibri" w:eastAsia="宋体" w:cs="Times New Roman"/>
      <w:kern w:val="2"/>
      <w:sz w:val="21"/>
      <w:szCs w:val="22"/>
      <w:lang w:val="en-US" w:eastAsia="zh-CN" w:bidi="ar-SA"/>
    </w:rPr>
  </w:style>
  <w:style w:type="paragraph" w:customStyle="1" w:styleId="264">
    <w:name w:val="修订4"/>
    <w:autoRedefine/>
    <w:unhideWhenUsed/>
    <w:qFormat/>
    <w:uiPriority w:val="99"/>
    <w:rPr>
      <w:rFonts w:ascii="Calibri" w:hAnsi="Calibri" w:eastAsia="宋体" w:cs="Times New Roman"/>
      <w:kern w:val="2"/>
      <w:sz w:val="21"/>
      <w:szCs w:val="22"/>
      <w:lang w:val="en-US" w:eastAsia="zh-CN" w:bidi="ar-SA"/>
    </w:rPr>
  </w:style>
  <w:style w:type="paragraph" w:customStyle="1" w:styleId="265">
    <w:name w:val="标题 + 仿宋_GB2312"/>
    <w:basedOn w:val="1"/>
    <w:autoRedefine/>
    <w:qFormat/>
    <w:uiPriority w:val="99"/>
    <w:pPr>
      <w:numPr>
        <w:ilvl w:val="0"/>
        <w:numId w:val="3"/>
      </w:numPr>
      <w:spacing w:before="120" w:line="360" w:lineRule="auto"/>
    </w:pPr>
    <w:rPr>
      <w:rFonts w:ascii="仿宋_GB2312" w:hAnsi="宋体" w:eastAsia="仿宋_GB2312"/>
      <w:b/>
      <w:color w:val="000000"/>
      <w:sz w:val="24"/>
      <w:szCs w:val="24"/>
    </w:rPr>
  </w:style>
  <w:style w:type="paragraph" w:customStyle="1" w:styleId="266">
    <w:name w:val="样式 标题 1 + 四号 居中 段前: 12 磅 段后: 12 磅 行距: 单倍行距"/>
    <w:basedOn w:val="3"/>
    <w:autoRedefine/>
    <w:qFormat/>
    <w:uiPriority w:val="0"/>
    <w:pPr>
      <w:keepLines/>
      <w:widowControl w:val="0"/>
      <w:tabs>
        <w:tab w:val="clear" w:pos="432"/>
      </w:tabs>
      <w:spacing w:before="240" w:after="240"/>
      <w:ind w:left="0" w:firstLine="288"/>
    </w:pPr>
    <w:rPr>
      <w:rFonts w:ascii="Times New Roman"/>
      <w:bCs/>
      <w:kern w:val="44"/>
      <w:lang w:val="en-US"/>
    </w:rPr>
  </w:style>
  <w:style w:type="paragraph" w:customStyle="1" w:styleId="267">
    <w:name w:val="Default"/>
    <w:autoRedefine/>
    <w:qFormat/>
    <w:uiPriority w:val="0"/>
    <w:pPr>
      <w:widowControl w:val="0"/>
      <w:autoSpaceDE w:val="0"/>
      <w:autoSpaceDN w:val="0"/>
      <w:adjustRightInd w:val="0"/>
    </w:pPr>
    <w:rPr>
      <w:rFonts w:ascii="Arial,Bold" w:hAnsi="Arial,Bold" w:eastAsia="Times New Roman" w:cs="Times New Roman"/>
      <w:lang w:val="en-US" w:eastAsia="en-US" w:bidi="ar-SA"/>
    </w:rPr>
  </w:style>
  <w:style w:type="paragraph" w:customStyle="1" w:styleId="268">
    <w:name w:val="修订5"/>
    <w:autoRedefine/>
    <w:unhideWhenUsed/>
    <w:qFormat/>
    <w:uiPriority w:val="99"/>
    <w:rPr>
      <w:rFonts w:ascii="Calibri" w:hAnsi="Calibri" w:eastAsia="宋体" w:cs="Times New Roman"/>
      <w:kern w:val="2"/>
      <w:sz w:val="21"/>
      <w:szCs w:val="22"/>
      <w:lang w:val="en-US" w:eastAsia="zh-CN" w:bidi="ar-SA"/>
    </w:rPr>
  </w:style>
  <w:style w:type="paragraph" w:customStyle="1" w:styleId="269">
    <w:name w:val="修订6"/>
    <w:autoRedefine/>
    <w:semiHidden/>
    <w:qFormat/>
    <w:uiPriority w:val="99"/>
    <w:rPr>
      <w:rFonts w:ascii="Calibri" w:hAnsi="Calibri" w:eastAsia="宋体" w:cs="Times New Roman"/>
      <w:kern w:val="2"/>
      <w:sz w:val="21"/>
      <w:szCs w:val="22"/>
      <w:lang w:val="en-US" w:eastAsia="zh-CN" w:bidi="ar-SA"/>
    </w:rPr>
  </w:style>
  <w:style w:type="paragraph" w:customStyle="1" w:styleId="270">
    <w:name w:val="修订7"/>
    <w:autoRedefine/>
    <w:semiHidden/>
    <w:qFormat/>
    <w:uiPriority w:val="99"/>
    <w:rPr>
      <w:rFonts w:ascii="Calibri" w:hAnsi="Calibri" w:eastAsia="宋体" w:cs="Times New Roman"/>
      <w:kern w:val="2"/>
      <w:sz w:val="21"/>
      <w:szCs w:val="22"/>
      <w:lang w:val="en-US" w:eastAsia="zh-CN" w:bidi="ar-SA"/>
    </w:rPr>
  </w:style>
  <w:style w:type="paragraph" w:customStyle="1" w:styleId="271">
    <w:name w:val="正文缩进1"/>
    <w:basedOn w:val="1"/>
    <w:autoRedefine/>
    <w:qFormat/>
    <w:uiPriority w:val="0"/>
    <w:pPr>
      <w:ind w:firstLine="420"/>
    </w:pPr>
    <w:rPr>
      <w:szCs w:val="20"/>
    </w:rPr>
  </w:style>
  <w:style w:type="character" w:customStyle="1" w:styleId="272">
    <w:name w:val="普通文字1 Char Char"/>
    <w:autoRedefine/>
    <w:qFormat/>
    <w:uiPriority w:val="0"/>
    <w:rPr>
      <w:rFonts w:ascii="宋体" w:hAnsi="Courier New"/>
    </w:rPr>
  </w:style>
  <w:style w:type="character" w:customStyle="1" w:styleId="273">
    <w:name w:val="apple-style-span"/>
    <w:autoRedefine/>
    <w:qFormat/>
    <w:uiPriority w:val="0"/>
  </w:style>
  <w:style w:type="character" w:customStyle="1" w:styleId="274">
    <w:name w:val="正文首行缩进 2 Char"/>
    <w:link w:val="275"/>
    <w:autoRedefine/>
    <w:qFormat/>
    <w:uiPriority w:val="0"/>
  </w:style>
  <w:style w:type="paragraph" w:customStyle="1" w:styleId="275">
    <w:name w:val="正文首行缩进 21"/>
    <w:basedOn w:val="276"/>
    <w:link w:val="274"/>
    <w:autoRedefine/>
    <w:qFormat/>
    <w:uiPriority w:val="0"/>
    <w:pPr>
      <w:tabs>
        <w:tab w:val="left" w:pos="8640"/>
      </w:tabs>
      <w:spacing w:after="120"/>
      <w:ind w:left="420" w:leftChars="200" w:firstLine="420" w:firstLineChars="200"/>
    </w:pPr>
    <w:rPr>
      <w:rFonts w:asciiTheme="minorHAnsi" w:hAnsiTheme="minorHAnsi" w:eastAsiaTheme="minorEastAsia" w:cstheme="minorBidi"/>
      <w:szCs w:val="22"/>
    </w:rPr>
  </w:style>
  <w:style w:type="paragraph" w:customStyle="1" w:styleId="276">
    <w:name w:val="正文文本缩进11"/>
    <w:basedOn w:val="1"/>
    <w:autoRedefine/>
    <w:qFormat/>
    <w:uiPriority w:val="0"/>
    <w:pPr>
      <w:tabs>
        <w:tab w:val="left" w:pos="8640"/>
      </w:tabs>
      <w:ind w:left="1365"/>
    </w:pPr>
    <w:rPr>
      <w:szCs w:val="20"/>
    </w:rPr>
  </w:style>
  <w:style w:type="character" w:customStyle="1" w:styleId="277">
    <w:name w:val="wj"/>
    <w:autoRedefine/>
    <w:qFormat/>
    <w:uiPriority w:val="0"/>
  </w:style>
  <w:style w:type="character" w:customStyle="1" w:styleId="278">
    <w:name w:val="h3 Char"/>
    <w:autoRedefine/>
    <w:qFormat/>
    <w:uiPriority w:val="0"/>
    <w:rPr>
      <w:rFonts w:eastAsia="宋体"/>
      <w:b/>
      <w:sz w:val="21"/>
      <w:lang w:val="en-US" w:eastAsia="zh-CN"/>
    </w:rPr>
  </w:style>
  <w:style w:type="character" w:customStyle="1" w:styleId="279">
    <w:name w:val="页码1"/>
    <w:autoRedefine/>
    <w:qFormat/>
    <w:uiPriority w:val="0"/>
  </w:style>
  <w:style w:type="paragraph" w:customStyle="1" w:styleId="280">
    <w:name w:val="页脚2"/>
    <w:basedOn w:val="1"/>
    <w:autoRedefine/>
    <w:qFormat/>
    <w:uiPriority w:val="0"/>
    <w:pPr>
      <w:tabs>
        <w:tab w:val="center" w:pos="4153"/>
        <w:tab w:val="right" w:pos="8306"/>
      </w:tabs>
      <w:snapToGrid w:val="0"/>
      <w:jc w:val="left"/>
    </w:pPr>
    <w:rPr>
      <w:sz w:val="18"/>
      <w:szCs w:val="20"/>
    </w:rPr>
  </w:style>
  <w:style w:type="character" w:customStyle="1" w:styleId="281">
    <w:name w:val="页码11"/>
    <w:autoRedefine/>
    <w:qFormat/>
    <w:uiPriority w:val="0"/>
  </w:style>
  <w:style w:type="character" w:customStyle="1" w:styleId="282">
    <w:name w:val="Char4"/>
    <w:autoRedefine/>
    <w:qFormat/>
    <w:uiPriority w:val="0"/>
    <w:rPr>
      <w:rFonts w:ascii="宋体" w:hAnsi="Courier New"/>
      <w:kern w:val="2"/>
      <w:sz w:val="21"/>
    </w:rPr>
  </w:style>
  <w:style w:type="character" w:customStyle="1" w:styleId="283">
    <w:name w:val="批注引用1"/>
    <w:autoRedefine/>
    <w:qFormat/>
    <w:uiPriority w:val="0"/>
    <w:rPr>
      <w:sz w:val="21"/>
    </w:rPr>
  </w:style>
  <w:style w:type="character" w:customStyle="1" w:styleId="284">
    <w:name w:val="已访问的超链接1"/>
    <w:autoRedefine/>
    <w:qFormat/>
    <w:uiPriority w:val="0"/>
    <w:rPr>
      <w:color w:val="800080"/>
      <w:u w:val="single"/>
    </w:rPr>
  </w:style>
  <w:style w:type="character" w:customStyle="1" w:styleId="285">
    <w:name w:val="正文首行缩进 Char"/>
    <w:link w:val="286"/>
    <w:autoRedefine/>
    <w:qFormat/>
    <w:uiPriority w:val="0"/>
    <w:rPr>
      <w:rFonts w:ascii="宋体"/>
      <w:spacing w:val="2"/>
      <w:sz w:val="24"/>
    </w:rPr>
  </w:style>
  <w:style w:type="paragraph" w:customStyle="1" w:styleId="286">
    <w:name w:val="正文首行缩进1"/>
    <w:basedOn w:val="1"/>
    <w:link w:val="285"/>
    <w:autoRedefine/>
    <w:qFormat/>
    <w:uiPriority w:val="0"/>
    <w:pPr>
      <w:snapToGrid w:val="0"/>
      <w:spacing w:before="120"/>
      <w:ind w:firstLine="476"/>
    </w:pPr>
    <w:rPr>
      <w:rFonts w:ascii="宋体" w:hAnsiTheme="minorHAnsi" w:eastAsiaTheme="minorEastAsia" w:cstheme="minorBidi"/>
      <w:spacing w:val="2"/>
      <w:sz w:val="24"/>
    </w:rPr>
  </w:style>
  <w:style w:type="character" w:customStyle="1" w:styleId="287">
    <w:name w:val="Char Char13"/>
    <w:autoRedefine/>
    <w:qFormat/>
    <w:uiPriority w:val="0"/>
    <w:rPr>
      <w:rFonts w:ascii="Times New Roman" w:hAnsi="Times New Roman" w:eastAsia="宋体"/>
      <w:kern w:val="0"/>
      <w:sz w:val="18"/>
    </w:rPr>
  </w:style>
  <w:style w:type="character" w:customStyle="1" w:styleId="288">
    <w:name w:val="Char2"/>
    <w:autoRedefine/>
    <w:qFormat/>
    <w:uiPriority w:val="0"/>
    <w:rPr>
      <w:rFonts w:ascii="宋体" w:hAnsi="Courier New" w:eastAsia="宋体"/>
      <w:kern w:val="2"/>
      <w:sz w:val="21"/>
      <w:lang w:val="en-US" w:eastAsia="zh-CN"/>
    </w:rPr>
  </w:style>
  <w:style w:type="character" w:customStyle="1" w:styleId="289">
    <w:name w:val="brandcolor1"/>
    <w:autoRedefine/>
    <w:qFormat/>
    <w:uiPriority w:val="0"/>
    <w:rPr>
      <w:color w:val="2685C1"/>
    </w:rPr>
  </w:style>
  <w:style w:type="paragraph" w:customStyle="1" w:styleId="290">
    <w:name w:val="正文文本缩进 31"/>
    <w:basedOn w:val="1"/>
    <w:autoRedefine/>
    <w:qFormat/>
    <w:uiPriority w:val="0"/>
    <w:pPr>
      <w:widowControl/>
      <w:spacing w:before="60" w:after="60" w:line="280" w:lineRule="atLeast"/>
      <w:ind w:firstLine="400"/>
    </w:pPr>
    <w:rPr>
      <w:rFonts w:ascii="宋体"/>
      <w:kern w:val="0"/>
      <w:szCs w:val="20"/>
    </w:rPr>
  </w:style>
  <w:style w:type="character" w:customStyle="1" w:styleId="291">
    <w:name w:val="Char5"/>
    <w:autoRedefine/>
    <w:qFormat/>
    <w:uiPriority w:val="0"/>
    <w:rPr>
      <w:b/>
      <w:sz w:val="32"/>
      <w:lang w:eastAsia="en-US"/>
    </w:rPr>
  </w:style>
  <w:style w:type="character" w:customStyle="1" w:styleId="292">
    <w:name w:val="tcnt3"/>
    <w:autoRedefine/>
    <w:qFormat/>
    <w:uiPriority w:val="0"/>
  </w:style>
  <w:style w:type="paragraph" w:customStyle="1" w:styleId="293">
    <w:name w:val="正文文本 21"/>
    <w:basedOn w:val="1"/>
    <w:autoRedefine/>
    <w:qFormat/>
    <w:uiPriority w:val="0"/>
    <w:pPr>
      <w:spacing w:after="120" w:line="480" w:lineRule="auto"/>
    </w:pPr>
    <w:rPr>
      <w:szCs w:val="20"/>
    </w:rPr>
  </w:style>
  <w:style w:type="character" w:customStyle="1" w:styleId="294">
    <w:name w:val="样式 宋体 小四 黑色"/>
    <w:autoRedefine/>
    <w:qFormat/>
    <w:uiPriority w:val="0"/>
    <w:rPr>
      <w:rFonts w:hint="eastAsia" w:ascii="宋体" w:hAnsi="宋体" w:eastAsia="楷体_GB2312"/>
      <w:color w:val="000000"/>
      <w:kern w:val="0"/>
      <w:sz w:val="24"/>
    </w:rPr>
  </w:style>
  <w:style w:type="character" w:customStyle="1" w:styleId="295">
    <w:name w:val="black9font1"/>
    <w:autoRedefine/>
    <w:qFormat/>
    <w:uiPriority w:val="0"/>
    <w:rPr>
      <w:rFonts w:hint="eastAsia" w:ascii="宋体" w:hAnsi="宋体" w:eastAsia="宋体"/>
      <w:sz w:val="18"/>
      <w:u w:val="none"/>
    </w:rPr>
  </w:style>
  <w:style w:type="paragraph" w:customStyle="1" w:styleId="296">
    <w:name w:val="页眉2"/>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297">
    <w:name w:val="Char Char12"/>
    <w:autoRedefine/>
    <w:qFormat/>
    <w:uiPriority w:val="0"/>
    <w:rPr>
      <w:rFonts w:eastAsia="宋体"/>
      <w:b/>
      <w:kern w:val="44"/>
      <w:sz w:val="44"/>
      <w:lang w:val="en-US" w:eastAsia="zh-CN"/>
    </w:rPr>
  </w:style>
  <w:style w:type="character" w:customStyle="1" w:styleId="298">
    <w:name w:val="tw4winMark"/>
    <w:autoRedefine/>
    <w:qFormat/>
    <w:uiPriority w:val="0"/>
    <w:rPr>
      <w:rFonts w:ascii="Courier New" w:hAnsi="Courier New"/>
      <w:vanish/>
      <w:color w:val="800080"/>
      <w:vertAlign w:val="subscript"/>
    </w:rPr>
  </w:style>
  <w:style w:type="character" w:customStyle="1" w:styleId="299">
    <w:name w:val="zz31"/>
    <w:autoRedefine/>
    <w:qFormat/>
    <w:uiPriority w:val="0"/>
    <w:rPr>
      <w:color w:val="000000"/>
      <w:sz w:val="18"/>
      <w:u w:val="none"/>
    </w:rPr>
  </w:style>
  <w:style w:type="character" w:customStyle="1" w:styleId="300">
    <w:name w:val="批注引用11"/>
    <w:autoRedefine/>
    <w:qFormat/>
    <w:uiPriority w:val="0"/>
    <w:rPr>
      <w:sz w:val="21"/>
    </w:rPr>
  </w:style>
  <w:style w:type="character" w:customStyle="1" w:styleId="301">
    <w:name w:val="font1"/>
    <w:autoRedefine/>
    <w:qFormat/>
    <w:uiPriority w:val="0"/>
    <w:rPr>
      <w:color w:val="000000"/>
      <w:sz w:val="18"/>
    </w:rPr>
  </w:style>
  <w:style w:type="character" w:customStyle="1" w:styleId="302">
    <w:name w:val="脚注引用1"/>
    <w:autoRedefine/>
    <w:qFormat/>
    <w:uiPriority w:val="0"/>
    <w:rPr>
      <w:vertAlign w:val="superscript"/>
    </w:rPr>
  </w:style>
  <w:style w:type="character" w:customStyle="1" w:styleId="303">
    <w:name w:val="标题三 Char"/>
    <w:link w:val="304"/>
    <w:autoRedefine/>
    <w:qFormat/>
    <w:uiPriority w:val="0"/>
    <w:rPr>
      <w:rFonts w:ascii="黑体" w:eastAsia="黑体"/>
      <w:kern w:val="44"/>
      <w:sz w:val="28"/>
    </w:rPr>
  </w:style>
  <w:style w:type="paragraph" w:customStyle="1" w:styleId="304">
    <w:name w:val="标题三"/>
    <w:basedOn w:val="3"/>
    <w:next w:val="305"/>
    <w:link w:val="303"/>
    <w:autoRedefine/>
    <w:qFormat/>
    <w:uiPriority w:val="0"/>
    <w:pPr>
      <w:keepLines/>
      <w:widowControl w:val="0"/>
      <w:tabs>
        <w:tab w:val="clear" w:pos="432"/>
      </w:tabs>
      <w:spacing w:before="340" w:after="330" w:line="576" w:lineRule="auto"/>
      <w:jc w:val="both"/>
    </w:pPr>
    <w:rPr>
      <w:rFonts w:eastAsia="黑体" w:hAnsiTheme="minorHAnsi" w:cstheme="minorBidi"/>
      <w:b w:val="0"/>
      <w:kern w:val="44"/>
      <w:szCs w:val="22"/>
      <w:lang w:val="en-US"/>
    </w:rPr>
  </w:style>
  <w:style w:type="paragraph" w:customStyle="1" w:styleId="305">
    <w:name w:val="正文文本1"/>
    <w:basedOn w:val="1"/>
    <w:autoRedefine/>
    <w:qFormat/>
    <w:uiPriority w:val="0"/>
    <w:pPr>
      <w:spacing w:line="288" w:lineRule="auto"/>
    </w:pPr>
    <w:rPr>
      <w:rFonts w:ascii="楷体_GB2312" w:eastAsia="楷体_GB2312" w:cs="Calibri"/>
      <w:color w:val="FF0000"/>
      <w:szCs w:val="20"/>
    </w:rPr>
  </w:style>
  <w:style w:type="character" w:customStyle="1" w:styleId="306">
    <w:name w:val="title_emph1"/>
    <w:autoRedefine/>
    <w:qFormat/>
    <w:uiPriority w:val="0"/>
    <w:rPr>
      <w:rFonts w:hint="default" w:ascii="Arial" w:hAnsi="Arial"/>
      <w:b/>
      <w:sz w:val="20"/>
    </w:rPr>
  </w:style>
  <w:style w:type="character" w:customStyle="1" w:styleId="307">
    <w:name w:val="编号列表 Char"/>
    <w:link w:val="308"/>
    <w:autoRedefine/>
    <w:qFormat/>
    <w:uiPriority w:val="0"/>
    <w:rPr>
      <w:rFonts w:ascii="Verdana" w:hAnsi="Verdana"/>
      <w:sz w:val="24"/>
    </w:rPr>
  </w:style>
  <w:style w:type="paragraph" w:customStyle="1" w:styleId="308">
    <w:name w:val="编号列表"/>
    <w:basedOn w:val="1"/>
    <w:link w:val="307"/>
    <w:autoRedefine/>
    <w:qFormat/>
    <w:uiPriority w:val="0"/>
    <w:pPr>
      <w:tabs>
        <w:tab w:val="left" w:pos="992"/>
      </w:tabs>
      <w:adjustRightInd w:val="0"/>
      <w:snapToGrid w:val="0"/>
      <w:spacing w:beforeLines="50" w:afterLines="50" w:line="360" w:lineRule="auto"/>
      <w:ind w:left="992" w:hanging="572"/>
    </w:pPr>
    <w:rPr>
      <w:rFonts w:ascii="Verdana" w:hAnsi="Verdana" w:eastAsiaTheme="minorEastAsia" w:cstheme="minorBidi"/>
      <w:sz w:val="24"/>
    </w:rPr>
  </w:style>
  <w:style w:type="character" w:customStyle="1" w:styleId="309">
    <w:name w:val="f121"/>
    <w:autoRedefine/>
    <w:qFormat/>
    <w:uiPriority w:val="0"/>
    <w:rPr>
      <w:sz w:val="20"/>
      <w:u w:val="none"/>
    </w:rPr>
  </w:style>
  <w:style w:type="paragraph" w:customStyle="1" w:styleId="310">
    <w:name w:val="日期2"/>
    <w:basedOn w:val="1"/>
    <w:next w:val="1"/>
    <w:autoRedefine/>
    <w:qFormat/>
    <w:uiPriority w:val="0"/>
    <w:rPr>
      <w:szCs w:val="20"/>
    </w:rPr>
  </w:style>
  <w:style w:type="paragraph" w:customStyle="1" w:styleId="311">
    <w:name w:val="标题一三"/>
    <w:basedOn w:val="1"/>
    <w:autoRedefine/>
    <w:qFormat/>
    <w:uiPriority w:val="0"/>
    <w:pPr>
      <w:widowControl/>
      <w:spacing w:line="360" w:lineRule="auto"/>
    </w:pPr>
    <w:rPr>
      <w:rFonts w:ascii="楷体_GB2312" w:hAnsi="宋体" w:eastAsia="楷体_GB2312" w:cs="Calibri"/>
      <w:b/>
      <w:i/>
      <w:color w:val="FF0000"/>
      <w:kern w:val="0"/>
      <w:sz w:val="28"/>
      <w:szCs w:val="20"/>
    </w:rPr>
  </w:style>
  <w:style w:type="paragraph" w:customStyle="1" w:styleId="312">
    <w:name w:val="文档正文"/>
    <w:basedOn w:val="1"/>
    <w:autoRedefine/>
    <w:qFormat/>
    <w:uiPriority w:val="0"/>
    <w:pPr>
      <w:adjustRightInd w:val="0"/>
      <w:spacing w:before="60" w:after="60" w:line="312" w:lineRule="atLeast"/>
      <w:ind w:firstLine="567"/>
      <w:textAlignment w:val="baseline"/>
    </w:pPr>
    <w:rPr>
      <w:rFonts w:cs="Calibri"/>
      <w:kern w:val="0"/>
      <w:sz w:val="28"/>
      <w:szCs w:val="20"/>
    </w:rPr>
  </w:style>
  <w:style w:type="paragraph" w:customStyle="1" w:styleId="313">
    <w:name w:val="表格项目符号 2"/>
    <w:basedOn w:val="314"/>
    <w:autoRedefine/>
    <w:qFormat/>
    <w:uiPriority w:val="0"/>
    <w:pPr>
      <w:tabs>
        <w:tab w:val="left" w:pos="624"/>
        <w:tab w:val="left" w:pos="735"/>
      </w:tabs>
      <w:snapToGrid w:val="0"/>
      <w:spacing w:line="300" w:lineRule="auto"/>
      <w:ind w:left="623" w:hanging="374"/>
    </w:pPr>
  </w:style>
  <w:style w:type="paragraph" w:customStyle="1" w:styleId="314">
    <w:name w:val="列表项目符号 21"/>
    <w:basedOn w:val="1"/>
    <w:autoRedefine/>
    <w:qFormat/>
    <w:uiPriority w:val="0"/>
    <w:pPr>
      <w:spacing w:line="360" w:lineRule="auto"/>
      <w:ind w:left="480"/>
    </w:pPr>
    <w:rPr>
      <w:rFonts w:cs="Calibri"/>
      <w:sz w:val="24"/>
      <w:szCs w:val="20"/>
    </w:rPr>
  </w:style>
  <w:style w:type="paragraph" w:customStyle="1" w:styleId="315">
    <w:name w:val="1 Char"/>
    <w:basedOn w:val="1"/>
    <w:autoRedefine/>
    <w:qFormat/>
    <w:uiPriority w:val="0"/>
    <w:rPr>
      <w:rFonts w:ascii="Tahoma" w:hAnsi="Tahoma" w:cs="Calibri"/>
      <w:sz w:val="24"/>
      <w:szCs w:val="20"/>
    </w:rPr>
  </w:style>
  <w:style w:type="paragraph" w:customStyle="1" w:styleId="316">
    <w:name w:val="xl53"/>
    <w:basedOn w:val="1"/>
    <w:autoRedefine/>
    <w:qFormat/>
    <w:uiPriority w:val="0"/>
    <w:pPr>
      <w:widowControl/>
      <w:pBdr>
        <w:left w:val="single" w:color="auto" w:sz="4" w:space="0"/>
        <w:bottom w:val="single" w:color="auto" w:sz="4" w:space="0"/>
      </w:pBdr>
      <w:spacing w:before="100" w:beforeAutospacing="1" w:after="100" w:afterAutospacing="1"/>
      <w:textAlignment w:val="center"/>
    </w:pPr>
    <w:rPr>
      <w:rFonts w:ascii="宋体" w:hAnsi="宋体" w:cs="Calibri"/>
      <w:kern w:val="0"/>
      <w:sz w:val="24"/>
      <w:szCs w:val="20"/>
    </w:rPr>
  </w:style>
  <w:style w:type="paragraph" w:customStyle="1" w:styleId="317">
    <w:name w:val="样式 样式 样式 标题 2 + 宋体 五号 非加粗 黑色 + 段前: 6 磅 段后: 0 磅 行距: 单倍行距 + 段前: 12..."/>
    <w:basedOn w:val="318"/>
    <w:autoRedefine/>
    <w:qFormat/>
    <w:uiPriority w:val="0"/>
    <w:pPr>
      <w:spacing w:before="240"/>
    </w:pPr>
  </w:style>
  <w:style w:type="paragraph" w:customStyle="1" w:styleId="318">
    <w:name w:val="样式 样式 标题 2 + 宋体 五号 非加粗 黑色 + 段前: 6 磅 段后: 0 磅 行距: 单倍行距"/>
    <w:basedOn w:val="319"/>
    <w:autoRedefine/>
    <w:qFormat/>
    <w:uiPriority w:val="0"/>
    <w:pPr>
      <w:spacing w:before="120" w:after="0" w:line="240" w:lineRule="auto"/>
    </w:pPr>
  </w:style>
  <w:style w:type="paragraph" w:customStyle="1" w:styleId="319">
    <w:name w:val="样式 标题 2 + 宋体 五号 非加粗 黑色"/>
    <w:basedOn w:val="4"/>
    <w:autoRedefine/>
    <w:qFormat/>
    <w:uiPriority w:val="0"/>
    <w:pPr>
      <w:widowControl w:val="0"/>
      <w:adjustRightInd w:val="0"/>
      <w:spacing w:line="416" w:lineRule="atLeast"/>
      <w:ind w:left="360"/>
      <w:textAlignment w:val="baseline"/>
    </w:pPr>
    <w:rPr>
      <w:rFonts w:ascii="宋体" w:hAnsi="宋体" w:cs="Calibri"/>
      <w:color w:val="000000"/>
      <w:sz w:val="21"/>
      <w:lang w:val="en-US"/>
    </w:rPr>
  </w:style>
  <w:style w:type="paragraph" w:customStyle="1" w:styleId="320">
    <w:name w:val="项目 1 Char Char"/>
    <w:basedOn w:val="1"/>
    <w:autoRedefine/>
    <w:qFormat/>
    <w:uiPriority w:val="0"/>
    <w:pPr>
      <w:tabs>
        <w:tab w:val="left" w:pos="907"/>
      </w:tabs>
      <w:adjustRightInd w:val="0"/>
      <w:snapToGrid w:val="0"/>
      <w:spacing w:afterLines="50"/>
      <w:ind w:left="902" w:hanging="420"/>
    </w:pPr>
    <w:rPr>
      <w:rFonts w:ascii="Tahoma" w:hAnsi="Tahoma" w:cs="Calibri"/>
      <w:sz w:val="24"/>
      <w:szCs w:val="20"/>
    </w:rPr>
  </w:style>
  <w:style w:type="paragraph" w:customStyle="1" w:styleId="321">
    <w:name w:val="表格文字"/>
    <w:basedOn w:val="1"/>
    <w:autoRedefine/>
    <w:qFormat/>
    <w:uiPriority w:val="0"/>
    <w:pPr>
      <w:spacing w:before="25" w:after="25" w:line="300" w:lineRule="auto"/>
    </w:pPr>
    <w:rPr>
      <w:rFonts w:ascii="Times" w:hAnsi="Times" w:cs="Calibri"/>
      <w:spacing w:val="10"/>
      <w:kern w:val="0"/>
      <w:sz w:val="24"/>
      <w:szCs w:val="20"/>
    </w:rPr>
  </w:style>
  <w:style w:type="paragraph" w:customStyle="1" w:styleId="322">
    <w:name w:val="招标文件正文"/>
    <w:autoRedefine/>
    <w:qFormat/>
    <w:uiPriority w:val="0"/>
    <w:pPr>
      <w:spacing w:before="120" w:after="120" w:line="300" w:lineRule="auto"/>
      <w:ind w:firstLine="200" w:firstLineChars="200"/>
    </w:pPr>
    <w:rPr>
      <w:rFonts w:ascii="宋体" w:hAnsi="Calibri" w:eastAsia="宋体" w:cs="Calibri"/>
      <w:spacing w:val="10"/>
      <w:w w:val="95"/>
      <w:sz w:val="21"/>
      <w:lang w:val="en-US" w:eastAsia="zh-CN" w:bidi="ar-SA"/>
    </w:rPr>
  </w:style>
  <w:style w:type="paragraph" w:customStyle="1" w:styleId="323">
    <w:name w:val="我的正文下级"/>
    <w:basedOn w:val="1"/>
    <w:autoRedefine/>
    <w:qFormat/>
    <w:uiPriority w:val="0"/>
    <w:rPr>
      <w:rFonts w:hint="eastAsia" w:ascii="仿宋_GB2312" w:hAnsi="宋体" w:eastAsia="仿宋_GB2312" w:cs="Calibri"/>
      <w:kern w:val="0"/>
      <w:sz w:val="28"/>
      <w:szCs w:val="20"/>
    </w:rPr>
  </w:style>
  <w:style w:type="paragraph" w:customStyle="1" w:styleId="324">
    <w:name w:val="Date1"/>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25">
    <w:name w:val="Char6"/>
    <w:basedOn w:val="1"/>
    <w:autoRedefine/>
    <w:qFormat/>
    <w:uiPriority w:val="0"/>
    <w:pPr>
      <w:spacing w:line="360" w:lineRule="auto"/>
      <w:ind w:firstLine="200" w:firstLineChars="200"/>
    </w:pPr>
    <w:rPr>
      <w:rFonts w:ascii="Tahoma" w:hAnsi="Tahoma" w:cs="Calibri"/>
      <w:sz w:val="24"/>
      <w:szCs w:val="20"/>
    </w:rPr>
  </w:style>
  <w:style w:type="paragraph" w:customStyle="1" w:styleId="326">
    <w:name w:val="操作步骤"/>
    <w:basedOn w:val="1"/>
    <w:autoRedefine/>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cs="Calibri"/>
      <w:kern w:val="0"/>
      <w:szCs w:val="20"/>
    </w:rPr>
  </w:style>
  <w:style w:type="paragraph" w:customStyle="1" w:styleId="327">
    <w:name w:val="Char Char3"/>
    <w:basedOn w:val="1"/>
    <w:autoRedefine/>
    <w:qFormat/>
    <w:uiPriority w:val="0"/>
    <w:rPr>
      <w:rFonts w:ascii="Tahoma" w:hAnsi="Tahoma" w:cs="Calibri"/>
      <w:sz w:val="24"/>
      <w:szCs w:val="20"/>
    </w:rPr>
  </w:style>
  <w:style w:type="paragraph" w:customStyle="1" w:styleId="328">
    <w:name w:val="正文居中"/>
    <w:basedOn w:val="1"/>
    <w:autoRedefine/>
    <w:qFormat/>
    <w:uiPriority w:val="0"/>
    <w:pPr>
      <w:spacing w:line="360" w:lineRule="auto"/>
      <w:jc w:val="center"/>
    </w:pPr>
    <w:rPr>
      <w:rFonts w:cs="Calibri"/>
      <w:sz w:val="24"/>
      <w:szCs w:val="20"/>
    </w:rPr>
  </w:style>
  <w:style w:type="paragraph" w:customStyle="1" w:styleId="329">
    <w:name w:val="Char Char Char1"/>
    <w:basedOn w:val="1"/>
    <w:autoRedefine/>
    <w:qFormat/>
    <w:uiPriority w:val="0"/>
    <w:rPr>
      <w:rFonts w:ascii="Tahoma" w:hAnsi="Tahoma" w:cs="Calibri"/>
      <w:sz w:val="24"/>
      <w:szCs w:val="20"/>
    </w:rPr>
  </w:style>
  <w:style w:type="paragraph" w:customStyle="1" w:styleId="330">
    <w:name w:val="附录 Heading 2"/>
    <w:basedOn w:val="4"/>
    <w:autoRedefine/>
    <w:qFormat/>
    <w:uiPriority w:val="0"/>
    <w:pPr>
      <w:tabs>
        <w:tab w:val="left" w:pos="0"/>
        <w:tab w:val="left" w:pos="420"/>
      </w:tabs>
      <w:spacing w:before="480" w:after="120" w:line="288" w:lineRule="auto"/>
      <w:ind w:left="420" w:hanging="420"/>
    </w:pPr>
    <w:rPr>
      <w:rFonts w:ascii="Microsoft Sans Serif" w:hAnsi="Microsoft Sans Serif" w:eastAsia="仿宋_GB2312" w:cs="Calibri"/>
      <w:b/>
      <w:sz w:val="32"/>
      <w:lang w:val="en-US"/>
    </w:rPr>
  </w:style>
  <w:style w:type="paragraph" w:customStyle="1" w:styleId="331">
    <w:name w:val="纯文本11"/>
    <w:basedOn w:val="1"/>
    <w:autoRedefine/>
    <w:qFormat/>
    <w:uiPriority w:val="0"/>
    <w:pPr>
      <w:tabs>
        <w:tab w:val="left" w:pos="425"/>
      </w:tabs>
      <w:adjustRightInd w:val="0"/>
    </w:pPr>
    <w:rPr>
      <w:rFonts w:hint="eastAsia" w:ascii="宋体" w:hAnsi="Courier New" w:cs="Calibri"/>
      <w:szCs w:val="20"/>
    </w:rPr>
  </w:style>
  <w:style w:type="paragraph" w:customStyle="1" w:styleId="332">
    <w:name w:val="样式 样式 标题 4 + 段前: 5 磅 段后: 5 磅 行距: 单倍行距 + 五号"/>
    <w:basedOn w:val="333"/>
    <w:autoRedefine/>
    <w:qFormat/>
    <w:uiPriority w:val="0"/>
    <w:rPr>
      <w:sz w:val="21"/>
    </w:rPr>
  </w:style>
  <w:style w:type="paragraph" w:customStyle="1" w:styleId="333">
    <w:name w:val="样式 标题 4 + 段前: 5 磅 段后: 5 磅 行距: 单倍行距"/>
    <w:basedOn w:val="7"/>
    <w:autoRedefine/>
    <w:qFormat/>
    <w:uiPriority w:val="0"/>
    <w:pPr>
      <w:adjustRightInd w:val="0"/>
      <w:spacing w:before="100" w:after="100" w:line="240" w:lineRule="auto"/>
      <w:textAlignment w:val="baseline"/>
    </w:pPr>
    <w:rPr>
      <w:rFonts w:eastAsia="黑体" w:cs="Calibri"/>
      <w:bCs w:val="0"/>
      <w:kern w:val="0"/>
      <w:szCs w:val="20"/>
    </w:rPr>
  </w:style>
  <w:style w:type="paragraph" w:customStyle="1" w:styleId="334">
    <w:name w:val="样式 标题 3h3H3sect1.2.3 + 五号 段前: 6 磅 段后: 6 磅 行距: 单倍行距"/>
    <w:basedOn w:val="6"/>
    <w:autoRedefine/>
    <w:qFormat/>
    <w:uiPriority w:val="0"/>
    <w:pPr>
      <w:widowControl w:val="0"/>
      <w:numPr>
        <w:ilvl w:val="0"/>
        <w:numId w:val="0"/>
      </w:numPr>
      <w:tabs>
        <w:tab w:val="clear" w:pos="720"/>
      </w:tabs>
      <w:adjustRightInd w:val="0"/>
      <w:spacing w:line="240" w:lineRule="auto"/>
      <w:jc w:val="both"/>
      <w:textAlignment w:val="baseline"/>
    </w:pPr>
    <w:rPr>
      <w:rFonts w:ascii="Calibri" w:hAnsi="Calibri"/>
      <w:sz w:val="21"/>
      <w:lang w:val="en-US"/>
    </w:rPr>
  </w:style>
  <w:style w:type="paragraph" w:customStyle="1" w:styleId="335">
    <w:name w:val="编号正文"/>
    <w:basedOn w:val="312"/>
    <w:autoRedefine/>
    <w:qFormat/>
    <w:uiPriority w:val="0"/>
    <w:pPr>
      <w:tabs>
        <w:tab w:val="left" w:pos="1407"/>
      </w:tabs>
      <w:spacing w:before="0" w:after="0" w:line="440" w:lineRule="exact"/>
      <w:ind w:left="1407" w:hanging="420"/>
    </w:pPr>
    <w:rPr>
      <w:rFonts w:ascii="Arial Narrow" w:hAnsi="Arial Narrow" w:eastAsia="仿宋_GB2312"/>
      <w:sz w:val="24"/>
    </w:rPr>
  </w:style>
  <w:style w:type="paragraph" w:customStyle="1" w:styleId="336">
    <w:name w:val="SOW正文"/>
    <w:basedOn w:val="1"/>
    <w:autoRedefine/>
    <w:qFormat/>
    <w:uiPriority w:val="0"/>
    <w:pPr>
      <w:snapToGrid w:val="0"/>
      <w:spacing w:before="120" w:line="400" w:lineRule="exact"/>
      <w:ind w:firstLine="425"/>
    </w:pPr>
    <w:rPr>
      <w:rFonts w:cs="Calibri"/>
      <w:sz w:val="24"/>
      <w:szCs w:val="20"/>
    </w:rPr>
  </w:style>
  <w:style w:type="paragraph" w:customStyle="1" w:styleId="337">
    <w:name w:val="项目 1"/>
    <w:basedOn w:val="1"/>
    <w:autoRedefine/>
    <w:qFormat/>
    <w:uiPriority w:val="0"/>
    <w:pPr>
      <w:tabs>
        <w:tab w:val="left" w:pos="720"/>
      </w:tabs>
      <w:adjustRightInd w:val="0"/>
      <w:snapToGrid w:val="0"/>
      <w:spacing w:afterLines="50"/>
      <w:ind w:left="720" w:hanging="720"/>
    </w:pPr>
    <w:rPr>
      <w:rFonts w:ascii="Tahoma" w:hAnsi="Tahoma" w:cs="Calibri"/>
      <w:sz w:val="24"/>
      <w:szCs w:val="20"/>
    </w:rPr>
  </w:style>
  <w:style w:type="paragraph" w:customStyle="1" w:styleId="338">
    <w:name w:val="列表接续 21"/>
    <w:basedOn w:val="1"/>
    <w:autoRedefine/>
    <w:qFormat/>
    <w:uiPriority w:val="0"/>
    <w:pPr>
      <w:spacing w:after="120"/>
      <w:ind w:left="840" w:leftChars="400"/>
    </w:pPr>
    <w:rPr>
      <w:rFonts w:cs="Calibri"/>
      <w:szCs w:val="20"/>
    </w:rPr>
  </w:style>
  <w:style w:type="paragraph" w:customStyle="1" w:styleId="339">
    <w:name w:val="首行缩进:  0.85 厘米"/>
    <w:basedOn w:val="1"/>
    <w:autoRedefine/>
    <w:qFormat/>
    <w:uiPriority w:val="0"/>
    <w:pPr>
      <w:widowControl/>
      <w:spacing w:after="100" w:line="360" w:lineRule="auto"/>
      <w:ind w:firstLine="482"/>
      <w:jc w:val="left"/>
    </w:pPr>
    <w:rPr>
      <w:rFonts w:cs="Calibri"/>
      <w:kern w:val="0"/>
      <w:sz w:val="24"/>
      <w:szCs w:val="20"/>
      <w:lang w:eastAsia="en-US"/>
    </w:rPr>
  </w:style>
  <w:style w:type="paragraph" w:customStyle="1" w:styleId="340">
    <w:name w:val="项目"/>
    <w:basedOn w:val="276"/>
    <w:autoRedefine/>
    <w:qFormat/>
    <w:uiPriority w:val="0"/>
    <w:pPr>
      <w:spacing w:after="120"/>
      <w:ind w:left="0"/>
    </w:pPr>
    <w:rPr>
      <w:rFonts w:ascii="楷体_GB2312" w:eastAsia="楷体_GB2312"/>
      <w:b/>
      <w:sz w:val="24"/>
    </w:rPr>
  </w:style>
  <w:style w:type="paragraph" w:customStyle="1" w:styleId="341">
    <w:name w:val="ddddd"/>
    <w:basedOn w:val="1"/>
    <w:autoRedefine/>
    <w:qFormat/>
    <w:uiPriority w:val="0"/>
    <w:pPr>
      <w:pageBreakBefore/>
    </w:pPr>
    <w:rPr>
      <w:rFonts w:ascii="Tahoma" w:hAnsi="Tahoma" w:cs="Calibri"/>
      <w:sz w:val="24"/>
      <w:szCs w:val="20"/>
    </w:rPr>
  </w:style>
  <w:style w:type="paragraph" w:customStyle="1" w:styleId="342">
    <w:name w:val="首行缩进 1"/>
    <w:basedOn w:val="1"/>
    <w:autoRedefine/>
    <w:qFormat/>
    <w:uiPriority w:val="0"/>
    <w:pPr>
      <w:spacing w:after="120" w:line="360" w:lineRule="auto"/>
      <w:ind w:firstLine="200" w:firstLineChars="200"/>
    </w:pPr>
    <w:rPr>
      <w:rFonts w:cs="Calibri"/>
      <w:sz w:val="24"/>
      <w:szCs w:val="20"/>
    </w:rPr>
  </w:style>
  <w:style w:type="paragraph" w:customStyle="1" w:styleId="343">
    <w:name w:val="Char Char21"/>
    <w:basedOn w:val="1"/>
    <w:autoRedefine/>
    <w:qFormat/>
    <w:uiPriority w:val="0"/>
    <w:rPr>
      <w:rFonts w:ascii="Tahoma" w:hAnsi="Tahoma" w:cs="Calibri"/>
      <w:sz w:val="24"/>
      <w:szCs w:val="20"/>
    </w:rPr>
  </w:style>
  <w:style w:type="paragraph" w:customStyle="1" w:styleId="344">
    <w:name w:val="图号"/>
    <w:basedOn w:val="1"/>
    <w:autoRedefine/>
    <w:qFormat/>
    <w:uiPriority w:val="0"/>
    <w:pPr>
      <w:jc w:val="center"/>
    </w:pPr>
    <w:rPr>
      <w:rFonts w:ascii="仿宋_GB2312" w:eastAsia="仿宋_GB2312" w:cs="Calibri"/>
      <w:sz w:val="32"/>
      <w:szCs w:val="20"/>
    </w:rPr>
  </w:style>
  <w:style w:type="paragraph" w:customStyle="1" w:styleId="345">
    <w:name w:val="列表编号1"/>
    <w:basedOn w:val="1"/>
    <w:autoRedefine/>
    <w:qFormat/>
    <w:uiPriority w:val="0"/>
    <w:pPr>
      <w:tabs>
        <w:tab w:val="left" w:pos="360"/>
      </w:tabs>
      <w:adjustRightInd w:val="0"/>
      <w:snapToGrid w:val="0"/>
      <w:spacing w:line="360" w:lineRule="auto"/>
      <w:ind w:left="360" w:hanging="360" w:hangingChars="200"/>
    </w:pPr>
    <w:rPr>
      <w:rFonts w:cs="Calibri"/>
      <w:sz w:val="24"/>
      <w:szCs w:val="20"/>
    </w:rPr>
  </w:style>
  <w:style w:type="paragraph" w:customStyle="1" w:styleId="346">
    <w:name w:val="索引标题1"/>
    <w:basedOn w:val="1"/>
    <w:next w:val="347"/>
    <w:autoRedefine/>
    <w:qFormat/>
    <w:uiPriority w:val="0"/>
    <w:rPr>
      <w:rFonts w:eastAsia="仿宋_GB2312" w:cs="Calibri"/>
      <w:szCs w:val="20"/>
    </w:rPr>
  </w:style>
  <w:style w:type="paragraph" w:customStyle="1" w:styleId="347">
    <w:name w:val="索引 11"/>
    <w:basedOn w:val="1"/>
    <w:next w:val="1"/>
    <w:autoRedefine/>
    <w:qFormat/>
    <w:uiPriority w:val="0"/>
    <w:pPr>
      <w:ind w:left="-2"/>
    </w:pPr>
    <w:rPr>
      <w:rFonts w:ascii="Verdana" w:hAnsi="Verdana" w:cs="Calibri"/>
      <w:sz w:val="18"/>
      <w:szCs w:val="20"/>
    </w:rPr>
  </w:style>
  <w:style w:type="paragraph" w:customStyle="1" w:styleId="348">
    <w:name w:val="默认段落字体 Para Char Char Char1 Char Char Char Char Char Char Char"/>
    <w:basedOn w:val="1"/>
    <w:autoRedefine/>
    <w:qFormat/>
    <w:uiPriority w:val="0"/>
    <w:pPr>
      <w:adjustRightInd w:val="0"/>
      <w:spacing w:line="360" w:lineRule="auto"/>
    </w:pPr>
    <w:rPr>
      <w:rFonts w:cs="Calibri"/>
      <w:kern w:val="0"/>
      <w:sz w:val="24"/>
      <w:szCs w:val="20"/>
    </w:rPr>
  </w:style>
  <w:style w:type="paragraph" w:customStyle="1" w:styleId="349">
    <w:name w:val="Normal Cenered"/>
    <w:basedOn w:val="1"/>
    <w:autoRedefine/>
    <w:qFormat/>
    <w:uiPriority w:val="0"/>
    <w:pPr>
      <w:widowControl/>
      <w:tabs>
        <w:tab w:val="left" w:pos="6660"/>
      </w:tabs>
      <w:spacing w:before="240" w:after="120" w:line="288" w:lineRule="auto"/>
    </w:pPr>
    <w:rPr>
      <w:rFonts w:cs="Calibri"/>
      <w:kern w:val="0"/>
      <w:szCs w:val="20"/>
    </w:rPr>
  </w:style>
  <w:style w:type="paragraph" w:customStyle="1" w:styleId="350">
    <w:name w:val="样式6"/>
    <w:basedOn w:val="1"/>
    <w:autoRedefine/>
    <w:qFormat/>
    <w:uiPriority w:val="0"/>
    <w:pPr>
      <w:keepNext/>
      <w:keepLines/>
      <w:tabs>
        <w:tab w:val="left" w:pos="720"/>
      </w:tabs>
      <w:spacing w:before="260" w:after="260" w:line="413" w:lineRule="auto"/>
      <w:ind w:left="720" w:hanging="720"/>
      <w:outlineLvl w:val="2"/>
    </w:pPr>
    <w:rPr>
      <w:rFonts w:ascii="仿宋_GB2312" w:hAnsi="仿宋_GB2312" w:eastAsia="仿宋_GB2312" w:cs="Calibri"/>
      <w:b/>
      <w:color w:val="000000"/>
      <w:sz w:val="28"/>
      <w:szCs w:val="20"/>
    </w:rPr>
  </w:style>
  <w:style w:type="paragraph" w:customStyle="1" w:styleId="351">
    <w:name w:val="附件小标题"/>
    <w:basedOn w:val="7"/>
    <w:autoRedefine/>
    <w:qFormat/>
    <w:uiPriority w:val="0"/>
    <w:pPr>
      <w:tabs>
        <w:tab w:val="left" w:pos="720"/>
      </w:tabs>
      <w:spacing w:before="120" w:after="120" w:line="240" w:lineRule="atLeast"/>
      <w:ind w:left="720" w:hanging="720"/>
    </w:pPr>
    <w:rPr>
      <w:rFonts w:ascii="Verdana" w:hAnsi="Verdana" w:eastAsia="宋体" w:cs="Calibri"/>
      <w:bCs w:val="0"/>
      <w:szCs w:val="20"/>
    </w:rPr>
  </w:style>
  <w:style w:type="paragraph" w:customStyle="1" w:styleId="352">
    <w:name w:val="CN Title"/>
    <w:basedOn w:val="1"/>
    <w:autoRedefine/>
    <w:qFormat/>
    <w:uiPriority w:val="0"/>
    <w:pPr>
      <w:widowControl/>
      <w:tabs>
        <w:tab w:val="left" w:pos="720"/>
      </w:tabs>
      <w:spacing w:before="144" w:after="72"/>
      <w:ind w:left="720" w:hanging="360"/>
      <w:jc w:val="center"/>
    </w:pPr>
    <w:rPr>
      <w:rFonts w:cs="Calibri"/>
      <w:b/>
      <w:kern w:val="0"/>
      <w:sz w:val="28"/>
      <w:szCs w:val="20"/>
    </w:rPr>
  </w:style>
  <w:style w:type="paragraph" w:customStyle="1" w:styleId="353">
    <w:name w:val="Char Char Char Char Char Char Char Char Char Char Char Char Char"/>
    <w:basedOn w:val="1"/>
    <w:autoRedefine/>
    <w:qFormat/>
    <w:uiPriority w:val="0"/>
    <w:rPr>
      <w:rFonts w:ascii="Tahoma" w:hAnsi="Tahoma" w:cs="Calibri"/>
      <w:sz w:val="24"/>
      <w:szCs w:val="20"/>
    </w:rPr>
  </w:style>
  <w:style w:type="paragraph" w:customStyle="1" w:styleId="354">
    <w:name w:val="Char Char1 Char Char Char Char Char Char Char Char Char Char Char Char Char Char Char"/>
    <w:basedOn w:val="1"/>
    <w:autoRedefine/>
    <w:qFormat/>
    <w:uiPriority w:val="0"/>
    <w:pPr>
      <w:widowControl/>
      <w:spacing w:after="160" w:line="240" w:lineRule="exact"/>
    </w:pPr>
    <w:rPr>
      <w:rFonts w:ascii="Verdana" w:hAnsi="Verdana" w:cs="Calibri"/>
      <w:kern w:val="0"/>
      <w:sz w:val="20"/>
      <w:szCs w:val="20"/>
      <w:lang w:eastAsia="en-US"/>
    </w:rPr>
  </w:style>
  <w:style w:type="paragraph" w:customStyle="1" w:styleId="355">
    <w:name w:val="样式 标题 5 + 段前: 5 磅 段后: 5 磅 行距: 单倍行距"/>
    <w:basedOn w:val="8"/>
    <w:autoRedefine/>
    <w:qFormat/>
    <w:uiPriority w:val="0"/>
    <w:pPr>
      <w:adjustRightInd w:val="0"/>
      <w:spacing w:before="100" w:after="100" w:line="240" w:lineRule="auto"/>
      <w:textAlignment w:val="baseline"/>
    </w:pPr>
    <w:rPr>
      <w:rFonts w:cs="Times New Roman"/>
      <w:bCs w:val="0"/>
      <w:kern w:val="0"/>
      <w:szCs w:val="20"/>
    </w:rPr>
  </w:style>
  <w:style w:type="paragraph" w:customStyle="1" w:styleId="356">
    <w:name w:val="样式4"/>
    <w:autoRedefine/>
    <w:qFormat/>
    <w:uiPriority w:val="0"/>
    <w:rPr>
      <w:rFonts w:ascii="宋体" w:hAnsi="宋体" w:eastAsia="宋体" w:cs="Calibri"/>
      <w:b/>
      <w:kern w:val="2"/>
      <w:sz w:val="28"/>
      <w:lang w:val="en-US" w:eastAsia="zh-CN" w:bidi="ar-SA"/>
    </w:rPr>
  </w:style>
  <w:style w:type="paragraph" w:customStyle="1" w:styleId="357">
    <w:name w:val="列表 31"/>
    <w:basedOn w:val="1"/>
    <w:autoRedefine/>
    <w:qFormat/>
    <w:uiPriority w:val="0"/>
    <w:pPr>
      <w:ind w:left="100" w:leftChars="400" w:hanging="200" w:hangingChars="200"/>
    </w:pPr>
    <w:rPr>
      <w:rFonts w:cs="Calibri"/>
      <w:szCs w:val="20"/>
    </w:rPr>
  </w:style>
  <w:style w:type="paragraph" w:customStyle="1" w:styleId="358">
    <w:name w:val="Char1 Char Char Char Char Char Char"/>
    <w:basedOn w:val="1"/>
    <w:autoRedefine/>
    <w:qFormat/>
    <w:uiPriority w:val="0"/>
    <w:pPr>
      <w:autoSpaceDE w:val="0"/>
      <w:autoSpaceDN w:val="0"/>
    </w:pPr>
    <w:rPr>
      <w:rFonts w:ascii="Tahoma" w:hAnsi="Tahoma" w:cs="Calibri"/>
      <w:sz w:val="24"/>
      <w:szCs w:val="20"/>
    </w:rPr>
  </w:style>
  <w:style w:type="paragraph" w:customStyle="1" w:styleId="359">
    <w:name w:val="Char Char Char Char Char Char Char"/>
    <w:basedOn w:val="1"/>
    <w:autoRedefine/>
    <w:qFormat/>
    <w:uiPriority w:val="0"/>
    <w:rPr>
      <w:rFonts w:ascii="Tahoma" w:hAnsi="Tahoma" w:cs="Calibri"/>
      <w:sz w:val="24"/>
      <w:szCs w:val="20"/>
    </w:rPr>
  </w:style>
  <w:style w:type="paragraph" w:customStyle="1" w:styleId="360">
    <w:name w:val="样式 样式 样式 样式 标题 2 + 宋体 五号 非加粗 黑色 + 段前: 6 磅 段后: 0 磅 行距: 单倍行距 + 段前:..."/>
    <w:basedOn w:val="317"/>
    <w:autoRedefine/>
    <w:qFormat/>
    <w:uiPriority w:val="0"/>
    <w:rPr>
      <w:b/>
    </w:rPr>
  </w:style>
  <w:style w:type="paragraph" w:customStyle="1" w:styleId="361">
    <w:name w:val="项目2"/>
    <w:autoRedefine/>
    <w:qFormat/>
    <w:uiPriority w:val="0"/>
    <w:pPr>
      <w:tabs>
        <w:tab w:val="left" w:pos="425"/>
      </w:tabs>
      <w:spacing w:before="120" w:after="120" w:line="360" w:lineRule="auto"/>
      <w:ind w:left="425" w:hanging="425"/>
    </w:pPr>
    <w:rPr>
      <w:rFonts w:ascii="Calibri" w:hAnsi="Calibri" w:eastAsia="仿宋_GB2312" w:cs="Calibri"/>
      <w:sz w:val="24"/>
      <w:lang w:val="en-US" w:eastAsia="zh-CN" w:bidi="ar-SA"/>
    </w:rPr>
  </w:style>
  <w:style w:type="paragraph" w:customStyle="1" w:styleId="362">
    <w:name w:val="日期1"/>
    <w:basedOn w:val="1"/>
    <w:next w:val="1"/>
    <w:autoRedefine/>
    <w:qFormat/>
    <w:uiPriority w:val="0"/>
    <w:pPr>
      <w:tabs>
        <w:tab w:val="left" w:pos="425"/>
      </w:tabs>
      <w:autoSpaceDE w:val="0"/>
      <w:autoSpaceDN w:val="0"/>
      <w:adjustRightInd w:val="0"/>
      <w:spacing w:before="60" w:after="60" w:line="312" w:lineRule="atLeast"/>
      <w:ind w:left="425" w:hanging="425"/>
      <w:textAlignment w:val="baseline"/>
    </w:pPr>
    <w:rPr>
      <w:rFonts w:cs="Calibri"/>
      <w:kern w:val="0"/>
      <w:sz w:val="44"/>
      <w:szCs w:val="20"/>
    </w:rPr>
  </w:style>
  <w:style w:type="paragraph" w:customStyle="1" w:styleId="363">
    <w:name w:val="可研正文"/>
    <w:basedOn w:val="305"/>
    <w:autoRedefine/>
    <w:qFormat/>
    <w:uiPriority w:val="0"/>
    <w:pPr>
      <w:adjustRightInd w:val="0"/>
      <w:snapToGrid w:val="0"/>
      <w:spacing w:line="440" w:lineRule="exact"/>
      <w:ind w:firstLine="567"/>
    </w:pPr>
    <w:rPr>
      <w:rFonts w:ascii="仿宋_GB2312" w:eastAsia="仿宋_GB2312"/>
      <w:color w:val="auto"/>
      <w:sz w:val="28"/>
    </w:rPr>
  </w:style>
  <w:style w:type="paragraph" w:customStyle="1" w:styleId="364">
    <w:name w:val="列表项目符号 41"/>
    <w:basedOn w:val="1"/>
    <w:autoRedefine/>
    <w:qFormat/>
    <w:uiPriority w:val="0"/>
    <w:pPr>
      <w:widowControl/>
      <w:tabs>
        <w:tab w:val="left" w:pos="1134"/>
      </w:tabs>
      <w:adjustRightInd w:val="0"/>
      <w:snapToGrid w:val="0"/>
      <w:spacing w:before="120" w:line="280" w:lineRule="atLeast"/>
      <w:ind w:left="1418" w:hanging="284"/>
    </w:pPr>
    <w:rPr>
      <w:rFonts w:ascii="宋体" w:cs="Calibri"/>
      <w:kern w:val="0"/>
      <w:sz w:val="22"/>
      <w:szCs w:val="20"/>
    </w:rPr>
  </w:style>
  <w:style w:type="paragraph" w:customStyle="1" w:styleId="365">
    <w:name w:val="列表项目符号 31"/>
    <w:basedOn w:val="1"/>
    <w:autoRedefine/>
    <w:qFormat/>
    <w:uiPriority w:val="0"/>
    <w:pPr>
      <w:tabs>
        <w:tab w:val="left" w:pos="1200"/>
      </w:tabs>
      <w:ind w:left="420" w:hanging="420"/>
    </w:pPr>
    <w:rPr>
      <w:rFonts w:cs="Calibri"/>
      <w:szCs w:val="20"/>
    </w:rPr>
  </w:style>
  <w:style w:type="paragraph" w:customStyle="1" w:styleId="366">
    <w:name w:val="普通(网站)1"/>
    <w:basedOn w:val="1"/>
    <w:autoRedefine/>
    <w:qFormat/>
    <w:uiPriority w:val="0"/>
    <w:rPr>
      <w:rFonts w:cs="Calibri"/>
      <w:sz w:val="24"/>
      <w:szCs w:val="20"/>
    </w:rPr>
  </w:style>
  <w:style w:type="paragraph" w:customStyle="1" w:styleId="367">
    <w:name w:val="_Style 155"/>
    <w:basedOn w:val="1"/>
    <w:autoRedefine/>
    <w:qFormat/>
    <w:uiPriority w:val="0"/>
    <w:pPr>
      <w:ind w:firstLine="420" w:firstLineChars="200"/>
    </w:pPr>
    <w:rPr>
      <w:rFonts w:cs="Calibri"/>
      <w:szCs w:val="20"/>
    </w:rPr>
  </w:style>
  <w:style w:type="paragraph" w:customStyle="1" w:styleId="368">
    <w:name w:val="列表内容"/>
    <w:basedOn w:val="1"/>
    <w:next w:val="1"/>
    <w:autoRedefine/>
    <w:qFormat/>
    <w:uiPriority w:val="0"/>
    <w:pPr>
      <w:widowControl/>
      <w:tabs>
        <w:tab w:val="left" w:pos="600"/>
        <w:tab w:val="left" w:pos="840"/>
      </w:tabs>
      <w:ind w:left="600" w:hanging="600"/>
    </w:pPr>
    <w:rPr>
      <w:rFonts w:cs="Calibri"/>
      <w:kern w:val="0"/>
      <w:sz w:val="18"/>
      <w:szCs w:val="20"/>
    </w:rPr>
  </w:style>
  <w:style w:type="paragraph" w:customStyle="1" w:styleId="369">
    <w:name w:val="正文缩进2"/>
    <w:basedOn w:val="1"/>
    <w:autoRedefine/>
    <w:qFormat/>
    <w:uiPriority w:val="0"/>
    <w:pPr>
      <w:ind w:firstLine="420"/>
    </w:pPr>
    <w:rPr>
      <w:rFonts w:cs="Calibri"/>
      <w:szCs w:val="20"/>
    </w:rPr>
  </w:style>
  <w:style w:type="paragraph" w:customStyle="1" w:styleId="370">
    <w:name w:val="正文加点1"/>
    <w:basedOn w:val="271"/>
    <w:autoRedefine/>
    <w:qFormat/>
    <w:uiPriority w:val="0"/>
    <w:pPr>
      <w:tabs>
        <w:tab w:val="left" w:pos="600"/>
      </w:tabs>
      <w:spacing w:beforeLines="50" w:afterLines="50" w:line="360" w:lineRule="auto"/>
      <w:ind w:left="600" w:hanging="600"/>
    </w:pPr>
    <w:rPr>
      <w:rFonts w:ascii="Arial" w:hAnsi="Arial"/>
      <w:b/>
      <w:sz w:val="24"/>
    </w:rPr>
  </w:style>
  <w:style w:type="paragraph" w:customStyle="1" w:styleId="371">
    <w:name w:val="样式 样式 标题 5 + 段前: 5 磅 段后: 5 磅 行距: 单倍行距 + 五号"/>
    <w:basedOn w:val="355"/>
    <w:autoRedefine/>
    <w:qFormat/>
    <w:uiPriority w:val="0"/>
    <w:rPr>
      <w:sz w:val="21"/>
    </w:rPr>
  </w:style>
  <w:style w:type="paragraph" w:customStyle="1" w:styleId="372">
    <w:name w:val="招标文件1）"/>
    <w:autoRedefine/>
    <w:qFormat/>
    <w:uiPriority w:val="0"/>
    <w:pPr>
      <w:spacing w:before="120" w:after="120" w:line="300" w:lineRule="auto"/>
      <w:outlineLvl w:val="5"/>
    </w:pPr>
    <w:rPr>
      <w:rFonts w:ascii="宋体" w:hAnsi="Calibri" w:eastAsia="宋体" w:cs="Calibri"/>
      <w:spacing w:val="10"/>
      <w:w w:val="95"/>
      <w:sz w:val="21"/>
      <w:lang w:val="en-US" w:eastAsia="zh-CN" w:bidi="ar-SA"/>
    </w:rPr>
  </w:style>
  <w:style w:type="paragraph" w:customStyle="1" w:styleId="373">
    <w:name w:val="金宏发行正文"/>
    <w:basedOn w:val="1"/>
    <w:autoRedefine/>
    <w:qFormat/>
    <w:uiPriority w:val="0"/>
    <w:pPr>
      <w:spacing w:line="500" w:lineRule="exact"/>
      <w:ind w:firstLine="560" w:firstLineChars="200"/>
    </w:pPr>
    <w:rPr>
      <w:rFonts w:eastAsia="仿宋_GB2312" w:cs="Calibri"/>
      <w:sz w:val="28"/>
      <w:szCs w:val="20"/>
    </w:rPr>
  </w:style>
  <w:style w:type="paragraph" w:customStyle="1" w:styleId="374">
    <w:name w:val="Char Char Char"/>
    <w:basedOn w:val="1"/>
    <w:autoRedefine/>
    <w:qFormat/>
    <w:uiPriority w:val="0"/>
    <w:rPr>
      <w:rFonts w:hint="eastAsia" w:cs="Calibri"/>
      <w:szCs w:val="20"/>
    </w:rPr>
  </w:style>
  <w:style w:type="paragraph" w:customStyle="1" w:styleId="375">
    <w:name w:val="Char3 Char Char"/>
    <w:basedOn w:val="1"/>
    <w:autoRedefine/>
    <w:qFormat/>
    <w:uiPriority w:val="0"/>
    <w:rPr>
      <w:rFonts w:ascii="Tahoma" w:hAnsi="Tahoma" w:cs="Calibri"/>
      <w:sz w:val="24"/>
      <w:szCs w:val="20"/>
    </w:rPr>
  </w:style>
  <w:style w:type="paragraph" w:customStyle="1" w:styleId="376">
    <w:name w:val="列表 21"/>
    <w:basedOn w:val="1"/>
    <w:autoRedefine/>
    <w:qFormat/>
    <w:uiPriority w:val="0"/>
    <w:pPr>
      <w:ind w:left="100" w:leftChars="200" w:hanging="200" w:hangingChars="200"/>
    </w:pPr>
    <w:rPr>
      <w:rFonts w:cs="Calibri"/>
      <w:szCs w:val="20"/>
    </w:rPr>
  </w:style>
  <w:style w:type="paragraph" w:customStyle="1" w:styleId="377">
    <w:name w:val="6"/>
    <w:basedOn w:val="1"/>
    <w:next w:val="366"/>
    <w:autoRedefine/>
    <w:qFormat/>
    <w:uiPriority w:val="0"/>
    <w:pPr>
      <w:adjustRightInd w:val="0"/>
      <w:snapToGrid w:val="0"/>
    </w:pPr>
    <w:rPr>
      <w:rFonts w:cs="Calibri"/>
      <w:sz w:val="24"/>
      <w:szCs w:val="20"/>
    </w:rPr>
  </w:style>
  <w:style w:type="paragraph" w:customStyle="1" w:styleId="378">
    <w:name w:val="Char Char1 Char Char Char Char1 Char Char Char Char Char Char Char Char"/>
    <w:basedOn w:val="1"/>
    <w:autoRedefine/>
    <w:qFormat/>
    <w:uiPriority w:val="0"/>
    <w:rPr>
      <w:rFonts w:ascii="Tahoma" w:hAnsi="Tahoma" w:cs="Calibri"/>
      <w:sz w:val="24"/>
      <w:szCs w:val="20"/>
    </w:rPr>
  </w:style>
  <w:style w:type="paragraph" w:customStyle="1" w:styleId="379">
    <w:name w:val="招标文件1.1"/>
    <w:autoRedefine/>
    <w:qFormat/>
    <w:uiPriority w:val="0"/>
    <w:pPr>
      <w:tabs>
        <w:tab w:val="left" w:pos="630"/>
      </w:tabs>
      <w:spacing w:before="120" w:after="120" w:line="480" w:lineRule="exact"/>
      <w:ind w:left="200"/>
      <w:outlineLvl w:val="2"/>
    </w:pPr>
    <w:rPr>
      <w:rFonts w:ascii="宋体" w:hAnsi="Calibri" w:eastAsia="宋体" w:cs="Calibri"/>
      <w:b/>
      <w:spacing w:val="10"/>
      <w:w w:val="95"/>
      <w:sz w:val="24"/>
      <w:lang w:val="en-US" w:eastAsia="zh-CN" w:bidi="ar-SA"/>
    </w:rPr>
  </w:style>
  <w:style w:type="paragraph" w:customStyle="1" w:styleId="380">
    <w:name w:val="默认段落字体 Para Char Char Char1 Char Char Char Char Char Char Char Char Char Char Char Char"/>
    <w:basedOn w:val="1"/>
    <w:autoRedefine/>
    <w:qFormat/>
    <w:uiPriority w:val="0"/>
    <w:pPr>
      <w:adjustRightInd w:val="0"/>
      <w:spacing w:line="360" w:lineRule="auto"/>
    </w:pPr>
    <w:rPr>
      <w:rFonts w:cs="Calibri"/>
      <w:kern w:val="0"/>
      <w:sz w:val="24"/>
      <w:szCs w:val="20"/>
    </w:rPr>
  </w:style>
  <w:style w:type="paragraph" w:customStyle="1" w:styleId="381">
    <w:name w:val="纯文本2"/>
    <w:basedOn w:val="1"/>
    <w:autoRedefine/>
    <w:qFormat/>
    <w:uiPriority w:val="0"/>
    <w:rPr>
      <w:rFonts w:ascii="宋体" w:hAnsi="Courier New" w:cs="Calibri"/>
      <w:szCs w:val="20"/>
    </w:rPr>
  </w:style>
  <w:style w:type="paragraph" w:customStyle="1" w:styleId="382">
    <w:name w:val="xl23"/>
    <w:basedOn w:val="1"/>
    <w:autoRedefine/>
    <w:qFormat/>
    <w:uiPriority w:val="0"/>
    <w:pPr>
      <w:widowControl/>
      <w:spacing w:before="100" w:beforeAutospacing="1" w:after="100" w:afterAutospacing="1"/>
    </w:pPr>
    <w:rPr>
      <w:rFonts w:eastAsia="Arial Unicode MS" w:cs="Calibri"/>
      <w:kern w:val="0"/>
      <w:szCs w:val="20"/>
    </w:rPr>
  </w:style>
  <w:style w:type="paragraph" w:customStyle="1" w:styleId="383">
    <w:name w:val="列表接续 31"/>
    <w:basedOn w:val="1"/>
    <w:autoRedefine/>
    <w:qFormat/>
    <w:uiPriority w:val="0"/>
    <w:pPr>
      <w:spacing w:after="120"/>
      <w:ind w:left="1260" w:leftChars="600"/>
    </w:pPr>
    <w:rPr>
      <w:rFonts w:cs="Calibri"/>
      <w:szCs w:val="20"/>
    </w:rPr>
  </w:style>
  <w:style w:type="paragraph" w:customStyle="1" w:styleId="384">
    <w:name w:val="Char Char5"/>
    <w:basedOn w:val="80"/>
    <w:autoRedefine/>
    <w:qFormat/>
    <w:uiPriority w:val="0"/>
    <w:rPr>
      <w:rFonts w:ascii="Tahoma" w:hAnsi="Tahoma"/>
      <w:sz w:val="24"/>
    </w:rPr>
  </w:style>
  <w:style w:type="paragraph" w:customStyle="1" w:styleId="385">
    <w:name w:val="Item List in Table"/>
    <w:basedOn w:val="1"/>
    <w:autoRedefine/>
    <w:qFormat/>
    <w:uiPriority w:val="0"/>
    <w:pPr>
      <w:tabs>
        <w:tab w:val="left" w:pos="425"/>
      </w:tabs>
      <w:ind w:left="425" w:hanging="425"/>
    </w:pPr>
    <w:rPr>
      <w:rFonts w:cs="Calibri"/>
      <w:szCs w:val="20"/>
    </w:rPr>
  </w:style>
  <w:style w:type="paragraph" w:customStyle="1" w:styleId="386">
    <w:name w:val="p0"/>
    <w:basedOn w:val="1"/>
    <w:autoRedefine/>
    <w:qFormat/>
    <w:uiPriority w:val="0"/>
    <w:pPr>
      <w:widowControl/>
    </w:pPr>
    <w:rPr>
      <w:rFonts w:cs="Calibri"/>
      <w:kern w:val="0"/>
      <w:szCs w:val="20"/>
    </w:rPr>
  </w:style>
  <w:style w:type="paragraph" w:customStyle="1" w:styleId="387">
    <w:name w:val="*8. General Text"/>
    <w:basedOn w:val="1"/>
    <w:next w:val="1"/>
    <w:autoRedefine/>
    <w:qFormat/>
    <w:uiPriority w:val="0"/>
    <w:pPr>
      <w:autoSpaceDE w:val="0"/>
      <w:autoSpaceDN w:val="0"/>
      <w:adjustRightInd w:val="0"/>
      <w:spacing w:after="120"/>
    </w:pPr>
    <w:rPr>
      <w:rFonts w:cs="Calibri"/>
      <w:kern w:val="0"/>
      <w:sz w:val="24"/>
      <w:szCs w:val="20"/>
    </w:rPr>
  </w:style>
  <w:style w:type="paragraph" w:customStyle="1" w:styleId="388">
    <w:name w:val="空项目内容"/>
    <w:basedOn w:val="1"/>
    <w:autoRedefine/>
    <w:qFormat/>
    <w:uiPriority w:val="0"/>
    <w:pPr>
      <w:tabs>
        <w:tab w:val="left" w:pos="720"/>
      </w:tabs>
      <w:spacing w:line="360" w:lineRule="auto"/>
      <w:ind w:left="720" w:hanging="720"/>
    </w:pPr>
    <w:rPr>
      <w:rFonts w:cs="Calibri"/>
      <w:sz w:val="24"/>
      <w:szCs w:val="20"/>
    </w:rPr>
  </w:style>
  <w:style w:type="paragraph" w:customStyle="1" w:styleId="389">
    <w:name w:val="Table Heading"/>
    <w:basedOn w:val="1"/>
    <w:autoRedefine/>
    <w:qFormat/>
    <w:uiPriority w:val="0"/>
    <w:rPr>
      <w:rFonts w:ascii="宋体" w:hAnsi="宋体" w:cs="Calibri"/>
      <w:b/>
      <w:kern w:val="0"/>
      <w:szCs w:val="20"/>
    </w:rPr>
  </w:style>
  <w:style w:type="paragraph" w:customStyle="1" w:styleId="390">
    <w:name w:val="样式 标题 2 + 行距: 1.5 倍行距"/>
    <w:basedOn w:val="4"/>
    <w:autoRedefine/>
    <w:qFormat/>
    <w:uiPriority w:val="0"/>
    <w:pPr>
      <w:widowControl w:val="0"/>
      <w:tabs>
        <w:tab w:val="left" w:pos="425"/>
      </w:tabs>
      <w:spacing w:line="360" w:lineRule="auto"/>
      <w:ind w:left="425" w:hanging="425"/>
    </w:pPr>
    <w:rPr>
      <w:rFonts w:cs="Calibri"/>
      <w:b/>
      <w:kern w:val="2"/>
      <w:sz w:val="32"/>
      <w:lang w:val="en-US"/>
    </w:rPr>
  </w:style>
  <w:style w:type="paragraph" w:customStyle="1" w:styleId="391">
    <w:name w:val="样式 正文缩进正文（首行缩进两字）表正文正文非缩进特点标题4段1 + 首行缩进:  2 字符"/>
    <w:basedOn w:val="271"/>
    <w:autoRedefine/>
    <w:qFormat/>
    <w:uiPriority w:val="0"/>
    <w:pPr>
      <w:adjustRightInd w:val="0"/>
      <w:snapToGrid w:val="0"/>
      <w:spacing w:line="360" w:lineRule="auto"/>
      <w:ind w:firstLine="480" w:firstLineChars="200"/>
    </w:pPr>
    <w:rPr>
      <w:sz w:val="24"/>
    </w:rPr>
  </w:style>
  <w:style w:type="paragraph" w:customStyle="1" w:styleId="392">
    <w:name w:val="一级标题"/>
    <w:basedOn w:val="80"/>
    <w:autoRedefine/>
    <w:qFormat/>
    <w:uiPriority w:val="0"/>
    <w:pPr>
      <w:adjustRightInd w:val="0"/>
      <w:spacing w:line="360" w:lineRule="auto"/>
      <w:ind w:left="1985" w:hanging="709"/>
      <w:outlineLvl w:val="3"/>
    </w:pPr>
    <w:rPr>
      <w:rFonts w:ascii="Tahoma" w:hAnsi="Tahoma"/>
      <w:sz w:val="24"/>
    </w:rPr>
  </w:style>
  <w:style w:type="paragraph" w:customStyle="1" w:styleId="393">
    <w:name w:val="楷体粗正文文字"/>
    <w:basedOn w:val="1"/>
    <w:next w:val="290"/>
    <w:autoRedefine/>
    <w:qFormat/>
    <w:uiPriority w:val="0"/>
    <w:pPr>
      <w:snapToGrid w:val="0"/>
      <w:spacing w:line="480" w:lineRule="exact"/>
      <w:ind w:firstLine="560"/>
    </w:pPr>
    <w:rPr>
      <w:rFonts w:cs="Calibri"/>
      <w:sz w:val="28"/>
      <w:szCs w:val="20"/>
    </w:rPr>
  </w:style>
  <w:style w:type="paragraph" w:customStyle="1" w:styleId="394">
    <w:name w:val="Date2"/>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95">
    <w:name w:val="修订8"/>
    <w:autoRedefine/>
    <w:qFormat/>
    <w:uiPriority w:val="0"/>
    <w:rPr>
      <w:rFonts w:ascii="Calibri" w:hAnsi="Calibri" w:eastAsia="宋体" w:cs="Calibri"/>
      <w:kern w:val="2"/>
      <w:sz w:val="21"/>
      <w:lang w:val="en-US" w:eastAsia="zh-CN" w:bidi="ar-SA"/>
    </w:rPr>
  </w:style>
  <w:style w:type="paragraph" w:customStyle="1" w:styleId="396">
    <w:name w:val="1 Char Char Char Char"/>
    <w:basedOn w:val="1"/>
    <w:autoRedefine/>
    <w:qFormat/>
    <w:uiPriority w:val="0"/>
    <w:rPr>
      <w:rFonts w:ascii="Tahoma" w:hAnsi="Tahoma" w:cs="Calibri"/>
      <w:sz w:val="24"/>
      <w:szCs w:val="20"/>
    </w:rPr>
  </w:style>
  <w:style w:type="paragraph" w:customStyle="1" w:styleId="397">
    <w:name w:val="文档正文 Char Char Char Char Char"/>
    <w:basedOn w:val="1"/>
    <w:autoRedefine/>
    <w:qFormat/>
    <w:uiPriority w:val="0"/>
    <w:pPr>
      <w:adjustRightInd w:val="0"/>
      <w:spacing w:line="440" w:lineRule="exact"/>
      <w:ind w:left="100" w:leftChars="100" w:right="100" w:rightChars="100" w:firstLine="420"/>
      <w:textAlignment w:val="baseline"/>
    </w:pPr>
    <w:rPr>
      <w:rFonts w:ascii="Arial Narrow" w:hAnsi="Arial Narrow" w:cs="Calibri"/>
      <w:kern w:val="0"/>
      <w:sz w:val="24"/>
      <w:szCs w:val="20"/>
    </w:rPr>
  </w:style>
  <w:style w:type="paragraph" w:customStyle="1" w:styleId="398">
    <w:name w:val="招标文件1"/>
    <w:basedOn w:val="1"/>
    <w:autoRedefine/>
    <w:qFormat/>
    <w:uiPriority w:val="0"/>
    <w:pPr>
      <w:tabs>
        <w:tab w:val="left" w:pos="420"/>
      </w:tabs>
      <w:spacing w:before="120" w:after="120" w:line="480" w:lineRule="exact"/>
      <w:ind w:left="200"/>
      <w:outlineLvl w:val="1"/>
    </w:pPr>
    <w:rPr>
      <w:rFonts w:ascii="宋体" w:cs="Calibri"/>
      <w:b/>
      <w:spacing w:val="10"/>
      <w:w w:val="95"/>
      <w:kern w:val="0"/>
      <w:sz w:val="28"/>
      <w:szCs w:val="20"/>
    </w:rPr>
  </w:style>
  <w:style w:type="paragraph" w:customStyle="1" w:styleId="399">
    <w:name w:val="Char Char Char Char Char Char Char1"/>
    <w:basedOn w:val="1"/>
    <w:autoRedefine/>
    <w:qFormat/>
    <w:uiPriority w:val="0"/>
    <w:rPr>
      <w:rFonts w:cs="Calibri"/>
      <w:szCs w:val="20"/>
    </w:rPr>
  </w:style>
  <w:style w:type="paragraph" w:customStyle="1" w:styleId="400">
    <w:name w:val="招标文件1.1.1"/>
    <w:autoRedefine/>
    <w:qFormat/>
    <w:uiPriority w:val="0"/>
    <w:pPr>
      <w:spacing w:before="120" w:after="120" w:line="480" w:lineRule="exact"/>
      <w:ind w:left="200"/>
      <w:outlineLvl w:val="3"/>
    </w:pPr>
    <w:rPr>
      <w:rFonts w:ascii="宋体" w:hAnsi="Calibri" w:eastAsia="宋体" w:cs="Calibri"/>
      <w:b/>
      <w:spacing w:val="10"/>
      <w:w w:val="95"/>
      <w:sz w:val="21"/>
      <w:lang w:val="en-US" w:eastAsia="zh-CN" w:bidi="ar-SA"/>
    </w:rPr>
  </w:style>
  <w:style w:type="paragraph" w:customStyle="1" w:styleId="401">
    <w:name w:val="脚注文本1"/>
    <w:basedOn w:val="1"/>
    <w:autoRedefine/>
    <w:qFormat/>
    <w:uiPriority w:val="0"/>
    <w:pPr>
      <w:snapToGrid w:val="0"/>
    </w:pPr>
    <w:rPr>
      <w:rFonts w:cs="Calibri"/>
      <w:sz w:val="18"/>
      <w:szCs w:val="20"/>
    </w:rPr>
  </w:style>
  <w:style w:type="paragraph" w:customStyle="1" w:styleId="402">
    <w:name w:val="标题3"/>
    <w:basedOn w:val="6"/>
    <w:next w:val="305"/>
    <w:autoRedefine/>
    <w:qFormat/>
    <w:uiPriority w:val="0"/>
    <w:pPr>
      <w:widowControl w:val="0"/>
      <w:numPr>
        <w:ilvl w:val="0"/>
        <w:numId w:val="0"/>
      </w:numPr>
      <w:tabs>
        <w:tab w:val="clear" w:pos="720"/>
      </w:tabs>
      <w:spacing w:before="260" w:after="260" w:line="413" w:lineRule="auto"/>
      <w:ind w:left="720" w:hanging="720"/>
      <w:jc w:val="both"/>
    </w:pPr>
    <w:rPr>
      <w:rFonts w:ascii="黑体" w:hAnsi="Calibri" w:eastAsia="黑体"/>
      <w:kern w:val="2"/>
      <w:sz w:val="28"/>
      <w:lang w:val="en-US"/>
    </w:rPr>
  </w:style>
  <w:style w:type="paragraph" w:customStyle="1" w:styleId="403">
    <w:name w:val="Char Char Char Char Char Char1 Char Char Char Char"/>
    <w:basedOn w:val="80"/>
    <w:autoRedefine/>
    <w:qFormat/>
    <w:uiPriority w:val="0"/>
  </w:style>
  <w:style w:type="paragraph" w:customStyle="1" w:styleId="404">
    <w:name w:val="样式 标题 1 + 行距: 1.5 倍行距1"/>
    <w:basedOn w:val="3"/>
    <w:autoRedefine/>
    <w:qFormat/>
    <w:uiPriority w:val="0"/>
    <w:pPr>
      <w:keepLines/>
      <w:widowControl w:val="0"/>
      <w:tabs>
        <w:tab w:val="left" w:pos="425"/>
        <w:tab w:val="clear" w:pos="432"/>
      </w:tabs>
      <w:spacing w:before="340" w:after="330" w:line="360" w:lineRule="auto"/>
      <w:ind w:left="425" w:hanging="425"/>
      <w:jc w:val="both"/>
    </w:pPr>
    <w:rPr>
      <w:rFonts w:ascii="Calibri" w:hAnsi="Calibri" w:cs="Times New Roman"/>
      <w:kern w:val="44"/>
      <w:sz w:val="44"/>
      <w:lang w:val="en-US"/>
    </w:rPr>
  </w:style>
  <w:style w:type="paragraph" w:customStyle="1" w:styleId="405">
    <w:name w:val="Char Char Char Char Char Char Char Char Char Char Char Char Char Char Char Char"/>
    <w:basedOn w:val="1"/>
    <w:autoRedefine/>
    <w:qFormat/>
    <w:uiPriority w:val="0"/>
    <w:rPr>
      <w:rFonts w:ascii="Tahoma" w:hAnsi="Tahoma" w:cs="Calibri"/>
      <w:sz w:val="24"/>
      <w:szCs w:val="20"/>
    </w:rPr>
  </w:style>
  <w:style w:type="paragraph" w:customStyle="1" w:styleId="406">
    <w:name w:val="样式 标题 1Heading 0H1PIM 1123321Title1卷标题h11.ch章节标题第*部分..."/>
    <w:basedOn w:val="3"/>
    <w:autoRedefine/>
    <w:qFormat/>
    <w:uiPriority w:val="0"/>
    <w:pPr>
      <w:keepLines/>
      <w:widowControl w:val="0"/>
      <w:tabs>
        <w:tab w:val="left" w:pos="420"/>
        <w:tab w:val="clear" w:pos="432"/>
      </w:tabs>
      <w:spacing w:before="340" w:after="330" w:line="360" w:lineRule="auto"/>
      <w:ind w:left="420" w:hanging="420"/>
      <w:jc w:val="both"/>
    </w:pPr>
    <w:rPr>
      <w:rFonts w:ascii="Arial" w:hAnsi="Arial" w:cs="Times New Roman"/>
      <w:color w:val="000000"/>
      <w:kern w:val="44"/>
      <w:sz w:val="44"/>
      <w:lang w:val="en-US"/>
    </w:rPr>
  </w:style>
  <w:style w:type="paragraph" w:customStyle="1" w:styleId="407">
    <w:name w:val="标题1"/>
    <w:basedOn w:val="32"/>
    <w:autoRedefine/>
    <w:qFormat/>
    <w:uiPriority w:val="0"/>
    <w:pPr>
      <w:tabs>
        <w:tab w:val="right" w:leader="underscore" w:pos="9061"/>
        <w:tab w:val="clear" w:pos="8302"/>
      </w:tabs>
      <w:spacing w:before="120" w:after="120" w:line="240" w:lineRule="auto"/>
      <w:jc w:val="left"/>
    </w:pPr>
    <w:rPr>
      <w:rFonts w:ascii="方正姚体" w:hAnsi="宋体" w:eastAsia="方正姚体" w:cs="Calibri"/>
      <w:i/>
      <w:caps/>
      <w:sz w:val="20"/>
      <w:szCs w:val="20"/>
    </w:rPr>
  </w:style>
  <w:style w:type="paragraph" w:customStyle="1" w:styleId="408">
    <w:name w:val="正文文字(ALT+W)"/>
    <w:basedOn w:val="1"/>
    <w:next w:val="271"/>
    <w:autoRedefine/>
    <w:qFormat/>
    <w:uiPriority w:val="0"/>
    <w:pPr>
      <w:adjustRightInd w:val="0"/>
      <w:snapToGrid w:val="0"/>
      <w:spacing w:line="360" w:lineRule="auto"/>
      <w:ind w:firstLine="420"/>
    </w:pPr>
    <w:rPr>
      <w:rFonts w:cs="Calibri"/>
      <w:sz w:val="24"/>
      <w:szCs w:val="20"/>
    </w:rPr>
  </w:style>
  <w:style w:type="paragraph" w:customStyle="1" w:styleId="409">
    <w:name w:val="列出段落4"/>
    <w:basedOn w:val="1"/>
    <w:autoRedefine/>
    <w:qFormat/>
    <w:uiPriority w:val="0"/>
    <w:pPr>
      <w:ind w:firstLine="420" w:firstLineChars="200"/>
    </w:pPr>
    <w:rPr>
      <w:rFonts w:cs="Calibri"/>
      <w:szCs w:val="20"/>
    </w:rPr>
  </w:style>
  <w:style w:type="paragraph" w:customStyle="1" w:styleId="410">
    <w:name w:val="Char Char1 Char Char Char Char1 Char Char Char Char Char Char Char Char Char Char Char Char1"/>
    <w:basedOn w:val="1"/>
    <w:autoRedefine/>
    <w:qFormat/>
    <w:uiPriority w:val="0"/>
    <w:rPr>
      <w:rFonts w:ascii="Tahoma" w:hAnsi="Tahoma" w:cs="Calibri"/>
      <w:sz w:val="24"/>
      <w:szCs w:val="20"/>
    </w:rPr>
  </w:style>
  <w:style w:type="paragraph" w:customStyle="1" w:styleId="411">
    <w:name w:val="prop1"/>
    <w:basedOn w:val="7"/>
    <w:autoRedefine/>
    <w:qFormat/>
    <w:uiPriority w:val="0"/>
    <w:pPr>
      <w:tabs>
        <w:tab w:val="left" w:pos="425"/>
      </w:tabs>
      <w:ind w:left="425" w:hanging="425"/>
    </w:pPr>
    <w:rPr>
      <w:rFonts w:eastAsia="黑体" w:cs="Calibri"/>
      <w:bCs w:val="0"/>
      <w:szCs w:val="20"/>
    </w:rPr>
  </w:style>
  <w:style w:type="paragraph" w:customStyle="1" w:styleId="412">
    <w:name w:val="gczx正文"/>
    <w:basedOn w:val="1"/>
    <w:autoRedefine/>
    <w:qFormat/>
    <w:uiPriority w:val="0"/>
    <w:pPr>
      <w:spacing w:beforeLines="25" w:afterLines="25" w:line="440" w:lineRule="exact"/>
      <w:ind w:firstLine="200" w:firstLineChars="200"/>
    </w:pPr>
    <w:rPr>
      <w:rFonts w:cs="Calibri"/>
      <w:sz w:val="24"/>
      <w:szCs w:val="20"/>
    </w:rPr>
  </w:style>
  <w:style w:type="paragraph" w:customStyle="1" w:styleId="413">
    <w:name w:val="正文首行缩进2字符"/>
    <w:basedOn w:val="1"/>
    <w:autoRedefine/>
    <w:qFormat/>
    <w:uiPriority w:val="0"/>
    <w:pPr>
      <w:widowControl/>
      <w:spacing w:line="276" w:lineRule="auto"/>
      <w:ind w:firstLine="420" w:firstLineChars="200"/>
      <w:jc w:val="left"/>
    </w:pPr>
    <w:rPr>
      <w:rFonts w:ascii="Cambria" w:hAnsi="Cambria" w:cs="Calibri"/>
      <w:kern w:val="0"/>
      <w:szCs w:val="20"/>
    </w:rPr>
  </w:style>
  <w:style w:type="paragraph" w:customStyle="1" w:styleId="414">
    <w:name w:val="Char Char2"/>
    <w:basedOn w:val="1"/>
    <w:autoRedefine/>
    <w:qFormat/>
    <w:uiPriority w:val="0"/>
    <w:rPr>
      <w:rFonts w:ascii="Tahoma" w:hAnsi="Tahoma" w:cs="Calibri"/>
      <w:sz w:val="24"/>
      <w:szCs w:val="20"/>
    </w:rPr>
  </w:style>
  <w:style w:type="paragraph" w:customStyle="1" w:styleId="415">
    <w:name w:val="正文表格"/>
    <w:basedOn w:val="1"/>
    <w:autoRedefine/>
    <w:qFormat/>
    <w:uiPriority w:val="0"/>
    <w:pPr>
      <w:ind w:left="10" w:leftChars="10" w:right="10" w:rightChars="10"/>
    </w:pPr>
    <w:rPr>
      <w:rFonts w:cs="Calibri"/>
      <w:szCs w:val="20"/>
    </w:rPr>
  </w:style>
  <w:style w:type="paragraph" w:customStyle="1" w:styleId="416">
    <w:name w:val="招标文件》"/>
    <w:basedOn w:val="322"/>
    <w:autoRedefine/>
    <w:qFormat/>
    <w:uiPriority w:val="0"/>
    <w:pPr>
      <w:tabs>
        <w:tab w:val="left" w:pos="560"/>
      </w:tabs>
      <w:ind w:left="200" w:firstLine="0" w:firstLineChars="0"/>
    </w:pPr>
  </w:style>
  <w:style w:type="paragraph" w:customStyle="1" w:styleId="417">
    <w:name w:val="a"/>
    <w:basedOn w:val="1"/>
    <w:autoRedefine/>
    <w:qFormat/>
    <w:uiPriority w:val="0"/>
    <w:pPr>
      <w:widowControl/>
      <w:spacing w:before="100" w:beforeAutospacing="1" w:after="100" w:afterAutospacing="1"/>
    </w:pPr>
    <w:rPr>
      <w:rFonts w:ascii="宋体" w:hAnsi="宋体" w:cs="Calibri"/>
      <w:kern w:val="0"/>
      <w:sz w:val="24"/>
      <w:szCs w:val="20"/>
    </w:rPr>
  </w:style>
  <w:style w:type="paragraph" w:customStyle="1" w:styleId="418">
    <w:name w:val="List Bullet1"/>
    <w:basedOn w:val="1"/>
    <w:autoRedefine/>
    <w:qFormat/>
    <w:uiPriority w:val="0"/>
    <w:pPr>
      <w:widowControl/>
      <w:tabs>
        <w:tab w:val="left" w:pos="987"/>
      </w:tabs>
      <w:adjustRightInd w:val="0"/>
      <w:snapToGrid w:val="0"/>
      <w:spacing w:line="360" w:lineRule="auto"/>
      <w:ind w:left="987" w:hanging="420"/>
    </w:pPr>
    <w:rPr>
      <w:rFonts w:cs="Calibri"/>
      <w:kern w:val="0"/>
      <w:sz w:val="24"/>
      <w:szCs w:val="20"/>
    </w:rPr>
  </w:style>
  <w:style w:type="paragraph" w:customStyle="1" w:styleId="419">
    <w:name w:val="样式3"/>
    <w:basedOn w:val="4"/>
    <w:autoRedefine/>
    <w:qFormat/>
    <w:uiPriority w:val="0"/>
    <w:pPr>
      <w:widowControl w:val="0"/>
      <w:tabs>
        <w:tab w:val="left" w:pos="576"/>
      </w:tabs>
      <w:spacing w:before="0" w:after="0" w:line="360" w:lineRule="auto"/>
      <w:ind w:left="576" w:hanging="576"/>
    </w:pPr>
    <w:rPr>
      <w:rFonts w:ascii="宋体" w:hAnsi="宋体" w:cs="Calibri"/>
      <w:b/>
      <w:kern w:val="2"/>
      <w:lang w:val="en-US"/>
    </w:rPr>
  </w:style>
  <w:style w:type="paragraph" w:customStyle="1" w:styleId="420">
    <w:name w:val="文本框样式1"/>
    <w:basedOn w:val="1"/>
    <w:autoRedefine/>
    <w:qFormat/>
    <w:uiPriority w:val="0"/>
    <w:pPr>
      <w:adjustRightInd w:val="0"/>
      <w:snapToGrid w:val="0"/>
      <w:spacing w:before="60" w:line="180" w:lineRule="exact"/>
    </w:pPr>
    <w:rPr>
      <w:rFonts w:cs="Calibri"/>
      <w:szCs w:val="20"/>
    </w:rPr>
  </w:style>
  <w:style w:type="paragraph" w:customStyle="1" w:styleId="421">
    <w:name w:val="目录4"/>
    <w:basedOn w:val="1"/>
    <w:autoRedefine/>
    <w:qFormat/>
    <w:uiPriority w:val="0"/>
    <w:pPr>
      <w:widowControl/>
      <w:tabs>
        <w:tab w:val="left" w:pos="425"/>
      </w:tabs>
      <w:spacing w:line="360" w:lineRule="auto"/>
      <w:ind w:left="179" w:hanging="179"/>
    </w:pPr>
    <w:rPr>
      <w:rFonts w:ascii="宋体" w:hAnsi="宋体" w:cs="Calibri"/>
      <w:b/>
      <w:kern w:val="0"/>
      <w:szCs w:val="20"/>
    </w:rPr>
  </w:style>
  <w:style w:type="paragraph" w:customStyle="1" w:styleId="422">
    <w:name w:val="1正文首行缩进"/>
    <w:basedOn w:val="1"/>
    <w:autoRedefine/>
    <w:qFormat/>
    <w:uiPriority w:val="0"/>
    <w:pPr>
      <w:spacing w:line="460" w:lineRule="atLeast"/>
      <w:ind w:firstLine="200" w:firstLineChars="200"/>
    </w:pPr>
    <w:rPr>
      <w:rFonts w:hint="eastAsia" w:ascii="宋体" w:hAnsi="宋体" w:cs="Calibri"/>
      <w:sz w:val="24"/>
      <w:szCs w:val="20"/>
    </w:rPr>
  </w:style>
  <w:style w:type="paragraph" w:customStyle="1" w:styleId="423">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alibri"/>
      <w:kern w:val="0"/>
      <w:sz w:val="20"/>
      <w:szCs w:val="20"/>
    </w:rPr>
  </w:style>
  <w:style w:type="paragraph" w:customStyle="1" w:styleId="424">
    <w:name w:val="样式 首行缩进:  2 字符"/>
    <w:basedOn w:val="1"/>
    <w:autoRedefine/>
    <w:qFormat/>
    <w:uiPriority w:val="0"/>
    <w:pPr>
      <w:spacing w:line="480" w:lineRule="exact"/>
      <w:ind w:firstLine="560" w:firstLineChars="200"/>
    </w:pPr>
    <w:rPr>
      <w:rFonts w:eastAsia="仿宋_GB2312" w:cs="Calibri"/>
      <w:sz w:val="28"/>
      <w:szCs w:val="20"/>
    </w:rPr>
  </w:style>
  <w:style w:type="paragraph" w:customStyle="1" w:styleId="425">
    <w:name w:val="默认段落字体 Para Char"/>
    <w:basedOn w:val="275"/>
    <w:next w:val="275"/>
    <w:autoRedefine/>
    <w:qFormat/>
    <w:uiPriority w:val="0"/>
    <w:pPr>
      <w:adjustRightInd w:val="0"/>
      <w:snapToGrid w:val="0"/>
      <w:spacing w:beforeLines="50" w:afterLines="100" w:line="360" w:lineRule="auto"/>
      <w:ind w:left="0" w:leftChars="0" w:firstLine="200"/>
    </w:pPr>
    <w:rPr>
      <w:rFonts w:ascii="Tahoma" w:hAnsi="Tahoma"/>
    </w:rPr>
  </w:style>
  <w:style w:type="paragraph" w:customStyle="1" w:styleId="426">
    <w:name w:val="样式 标题 2 + 宋体 五号 行距: 单倍行距"/>
    <w:basedOn w:val="4"/>
    <w:autoRedefine/>
    <w:qFormat/>
    <w:uiPriority w:val="0"/>
    <w:pPr>
      <w:widowControl w:val="0"/>
      <w:adjustRightInd w:val="0"/>
      <w:spacing w:line="240" w:lineRule="auto"/>
      <w:ind w:left="360"/>
      <w:textAlignment w:val="baseline"/>
    </w:pPr>
    <w:rPr>
      <w:rFonts w:ascii="宋体" w:hAnsi="宋体" w:cs="Calibri"/>
      <w:b/>
      <w:sz w:val="21"/>
      <w:lang w:val="en-US"/>
    </w:rPr>
  </w:style>
  <w:style w:type="paragraph" w:customStyle="1" w:styleId="427">
    <w:name w:val="标题6"/>
    <w:basedOn w:val="1"/>
    <w:autoRedefine/>
    <w:qFormat/>
    <w:uiPriority w:val="0"/>
    <w:pPr>
      <w:spacing w:before="240" w:after="240" w:line="360" w:lineRule="auto"/>
      <w:jc w:val="center"/>
      <w:outlineLvl w:val="0"/>
    </w:pPr>
    <w:rPr>
      <w:rFonts w:ascii="宋体" w:cs="Calibri"/>
      <w:sz w:val="32"/>
      <w:szCs w:val="20"/>
    </w:rPr>
  </w:style>
  <w:style w:type="paragraph" w:customStyle="1" w:styleId="428">
    <w:name w:val="招标文件1.1.1.1"/>
    <w:basedOn w:val="1"/>
    <w:autoRedefine/>
    <w:qFormat/>
    <w:uiPriority w:val="0"/>
    <w:pPr>
      <w:spacing w:before="120" w:after="120" w:line="480" w:lineRule="exact"/>
      <w:ind w:left="200"/>
      <w:outlineLvl w:val="4"/>
    </w:pPr>
    <w:rPr>
      <w:rFonts w:ascii="宋体" w:cs="Calibri"/>
      <w:b/>
      <w:spacing w:val="10"/>
      <w:w w:val="95"/>
      <w:szCs w:val="20"/>
    </w:rPr>
  </w:style>
  <w:style w:type="paragraph" w:customStyle="1" w:styleId="429">
    <w:name w:val="Table Text"/>
    <w:basedOn w:val="1"/>
    <w:autoRedefine/>
    <w:qFormat/>
    <w:uiPriority w:val="0"/>
    <w:pPr>
      <w:widowControl/>
      <w:spacing w:before="60" w:after="60" w:line="360" w:lineRule="auto"/>
      <w:ind w:left="181" w:leftChars="86" w:firstLine="210" w:firstLineChars="100"/>
    </w:pPr>
    <w:rPr>
      <w:rFonts w:ascii="宋体" w:hAnsi="宋体" w:cs="Calibri"/>
      <w:kern w:val="0"/>
      <w:szCs w:val="20"/>
    </w:rPr>
  </w:style>
  <w:style w:type="paragraph" w:customStyle="1" w:styleId="430">
    <w:name w:val="图中文字"/>
    <w:basedOn w:val="1"/>
    <w:autoRedefine/>
    <w:qFormat/>
    <w:uiPriority w:val="0"/>
    <w:pPr>
      <w:adjustRightInd w:val="0"/>
      <w:snapToGrid w:val="0"/>
      <w:spacing w:line="0" w:lineRule="atLeast"/>
    </w:pPr>
    <w:rPr>
      <w:rFonts w:cs="Calibri"/>
      <w:szCs w:val="20"/>
    </w:rPr>
  </w:style>
  <w:style w:type="paragraph" w:customStyle="1" w:styleId="431">
    <w:name w:val="Char31"/>
    <w:basedOn w:val="1"/>
    <w:autoRedefine/>
    <w:qFormat/>
    <w:uiPriority w:val="0"/>
    <w:rPr>
      <w:rFonts w:ascii="Tahoma" w:hAnsi="Tahoma" w:cs="Calibri"/>
      <w:sz w:val="24"/>
      <w:szCs w:val="20"/>
    </w:rPr>
  </w:style>
  <w:style w:type="paragraph" w:customStyle="1" w:styleId="432">
    <w:name w:val="Char Char1 Char Char Char Char1 Char Char Char Char Char Char Char Char Char Char Char Char"/>
    <w:basedOn w:val="1"/>
    <w:autoRedefine/>
    <w:qFormat/>
    <w:uiPriority w:val="0"/>
    <w:rPr>
      <w:rFonts w:ascii="Tahoma" w:hAnsi="Tahoma" w:cs="Calibri"/>
      <w:sz w:val="24"/>
      <w:szCs w:val="20"/>
    </w:rPr>
  </w:style>
  <w:style w:type="paragraph" w:customStyle="1" w:styleId="433">
    <w:name w:val="正文文字（缩进2字）"/>
    <w:basedOn w:val="305"/>
    <w:autoRedefine/>
    <w:qFormat/>
    <w:uiPriority w:val="0"/>
    <w:pPr>
      <w:spacing w:beforeLines="50" w:afterLines="50" w:line="240" w:lineRule="auto"/>
      <w:ind w:firstLine="200" w:firstLineChars="200"/>
    </w:pPr>
    <w:rPr>
      <w:rFonts w:ascii="Times New Roman" w:eastAsia="宋体"/>
      <w:color w:val="auto"/>
    </w:rPr>
  </w:style>
  <w:style w:type="paragraph" w:customStyle="1" w:styleId="434">
    <w:name w:val="Char3"/>
    <w:basedOn w:val="1"/>
    <w:autoRedefine/>
    <w:qFormat/>
    <w:uiPriority w:val="0"/>
    <w:rPr>
      <w:rFonts w:cs="Calibri"/>
      <w:szCs w:val="20"/>
    </w:rPr>
  </w:style>
  <w:style w:type="paragraph" w:customStyle="1" w:styleId="435">
    <w:name w:val="Char1 Char Char Char Char Char Char1"/>
    <w:basedOn w:val="1"/>
    <w:autoRedefine/>
    <w:qFormat/>
    <w:uiPriority w:val="0"/>
    <w:rPr>
      <w:rFonts w:ascii="Tahoma" w:hAnsi="Tahoma" w:cs="Calibri"/>
      <w:sz w:val="24"/>
      <w:szCs w:val="20"/>
    </w:rPr>
  </w:style>
  <w:style w:type="paragraph" w:customStyle="1" w:styleId="436">
    <w:name w:val="普通正文"/>
    <w:basedOn w:val="1"/>
    <w:autoRedefine/>
    <w:qFormat/>
    <w:uiPriority w:val="0"/>
    <w:pPr>
      <w:adjustRightInd w:val="0"/>
      <w:spacing w:before="120" w:after="120" w:line="360" w:lineRule="auto"/>
      <w:ind w:firstLine="480"/>
      <w:jc w:val="left"/>
      <w:textAlignment w:val="baseline"/>
    </w:pPr>
    <w:rPr>
      <w:rFonts w:ascii="Arial" w:hAnsi="Arial" w:cs="Calibri"/>
      <w:kern w:val="0"/>
      <w:sz w:val="24"/>
      <w:szCs w:val="20"/>
    </w:rPr>
  </w:style>
  <w:style w:type="paragraph" w:customStyle="1" w:styleId="437">
    <w:name w:val="Char Char Char Char Char Char1 Char Char Char Char Char Char Char Char Char Char Char Char Char Char"/>
    <w:basedOn w:val="1"/>
    <w:autoRedefine/>
    <w:qFormat/>
    <w:uiPriority w:val="0"/>
    <w:pPr>
      <w:widowControl/>
      <w:spacing w:after="160" w:line="240" w:lineRule="exact"/>
    </w:pPr>
    <w:rPr>
      <w:rFonts w:ascii="Verdana" w:hAnsi="Verdana" w:eastAsia="仿宋_GB2312" w:cs="Calibri"/>
      <w:kern w:val="0"/>
      <w:sz w:val="24"/>
      <w:szCs w:val="20"/>
      <w:lang w:eastAsia="en-US"/>
    </w:rPr>
  </w:style>
  <w:style w:type="character" w:customStyle="1" w:styleId="438">
    <w:name w:val="页脚 字符"/>
    <w:autoRedefine/>
    <w:qFormat/>
    <w:uiPriority w:val="99"/>
  </w:style>
  <w:style w:type="character" w:customStyle="1" w:styleId="439">
    <w:name w:val="批注文字 Char3"/>
    <w:autoRedefine/>
    <w:semiHidden/>
    <w:qFormat/>
    <w:uiPriority w:val="99"/>
    <w:rPr>
      <w:kern w:val="2"/>
      <w:sz w:val="21"/>
    </w:rPr>
  </w:style>
  <w:style w:type="character" w:customStyle="1" w:styleId="440">
    <w:name w:val="页脚 Char2"/>
    <w:autoRedefine/>
    <w:semiHidden/>
    <w:qFormat/>
    <w:uiPriority w:val="99"/>
    <w:rPr>
      <w:kern w:val="2"/>
      <w:sz w:val="18"/>
      <w:szCs w:val="18"/>
    </w:rPr>
  </w:style>
  <w:style w:type="character" w:customStyle="1" w:styleId="441">
    <w:name w:val="页眉 Char2"/>
    <w:autoRedefine/>
    <w:semiHidden/>
    <w:qFormat/>
    <w:uiPriority w:val="99"/>
    <w:rPr>
      <w:kern w:val="2"/>
      <w:sz w:val="18"/>
      <w:szCs w:val="18"/>
    </w:rPr>
  </w:style>
  <w:style w:type="paragraph" w:customStyle="1" w:styleId="442">
    <w:name w:val="纯文本3"/>
    <w:basedOn w:val="1"/>
    <w:autoRedefine/>
    <w:qFormat/>
    <w:uiPriority w:val="0"/>
    <w:rPr>
      <w:rFonts w:ascii="宋体" w:hAnsi="Courier New"/>
      <w:szCs w:val="20"/>
    </w:rPr>
  </w:style>
  <w:style w:type="character" w:customStyle="1" w:styleId="443">
    <w:name w:val="页码2"/>
    <w:autoRedefine/>
    <w:qFormat/>
    <w:uiPriority w:val="0"/>
  </w:style>
  <w:style w:type="paragraph" w:customStyle="1" w:styleId="444">
    <w:name w:val="页脚3"/>
    <w:basedOn w:val="1"/>
    <w:autoRedefine/>
    <w:qFormat/>
    <w:uiPriority w:val="0"/>
    <w:pPr>
      <w:tabs>
        <w:tab w:val="center" w:pos="4153"/>
        <w:tab w:val="right" w:pos="8306"/>
      </w:tabs>
      <w:snapToGrid w:val="0"/>
      <w:jc w:val="left"/>
    </w:pPr>
    <w:rPr>
      <w:sz w:val="18"/>
      <w:szCs w:val="20"/>
    </w:rPr>
  </w:style>
  <w:style w:type="character" w:customStyle="1" w:styleId="445">
    <w:name w:val="批注引用2"/>
    <w:autoRedefine/>
    <w:qFormat/>
    <w:uiPriority w:val="0"/>
    <w:rPr>
      <w:sz w:val="21"/>
    </w:rPr>
  </w:style>
  <w:style w:type="paragraph" w:customStyle="1" w:styleId="446">
    <w:name w:val="批注框文本3"/>
    <w:basedOn w:val="1"/>
    <w:autoRedefine/>
    <w:qFormat/>
    <w:uiPriority w:val="0"/>
    <w:rPr>
      <w:sz w:val="18"/>
      <w:szCs w:val="20"/>
    </w:rPr>
  </w:style>
  <w:style w:type="paragraph" w:customStyle="1" w:styleId="447">
    <w:name w:val="批注主题3"/>
    <w:basedOn w:val="448"/>
    <w:next w:val="448"/>
    <w:autoRedefine/>
    <w:qFormat/>
    <w:uiPriority w:val="0"/>
    <w:rPr>
      <w:b/>
    </w:rPr>
  </w:style>
  <w:style w:type="paragraph" w:customStyle="1" w:styleId="448">
    <w:name w:val="批注文字3"/>
    <w:basedOn w:val="1"/>
    <w:autoRedefine/>
    <w:qFormat/>
    <w:uiPriority w:val="0"/>
    <w:pPr>
      <w:jc w:val="left"/>
    </w:pPr>
    <w:rPr>
      <w:szCs w:val="20"/>
    </w:rPr>
  </w:style>
  <w:style w:type="paragraph" w:customStyle="1" w:styleId="449">
    <w:name w:val="页眉3"/>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450">
    <w:name w:val="批注文字 Char2"/>
    <w:autoRedefine/>
    <w:semiHidden/>
    <w:qFormat/>
    <w:uiPriority w:val="99"/>
    <w:rPr>
      <w:kern w:val="2"/>
      <w:sz w:val="21"/>
    </w:rPr>
  </w:style>
  <w:style w:type="paragraph" w:customStyle="1" w:styleId="451">
    <w:name w:val="正文文本缩进2"/>
    <w:basedOn w:val="1"/>
    <w:autoRedefine/>
    <w:qFormat/>
    <w:uiPriority w:val="0"/>
    <w:pPr>
      <w:spacing w:after="120"/>
      <w:ind w:left="420" w:leftChars="200"/>
    </w:pPr>
    <w:rPr>
      <w:kern w:val="0"/>
      <w:sz w:val="24"/>
      <w:szCs w:val="20"/>
    </w:rPr>
  </w:style>
  <w:style w:type="paragraph" w:customStyle="1" w:styleId="452">
    <w:name w:val="正文缩进3"/>
    <w:basedOn w:val="1"/>
    <w:autoRedefine/>
    <w:qFormat/>
    <w:uiPriority w:val="0"/>
    <w:pPr>
      <w:ind w:firstLine="420"/>
    </w:pPr>
    <w:rPr>
      <w:rFonts w:cs="Calibri"/>
      <w:szCs w:val="20"/>
    </w:rPr>
  </w:style>
  <w:style w:type="paragraph" w:customStyle="1" w:styleId="453">
    <w:name w:val="修订9"/>
    <w:autoRedefine/>
    <w:qFormat/>
    <w:uiPriority w:val="0"/>
    <w:rPr>
      <w:rFonts w:ascii="Calibri" w:hAnsi="Calibri" w:eastAsia="宋体" w:cs="Calibri"/>
      <w:kern w:val="2"/>
      <w:sz w:val="21"/>
      <w:lang w:val="en-US" w:eastAsia="zh-CN" w:bidi="ar-SA"/>
    </w:rPr>
  </w:style>
  <w:style w:type="paragraph" w:customStyle="1" w:styleId="454">
    <w:name w:val="列出段落5"/>
    <w:basedOn w:val="1"/>
    <w:autoRedefine/>
    <w:qFormat/>
    <w:uiPriority w:val="0"/>
    <w:pPr>
      <w:ind w:firstLine="420" w:firstLineChars="200"/>
    </w:pPr>
    <w:rPr>
      <w:rFonts w:cs="Calibri"/>
      <w:szCs w:val="20"/>
    </w:rPr>
  </w:style>
  <w:style w:type="paragraph" w:customStyle="1" w:styleId="455">
    <w:name w:val="标题7"/>
    <w:basedOn w:val="1"/>
    <w:autoRedefine/>
    <w:qFormat/>
    <w:uiPriority w:val="0"/>
    <w:pPr>
      <w:spacing w:before="240" w:after="240" w:line="360" w:lineRule="auto"/>
      <w:jc w:val="center"/>
      <w:outlineLvl w:val="0"/>
    </w:pPr>
    <w:rPr>
      <w:rFonts w:ascii="宋体" w:cs="Calibri"/>
      <w:sz w:val="32"/>
      <w:szCs w:val="20"/>
    </w:rPr>
  </w:style>
  <w:style w:type="table" w:customStyle="1" w:styleId="456">
    <w:name w:val="Table Normal"/>
    <w:autoRedefine/>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57">
    <w:name w:val="修订10"/>
    <w:autoRedefine/>
    <w:unhideWhenUsed/>
    <w:qFormat/>
    <w:uiPriority w:val="99"/>
    <w:rPr>
      <w:rFonts w:ascii="Calibri" w:hAnsi="Calibri" w:eastAsia="宋体" w:cs="Times New Roman"/>
      <w:kern w:val="2"/>
      <w:sz w:val="21"/>
      <w:szCs w:val="22"/>
      <w:lang w:val="en-US" w:eastAsia="zh-CN" w:bidi="ar-SA"/>
    </w:rPr>
  </w:style>
  <w:style w:type="paragraph" w:styleId="458">
    <w:name w:val="List Paragraph"/>
    <w:basedOn w:val="1"/>
    <w:link w:val="475"/>
    <w:autoRedefine/>
    <w:qFormat/>
    <w:uiPriority w:val="34"/>
    <w:pPr>
      <w:ind w:firstLine="420" w:firstLineChars="200"/>
    </w:pPr>
  </w:style>
  <w:style w:type="paragraph" w:customStyle="1" w:styleId="459">
    <w:name w:val="_Style 2"/>
    <w:basedOn w:val="1"/>
    <w:autoRedefine/>
    <w:qFormat/>
    <w:uiPriority w:val="34"/>
    <w:pPr>
      <w:ind w:firstLine="420" w:firstLineChars="200"/>
    </w:pPr>
  </w:style>
  <w:style w:type="paragraph" w:customStyle="1" w:styleId="460">
    <w:name w:val="标题 5（有编号）（绿盟科技）"/>
    <w:basedOn w:val="1"/>
    <w:next w:val="461"/>
    <w:autoRedefine/>
    <w:qFormat/>
    <w:uiPriority w:val="0"/>
    <w:pPr>
      <w:keepNext/>
      <w:keepLines/>
      <w:numPr>
        <w:ilvl w:val="4"/>
        <w:numId w:val="4"/>
      </w:numPr>
      <w:tabs>
        <w:tab w:val="left" w:pos="0"/>
      </w:tabs>
      <w:spacing w:before="280" w:after="156" w:line="377" w:lineRule="auto"/>
      <w:outlineLvl w:val="4"/>
    </w:pPr>
    <w:rPr>
      <w:rFonts w:ascii="Arial" w:hAnsi="Arial" w:eastAsia="黑体"/>
      <w:b/>
      <w:sz w:val="24"/>
      <w:szCs w:val="28"/>
    </w:rPr>
  </w:style>
  <w:style w:type="paragraph" w:customStyle="1" w:styleId="461">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62">
    <w:name w:val="修订11"/>
    <w:autoRedefine/>
    <w:hidden/>
    <w:unhideWhenUsed/>
    <w:qFormat/>
    <w:uiPriority w:val="99"/>
    <w:rPr>
      <w:rFonts w:ascii="Calibri" w:hAnsi="Calibri" w:eastAsia="宋体" w:cs="Times New Roman"/>
      <w:kern w:val="2"/>
      <w:sz w:val="21"/>
      <w:szCs w:val="22"/>
      <w:lang w:val="en-US" w:eastAsia="zh-CN" w:bidi="ar-SA"/>
    </w:rPr>
  </w:style>
  <w:style w:type="paragraph" w:customStyle="1" w:styleId="46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65">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6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宋体"/>
      <w:b/>
      <w:bCs/>
      <w:kern w:val="0"/>
      <w:szCs w:val="21"/>
    </w:rPr>
  </w:style>
  <w:style w:type="paragraph" w:customStyle="1" w:styleId="468">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等线" w:hAnsi="等线" w:eastAsia="等线" w:cs="宋体"/>
      <w:kern w:val="0"/>
      <w:szCs w:val="21"/>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kern w:val="0"/>
      <w:szCs w:val="21"/>
    </w:rPr>
  </w:style>
  <w:style w:type="paragraph" w:customStyle="1" w:styleId="47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kern w:val="0"/>
      <w:szCs w:val="21"/>
    </w:rPr>
  </w:style>
  <w:style w:type="paragraph" w:customStyle="1" w:styleId="47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等线" w:hAnsi="等线" w:eastAsia="等线" w:cs="宋体"/>
      <w:kern w:val="0"/>
      <w:szCs w:val="21"/>
    </w:rPr>
  </w:style>
  <w:style w:type="paragraph" w:customStyle="1" w:styleId="47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table" w:customStyle="1" w:styleId="473">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4">
    <w:name w:val="自由格式 A"/>
    <w:autoRedefine/>
    <w:qFormat/>
    <w:uiPriority w:val="0"/>
    <w:rPr>
      <w:rFonts w:ascii="Times New Roman" w:hAnsi="Times New Roman" w:eastAsia="ヒラギノ角ゴ Pro W3" w:cs="Times New Roman"/>
      <w:color w:val="000000"/>
      <w:lang w:val="en-US" w:eastAsia="zh-CN" w:bidi="ar-SA"/>
    </w:rPr>
  </w:style>
  <w:style w:type="character" w:customStyle="1" w:styleId="475">
    <w:name w:val="列出段落 Char1"/>
    <w:link w:val="458"/>
    <w:autoRedefine/>
    <w:qFormat/>
    <w:uiPriority w:val="34"/>
    <w:rPr>
      <w:rFonts w:ascii="Calibri" w:hAnsi="Calibri"/>
      <w:kern w:val="2"/>
      <w:sz w:val="21"/>
      <w:szCs w:val="22"/>
    </w:rPr>
  </w:style>
  <w:style w:type="character" w:customStyle="1" w:styleId="476">
    <w:name w:val="正文缩进 Char1"/>
    <w:autoRedefine/>
    <w:qFormat/>
    <w:uiPriority w:val="0"/>
    <w:rPr>
      <w:rFonts w:ascii="宋体"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customXml" Target="ink/ink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3-02-23T15:15:44"/>
    </inkml:context>
    <inkml:brush xml:id="br0">
      <inkml:brushProperty name="width" value="0.05292" units="cm"/>
      <inkml:brushProperty name="height" value="0.05292" units="cm"/>
      <inkml:brushProperty name="color" value="#f80600"/>
    </inkml:brush>
  </inkml:definitions>
  <inkml:trace contextRef="#ctx0" brushRef="#br0">9990 144939,'0'0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07D03-3BF5-493B-B514-A76C605FD57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136</Pages>
  <Words>11842</Words>
  <Characters>67506</Characters>
  <Lines>562</Lines>
  <Paragraphs>158</Paragraphs>
  <TotalTime>9</TotalTime>
  <ScaleCrop>false</ScaleCrop>
  <LinksUpToDate>false</LinksUpToDate>
  <CharactersWithSpaces>79190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2025-01-17T08:23:00Z</dcterms:created>
  <dc:creator>张超</dc:creator>
  <cp:lastModifiedBy>微信用户</cp:lastModifiedBy>
  <dcterms:modified xsi:type="dcterms:W3CDTF">2025-01-22T03:09:44Z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EB8FD53ECFB6407493D5E0DA74AD2420_13</vt:lpwstr>
  </property>
  <property fmtid="{D5CDD505-2E9C-101B-9397-08002B2CF9AE}" pid="4" name="KSOTemplateDocerSaveRecord">
    <vt:lpwstr>eyJoZGlkIjoiOTY2YmQzOTRiNjdhMTgzOGJkMGE2NmQ2N2U1ZmZiNDAiLCJ1c2VySWQiOiIzMzYxODg0MDUifQ==</vt:lpwstr>
  </property>
</Properties>
</file>