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63F6C">
      <w:pPr>
        <w:jc w:val="center"/>
        <w:outlineLvl w:val="0"/>
        <w:rPr>
          <w:rFonts w:ascii="Times New Roman" w:hAnsi="Times New Roman"/>
          <w:b/>
          <w:sz w:val="36"/>
          <w:szCs w:val="36"/>
          <w:highlight w:val="none"/>
        </w:rPr>
      </w:pPr>
      <w:bookmarkStart w:id="1" w:name="_GoBack"/>
      <w:bookmarkEnd w:id="1"/>
      <w:bookmarkStart w:id="0" w:name="_Toc151506296"/>
      <w:r>
        <w:rPr>
          <w:rFonts w:ascii="Times New Roman" w:hAnsi="Times New Roman"/>
          <w:b/>
          <w:sz w:val="36"/>
          <w:szCs w:val="36"/>
          <w:highlight w:val="none"/>
        </w:rPr>
        <w:t>第五章  采购需求</w:t>
      </w:r>
      <w:bookmarkEnd w:id="0"/>
    </w:p>
    <w:p w14:paraId="22E0856A">
      <w:pPr>
        <w:pStyle w:val="8"/>
        <w:spacing w:beforeLines="50" w:line="360" w:lineRule="auto"/>
        <w:ind w:firstLine="0"/>
        <w:rPr>
          <w:rFonts w:ascii="宋体" w:hAnsi="宋体" w:cs="宋体"/>
          <w:b/>
          <w:highlight w:val="none"/>
        </w:rPr>
      </w:pPr>
      <w:r>
        <w:rPr>
          <w:rFonts w:hint="eastAsia" w:ascii="宋体" w:hAnsi="宋体" w:cs="宋体"/>
          <w:b/>
          <w:highlight w:val="none"/>
        </w:rPr>
        <w:t>一、采购标的需实现的功能或者目标，以及为落实政府采购政策需满足的要求</w:t>
      </w:r>
    </w:p>
    <w:p w14:paraId="3E31208C">
      <w:pPr>
        <w:pStyle w:val="8"/>
        <w:tabs>
          <w:tab w:val="left" w:pos="7980"/>
        </w:tabs>
        <w:snapToGrid/>
        <w:spacing w:beforeLines="50" w:line="360" w:lineRule="auto"/>
        <w:ind w:firstLine="0"/>
        <w:rPr>
          <w:rFonts w:ascii="宋体" w:hAnsi="宋体" w:cs="宋体"/>
          <w:b/>
          <w:bCs/>
          <w:highlight w:val="none"/>
        </w:rPr>
      </w:pPr>
      <w:r>
        <w:rPr>
          <w:rFonts w:hint="eastAsia" w:ascii="宋体" w:hAnsi="宋体" w:cs="宋体"/>
          <w:b/>
          <w:bCs/>
          <w:highlight w:val="none"/>
        </w:rPr>
        <w:t>(一)采购标的需实现的功能或者目标：</w:t>
      </w:r>
    </w:p>
    <w:p w14:paraId="5AB6EAC3">
      <w:pPr>
        <w:autoSpaceDE w:val="0"/>
        <w:autoSpaceDN w:val="0"/>
        <w:adjustRightInd w:val="0"/>
        <w:spacing w:before="50" w:line="360" w:lineRule="auto"/>
        <w:ind w:firstLine="480" w:firstLineChars="200"/>
        <w:rPr>
          <w:rFonts w:ascii="宋体" w:hAnsi="宋体" w:cs="宋体"/>
          <w:sz w:val="24"/>
          <w:highlight w:val="none"/>
        </w:rPr>
      </w:pPr>
      <w:r>
        <w:rPr>
          <w:rFonts w:hint="eastAsia" w:ascii="宋体" w:hAnsi="宋体" w:cs="宋体"/>
          <w:sz w:val="24"/>
          <w:highlight w:val="none"/>
        </w:rPr>
        <w:t>本次招标采购是为首都医科大学附属北京朝阳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0171D633">
      <w:pPr>
        <w:pStyle w:val="8"/>
        <w:snapToGrid/>
        <w:spacing w:beforeLines="50" w:line="360" w:lineRule="auto"/>
        <w:ind w:firstLine="0"/>
        <w:rPr>
          <w:rFonts w:ascii="宋体" w:hAnsi="宋体" w:cs="宋体"/>
          <w:b/>
          <w:bCs/>
          <w:highlight w:val="none"/>
        </w:rPr>
      </w:pPr>
      <w:r>
        <w:rPr>
          <w:rFonts w:hint="eastAsia" w:ascii="宋体" w:hAnsi="宋体" w:cs="宋体"/>
          <w:b/>
          <w:bCs/>
          <w:highlight w:val="none"/>
        </w:rPr>
        <w:t>（二）为落实政府采购政策需满足的要求</w:t>
      </w:r>
    </w:p>
    <w:p w14:paraId="23078A19">
      <w:pPr>
        <w:numPr>
          <w:ilvl w:val="0"/>
          <w:numId w:val="1"/>
        </w:numPr>
        <w:tabs>
          <w:tab w:val="left" w:pos="900"/>
        </w:tabs>
        <w:spacing w:before="120" w:beforeLines="50" w:line="360" w:lineRule="auto"/>
        <w:rPr>
          <w:rFonts w:ascii="宋体" w:hAnsi="宋体" w:cs="宋体"/>
          <w:sz w:val="24"/>
          <w:highlight w:val="none"/>
        </w:rPr>
      </w:pPr>
      <w:r>
        <w:rPr>
          <w:rFonts w:hint="eastAsia" w:ascii="宋体" w:hAnsi="宋体" w:cs="宋体"/>
          <w:sz w:val="24"/>
          <w:highlight w:val="none"/>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359CECCF">
      <w:pPr>
        <w:pStyle w:val="8"/>
        <w:numPr>
          <w:ilvl w:val="0"/>
          <w:numId w:val="1"/>
        </w:numPr>
        <w:spacing w:beforeLines="50" w:line="360" w:lineRule="auto"/>
        <w:rPr>
          <w:rFonts w:ascii="宋体" w:hAnsi="宋体" w:cs="宋体"/>
          <w:highlight w:val="none"/>
        </w:rPr>
      </w:pPr>
      <w:r>
        <w:rPr>
          <w:rFonts w:hint="eastAsia" w:ascii="宋体" w:hAnsi="宋体" w:cs="宋体"/>
          <w:highlight w:val="none"/>
        </w:rPr>
        <w:t>监狱企业扶持政策：</w:t>
      </w:r>
      <w:r>
        <w:rPr>
          <w:rFonts w:hint="eastAsia" w:ascii="宋体" w:hAnsi="宋体" w:cs="宋体"/>
          <w:iCs/>
          <w:highlight w:val="none"/>
        </w:rPr>
        <w:t>投标人如为监狱企业将视同为小型或微型企业，</w:t>
      </w:r>
      <w:r>
        <w:rPr>
          <w:rFonts w:hint="eastAsia" w:ascii="宋体" w:hAnsi="宋体" w:cs="宋体"/>
          <w:highlight w:val="none"/>
        </w:rPr>
        <w:t>且所提供的服务为小型或微型企业承接的，</w:t>
      </w:r>
      <w:r>
        <w:rPr>
          <w:rFonts w:hint="eastAsia" w:ascii="宋体" w:hAnsi="宋体" w:cs="宋体"/>
          <w:iCs/>
          <w:highlight w:val="none"/>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hint="eastAsia" w:ascii="宋体" w:hAnsi="宋体" w:cs="宋体"/>
          <w:highlight w:val="none"/>
        </w:rPr>
        <w:t>。</w:t>
      </w:r>
    </w:p>
    <w:p w14:paraId="33C6069A">
      <w:pPr>
        <w:pStyle w:val="8"/>
        <w:numPr>
          <w:ilvl w:val="0"/>
          <w:numId w:val="1"/>
        </w:numPr>
        <w:spacing w:beforeLines="50" w:line="360" w:lineRule="auto"/>
        <w:rPr>
          <w:rFonts w:ascii="宋体" w:hAnsi="宋体" w:cs="宋体"/>
          <w:highlight w:val="none"/>
        </w:rPr>
      </w:pPr>
      <w:r>
        <w:rPr>
          <w:rFonts w:hint="eastAsia" w:ascii="宋体" w:hAnsi="宋体" w:cs="宋体"/>
          <w:highlight w:val="none"/>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154D671E">
      <w:pPr>
        <w:numPr>
          <w:ilvl w:val="0"/>
          <w:numId w:val="1"/>
        </w:numPr>
        <w:tabs>
          <w:tab w:val="left" w:pos="900"/>
        </w:tabs>
        <w:spacing w:before="120" w:beforeLines="50" w:line="360" w:lineRule="auto"/>
        <w:rPr>
          <w:rFonts w:ascii="宋体" w:hAnsi="宋体" w:cs="宋体"/>
          <w:sz w:val="24"/>
          <w:highlight w:val="none"/>
        </w:rPr>
      </w:pPr>
      <w:r>
        <w:rPr>
          <w:rFonts w:hint="eastAsia" w:ascii="宋体" w:hAnsi="宋体" w:cs="宋体"/>
          <w:sz w:val="24"/>
          <w:highlight w:val="none"/>
        </w:rPr>
        <w:t>鼓励节能政策：投标人的</w:t>
      </w:r>
      <w:r>
        <w:rPr>
          <w:rFonts w:hint="eastAsia" w:ascii="宋体" w:hAnsi="宋体" w:cs="宋体"/>
          <w:kern w:val="0"/>
          <w:sz w:val="24"/>
          <w:highlight w:val="none"/>
        </w:rPr>
        <w:t>投标产品属于财政部、发展改革委公布的“节能产品政府采购品目清单”范围的</w:t>
      </w:r>
      <w:r>
        <w:rPr>
          <w:rFonts w:hint="eastAsia" w:ascii="宋体" w:hAnsi="宋体" w:cs="宋体"/>
          <w:sz w:val="24"/>
          <w:highlight w:val="none"/>
        </w:rPr>
        <w:t>，投标人需提供</w:t>
      </w:r>
      <w:r>
        <w:rPr>
          <w:rFonts w:hint="eastAsia" w:ascii="宋体" w:hAnsi="宋体" w:cs="宋体"/>
          <w:kern w:val="0"/>
          <w:sz w:val="24"/>
          <w:highlight w:val="none"/>
        </w:rPr>
        <w:t>国家确定的</w:t>
      </w:r>
      <w:r>
        <w:rPr>
          <w:rFonts w:hint="eastAsia" w:ascii="宋体" w:hAnsi="宋体" w:cs="宋体"/>
          <w:sz w:val="24"/>
          <w:highlight w:val="none"/>
        </w:rPr>
        <w:t>认证机构出具的、处于有效期之内的节能产品认证证书。</w:t>
      </w:r>
      <w:r>
        <w:rPr>
          <w:rFonts w:hint="eastAsia" w:ascii="宋体" w:hAnsi="宋体" w:cs="宋体"/>
          <w:kern w:val="0"/>
          <w:sz w:val="24"/>
          <w:highlight w:val="none"/>
        </w:rPr>
        <w:t>国家确定的</w:t>
      </w:r>
      <w:r>
        <w:rPr>
          <w:rFonts w:hint="eastAsia" w:ascii="宋体" w:hAnsi="宋体" w:cs="宋体"/>
          <w:sz w:val="24"/>
          <w:highlight w:val="none"/>
        </w:rPr>
        <w:t>认证机构和节能产品获证产品信息可从市场监管总局组建的节能产品、环境标志产品认证结果信息发布平台或中国政府采购网（www.ccgp.gov.cn）建立的认证结果信息发布平台链接中查询下载。</w:t>
      </w:r>
    </w:p>
    <w:p w14:paraId="2076778F">
      <w:pPr>
        <w:numPr>
          <w:ilvl w:val="0"/>
          <w:numId w:val="1"/>
        </w:numPr>
        <w:tabs>
          <w:tab w:val="left" w:pos="900"/>
        </w:tabs>
        <w:spacing w:before="120" w:beforeLines="50" w:line="360" w:lineRule="auto"/>
        <w:rPr>
          <w:rFonts w:ascii="宋体" w:hAnsi="宋体" w:cs="宋体"/>
          <w:sz w:val="24"/>
          <w:highlight w:val="none"/>
        </w:rPr>
      </w:pPr>
      <w:r>
        <w:rPr>
          <w:rFonts w:hint="eastAsia" w:ascii="宋体" w:hAnsi="宋体" w:cs="宋体"/>
          <w:sz w:val="24"/>
          <w:highlight w:val="none"/>
        </w:rPr>
        <w:t>鼓励环保政策：投标人的</w:t>
      </w:r>
      <w:r>
        <w:rPr>
          <w:rFonts w:hint="eastAsia" w:ascii="宋体" w:hAnsi="宋体" w:cs="宋体"/>
          <w:kern w:val="0"/>
          <w:sz w:val="24"/>
          <w:highlight w:val="none"/>
        </w:rPr>
        <w:t>投标产品属于财政部、生态环境部公布的“环境标志产品政府采购品目清单”范围的</w:t>
      </w:r>
      <w:r>
        <w:rPr>
          <w:rFonts w:hint="eastAsia" w:ascii="宋体" w:hAnsi="宋体" w:cs="宋体"/>
          <w:sz w:val="24"/>
          <w:highlight w:val="none"/>
        </w:rPr>
        <w:t>，投标人需提供</w:t>
      </w:r>
      <w:r>
        <w:rPr>
          <w:rFonts w:hint="eastAsia" w:ascii="宋体" w:hAnsi="宋体" w:cs="宋体"/>
          <w:kern w:val="0"/>
          <w:sz w:val="24"/>
          <w:highlight w:val="none"/>
        </w:rPr>
        <w:t>国家确定的</w:t>
      </w:r>
      <w:r>
        <w:rPr>
          <w:rFonts w:hint="eastAsia" w:ascii="宋体" w:hAnsi="宋体" w:cs="宋体"/>
          <w:sz w:val="24"/>
          <w:highlight w:val="none"/>
        </w:rPr>
        <w:t>认证机构出具的、处于有效期之内的</w:t>
      </w:r>
      <w:r>
        <w:rPr>
          <w:rFonts w:hint="eastAsia" w:ascii="宋体" w:hAnsi="宋体" w:cs="宋体"/>
          <w:kern w:val="0"/>
          <w:sz w:val="24"/>
          <w:highlight w:val="none"/>
        </w:rPr>
        <w:t>环境标志</w:t>
      </w:r>
      <w:r>
        <w:rPr>
          <w:rFonts w:hint="eastAsia" w:ascii="宋体" w:hAnsi="宋体" w:cs="宋体"/>
          <w:sz w:val="24"/>
          <w:highlight w:val="none"/>
        </w:rPr>
        <w:t>产品认证证书。</w:t>
      </w:r>
      <w:r>
        <w:rPr>
          <w:rFonts w:hint="eastAsia" w:ascii="宋体" w:hAnsi="宋体" w:cs="宋体"/>
          <w:kern w:val="0"/>
          <w:sz w:val="24"/>
          <w:highlight w:val="none"/>
        </w:rPr>
        <w:t>国家确定的</w:t>
      </w:r>
      <w:r>
        <w:rPr>
          <w:rFonts w:hint="eastAsia" w:ascii="宋体" w:hAnsi="宋体" w:cs="宋体"/>
          <w:sz w:val="24"/>
          <w:highlight w:val="none"/>
        </w:rPr>
        <w:t>认证机构和</w:t>
      </w:r>
      <w:r>
        <w:rPr>
          <w:rFonts w:hint="eastAsia" w:ascii="宋体" w:hAnsi="宋体" w:cs="宋体"/>
          <w:kern w:val="0"/>
          <w:sz w:val="24"/>
          <w:highlight w:val="none"/>
        </w:rPr>
        <w:t>环境标志</w:t>
      </w:r>
      <w:r>
        <w:rPr>
          <w:rFonts w:hint="eastAsia" w:ascii="宋体" w:hAnsi="宋体" w:cs="宋体"/>
          <w:sz w:val="24"/>
          <w:highlight w:val="none"/>
        </w:rPr>
        <w:t>产品获证产品信息可从市场监管总局组建的节能产品、环境标志产品认证结果信息发布平台或中国政府采购网（www.ccgp.gov.cn）建立的认证结果信息发布平台链接中查询下载。</w:t>
      </w:r>
    </w:p>
    <w:p w14:paraId="205E031A">
      <w:pPr>
        <w:pStyle w:val="8"/>
        <w:spacing w:beforeLines="50" w:line="360" w:lineRule="auto"/>
        <w:ind w:firstLine="0"/>
        <w:rPr>
          <w:rFonts w:ascii="宋体" w:hAnsi="宋体" w:cs="宋体"/>
          <w:b/>
          <w:highlight w:val="none"/>
        </w:rPr>
      </w:pPr>
      <w:r>
        <w:rPr>
          <w:rFonts w:hint="eastAsia" w:ascii="宋体" w:hAnsi="宋体" w:cs="宋体"/>
          <w:b/>
          <w:highlight w:val="none"/>
        </w:rPr>
        <w:t>二、采购标的需执行的国家相关标准、行业标准、地方标准或者其他标准、规范</w:t>
      </w:r>
    </w:p>
    <w:p w14:paraId="1EB8F4A2">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★1.投标产品属于医疗器械的，应按原国家食品药品监督管理总局颁发的《医疗器械注册管理办法》，办理医疗器械注册证或者办理备案，投标人须提供医疗器械注册证复印件或备案凭证。</w:t>
      </w:r>
    </w:p>
    <w:p w14:paraId="04212B68">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14:paraId="76104FAF">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14:paraId="6F8204EC">
      <w:pPr>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EDE5314">
      <w:pPr>
        <w:spacing w:line="360" w:lineRule="auto"/>
        <w:ind w:firstLine="480" w:firstLineChars="200"/>
        <w:rPr>
          <w:rFonts w:ascii="宋体" w:hAnsi="宋体" w:cs="宋体"/>
          <w:bCs/>
          <w:sz w:val="24"/>
          <w:highlight w:val="none"/>
        </w:rPr>
      </w:pPr>
      <w:r>
        <w:rPr>
          <w:rFonts w:hint="eastAsia" w:ascii="宋体" w:hAnsi="宋体" w:cs="宋体"/>
          <w:bCs/>
          <w:sz w:val="24"/>
          <w:highlight w:val="none"/>
          <w:lang w:val="en-US" w:eastAsia="zh-CN"/>
        </w:rPr>
        <w:t>5</w:t>
      </w:r>
      <w:r>
        <w:rPr>
          <w:rFonts w:hint="eastAsia" w:ascii="宋体" w:hAnsi="宋体" w:cs="宋体"/>
          <w:b/>
          <w:bCs w:val="0"/>
          <w:sz w:val="24"/>
          <w:highlight w:val="none"/>
          <w:lang w:val="en-US" w:eastAsia="zh-CN"/>
        </w:rPr>
        <w:t>.</w:t>
      </w:r>
      <w:r>
        <w:rPr>
          <w:rFonts w:hint="eastAsia" w:ascii="宋体" w:hAnsi="宋体" w:cs="宋体"/>
          <w:bCs/>
          <w:sz w:val="24"/>
          <w:highlight w:val="none"/>
        </w:rPr>
        <w:t>投标产品的包装应符合《财政部等三部门联合印发商品包装和快递包装政府采购需求标准（试行）》（财办库〔2020〕123号）的规定。</w:t>
      </w:r>
    </w:p>
    <w:p w14:paraId="3734EFDC">
      <w:pPr>
        <w:pStyle w:val="8"/>
        <w:spacing w:beforeLines="50" w:line="360" w:lineRule="auto"/>
        <w:ind w:firstLine="0"/>
        <w:rPr>
          <w:rFonts w:ascii="宋体" w:hAnsi="宋体" w:cs="宋体"/>
          <w:b/>
          <w:highlight w:val="none"/>
        </w:rPr>
      </w:pPr>
      <w:r>
        <w:rPr>
          <w:rFonts w:hint="eastAsia" w:ascii="宋体" w:hAnsi="宋体" w:cs="宋体"/>
          <w:b/>
          <w:highlight w:val="none"/>
        </w:rPr>
        <w:t>三、采购标的的数量、采购项目交付或者实施的时间和地点</w:t>
      </w:r>
    </w:p>
    <w:p w14:paraId="0D46C595">
      <w:pPr>
        <w:pStyle w:val="8"/>
        <w:snapToGrid/>
        <w:spacing w:beforeLines="50" w:line="360" w:lineRule="auto"/>
        <w:ind w:left="-208" w:firstLine="0"/>
        <w:rPr>
          <w:rFonts w:ascii="宋体" w:hAnsi="宋体" w:cs="宋体"/>
          <w:b/>
          <w:highlight w:val="none"/>
        </w:rPr>
      </w:pPr>
      <w:r>
        <w:rPr>
          <w:rFonts w:hint="eastAsia" w:ascii="宋体" w:hAnsi="宋体" w:cs="宋体"/>
          <w:b/>
          <w:highlight w:val="none"/>
        </w:rPr>
        <w:t>（一）采购标的的数量</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967"/>
        <w:gridCol w:w="2550"/>
        <w:gridCol w:w="1533"/>
        <w:gridCol w:w="1750"/>
        <w:gridCol w:w="960"/>
        <w:gridCol w:w="1155"/>
      </w:tblGrid>
      <w:tr w14:paraId="38A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dxa"/>
            <w:vAlign w:val="center"/>
          </w:tcPr>
          <w:p w14:paraId="66B16B77">
            <w:pPr>
              <w:spacing w:line="240" w:lineRule="auto"/>
              <w:jc w:val="center"/>
              <w:rPr>
                <w:rFonts w:ascii="宋体" w:hAnsi="宋体" w:cs="宋体"/>
                <w:b/>
                <w:szCs w:val="21"/>
                <w:highlight w:val="none"/>
              </w:rPr>
            </w:pPr>
            <w:r>
              <w:rPr>
                <w:rFonts w:hint="eastAsia" w:ascii="宋体" w:hAnsi="宋体" w:cs="宋体"/>
                <w:b/>
                <w:szCs w:val="21"/>
                <w:highlight w:val="none"/>
              </w:rPr>
              <w:t>包号</w:t>
            </w:r>
          </w:p>
        </w:tc>
        <w:tc>
          <w:tcPr>
            <w:tcW w:w="967" w:type="dxa"/>
            <w:vAlign w:val="center"/>
          </w:tcPr>
          <w:p w14:paraId="5701E8CF">
            <w:pPr>
              <w:spacing w:line="240" w:lineRule="auto"/>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品目号</w:t>
            </w:r>
          </w:p>
        </w:tc>
        <w:tc>
          <w:tcPr>
            <w:tcW w:w="2550" w:type="dxa"/>
            <w:vAlign w:val="center"/>
          </w:tcPr>
          <w:p w14:paraId="2BEA83E5">
            <w:pPr>
              <w:spacing w:line="240" w:lineRule="auto"/>
              <w:jc w:val="center"/>
              <w:rPr>
                <w:rFonts w:hint="eastAsia" w:ascii="宋体" w:hAnsi="宋体" w:cs="宋体"/>
                <w:b/>
                <w:szCs w:val="21"/>
                <w:highlight w:val="none"/>
              </w:rPr>
            </w:pPr>
            <w:r>
              <w:rPr>
                <w:rFonts w:hint="eastAsia" w:ascii="宋体" w:hAnsi="宋体" w:cs="宋体"/>
                <w:b/>
                <w:szCs w:val="21"/>
                <w:highlight w:val="none"/>
              </w:rPr>
              <w:t>标的名称</w:t>
            </w:r>
          </w:p>
        </w:tc>
        <w:tc>
          <w:tcPr>
            <w:tcW w:w="1533" w:type="dxa"/>
            <w:vAlign w:val="center"/>
          </w:tcPr>
          <w:p w14:paraId="6D30B9EF">
            <w:pPr>
              <w:spacing w:line="240" w:lineRule="auto"/>
              <w:jc w:val="center"/>
              <w:rPr>
                <w:rFonts w:hint="eastAsia" w:ascii="宋体" w:hAnsi="宋体" w:cs="宋体"/>
                <w:b/>
                <w:szCs w:val="21"/>
                <w:highlight w:val="none"/>
              </w:rPr>
            </w:pPr>
            <w:r>
              <w:rPr>
                <w:rFonts w:hint="eastAsia" w:ascii="宋体" w:hAnsi="宋体" w:cs="宋体"/>
                <w:b/>
                <w:szCs w:val="21"/>
                <w:highlight w:val="none"/>
                <w:lang w:val="en-US" w:eastAsia="zh-CN"/>
              </w:rPr>
              <w:t>采购单价预算金额</w:t>
            </w:r>
            <w:r>
              <w:rPr>
                <w:rFonts w:hint="eastAsia" w:ascii="宋体" w:hAnsi="宋体" w:cs="宋体"/>
                <w:b/>
                <w:szCs w:val="21"/>
                <w:highlight w:val="none"/>
              </w:rPr>
              <w:t>（万元）</w:t>
            </w:r>
          </w:p>
        </w:tc>
        <w:tc>
          <w:tcPr>
            <w:tcW w:w="1750" w:type="dxa"/>
            <w:vAlign w:val="center"/>
          </w:tcPr>
          <w:p w14:paraId="1D9EA053">
            <w:pPr>
              <w:spacing w:line="240" w:lineRule="auto"/>
              <w:jc w:val="center"/>
              <w:rPr>
                <w:rFonts w:ascii="宋体" w:hAnsi="宋体" w:cs="宋体"/>
                <w:b/>
                <w:szCs w:val="21"/>
                <w:highlight w:val="none"/>
              </w:rPr>
            </w:pPr>
            <w:r>
              <w:rPr>
                <w:rFonts w:hint="eastAsia" w:ascii="宋体" w:hAnsi="宋体" w:cs="宋体"/>
                <w:b/>
                <w:szCs w:val="21"/>
                <w:highlight w:val="none"/>
              </w:rPr>
              <w:t>采购</w:t>
            </w:r>
            <w:r>
              <w:rPr>
                <w:rFonts w:hint="eastAsia" w:ascii="宋体" w:hAnsi="宋体" w:cs="宋体"/>
                <w:b/>
                <w:szCs w:val="21"/>
                <w:highlight w:val="none"/>
                <w:lang w:val="en-US" w:eastAsia="zh-CN"/>
              </w:rPr>
              <w:t>标的物总</w:t>
            </w:r>
            <w:r>
              <w:rPr>
                <w:rFonts w:hint="eastAsia" w:ascii="宋体" w:hAnsi="宋体" w:cs="宋体"/>
                <w:b/>
                <w:szCs w:val="21"/>
                <w:highlight w:val="none"/>
              </w:rPr>
              <w:t>预算金额（万元）</w:t>
            </w:r>
          </w:p>
        </w:tc>
        <w:tc>
          <w:tcPr>
            <w:tcW w:w="960" w:type="dxa"/>
            <w:vAlign w:val="center"/>
          </w:tcPr>
          <w:p w14:paraId="685B996E">
            <w:pPr>
              <w:spacing w:line="240" w:lineRule="auto"/>
              <w:jc w:val="center"/>
              <w:rPr>
                <w:rFonts w:hint="eastAsia" w:ascii="宋体" w:hAnsi="宋体" w:eastAsia="宋体" w:cs="宋体"/>
                <w:b/>
                <w:szCs w:val="21"/>
                <w:highlight w:val="none"/>
                <w:lang w:eastAsia="zh-CN"/>
              </w:rPr>
            </w:pPr>
            <w:r>
              <w:rPr>
                <w:rFonts w:hint="eastAsia" w:ascii="宋体" w:hAnsi="宋体" w:cs="宋体"/>
                <w:b/>
                <w:szCs w:val="21"/>
                <w:highlight w:val="none"/>
              </w:rPr>
              <w:t>数量</w:t>
            </w:r>
            <w:r>
              <w:rPr>
                <w:rFonts w:hint="eastAsia" w:ascii="宋体" w:hAnsi="宋体" w:cs="宋体"/>
                <w:b/>
                <w:szCs w:val="21"/>
                <w:highlight w:val="none"/>
                <w:lang w:eastAsia="zh-CN"/>
              </w:rPr>
              <w:t>（</w:t>
            </w:r>
            <w:r>
              <w:rPr>
                <w:rFonts w:hint="eastAsia" w:ascii="宋体" w:hAnsi="宋体" w:cs="宋体"/>
                <w:b/>
                <w:szCs w:val="21"/>
                <w:highlight w:val="none"/>
                <w:lang w:val="en-US" w:eastAsia="zh-CN"/>
              </w:rPr>
              <w:t>套/台</w:t>
            </w:r>
            <w:r>
              <w:rPr>
                <w:rFonts w:hint="eastAsia" w:ascii="宋体" w:hAnsi="宋体" w:cs="宋体"/>
                <w:b/>
                <w:szCs w:val="21"/>
                <w:highlight w:val="none"/>
                <w:lang w:eastAsia="zh-CN"/>
              </w:rPr>
              <w:t>）</w:t>
            </w:r>
          </w:p>
        </w:tc>
        <w:tc>
          <w:tcPr>
            <w:tcW w:w="1155" w:type="dxa"/>
            <w:vAlign w:val="center"/>
          </w:tcPr>
          <w:p w14:paraId="715B9712">
            <w:pPr>
              <w:spacing w:line="240" w:lineRule="auto"/>
              <w:jc w:val="center"/>
              <w:rPr>
                <w:rFonts w:hint="default" w:ascii="宋体" w:hAnsi="宋体" w:eastAsia="宋体" w:cs="宋体"/>
                <w:b/>
                <w:szCs w:val="21"/>
                <w:highlight w:val="none"/>
                <w:lang w:val="en-US" w:eastAsia="zh-CN"/>
              </w:rPr>
            </w:pPr>
            <w:r>
              <w:rPr>
                <w:rFonts w:hint="default" w:ascii="宋体" w:hAnsi="宋体" w:eastAsia="宋体" w:cs="宋体"/>
                <w:b/>
                <w:szCs w:val="21"/>
                <w:highlight w:val="none"/>
                <w:lang w:val="en-US" w:eastAsia="zh-CN"/>
              </w:rPr>
              <w:t>是否接受进口产品</w:t>
            </w:r>
          </w:p>
        </w:tc>
      </w:tr>
      <w:tr w14:paraId="5D5F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dxa"/>
            <w:vAlign w:val="center"/>
          </w:tcPr>
          <w:p w14:paraId="44CC6288">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967" w:type="dxa"/>
            <w:vAlign w:val="center"/>
          </w:tcPr>
          <w:p w14:paraId="7A93428A">
            <w:pPr>
              <w:snapToGrid w:val="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12-1</w:t>
            </w:r>
          </w:p>
        </w:tc>
        <w:tc>
          <w:tcPr>
            <w:tcW w:w="2550" w:type="dxa"/>
            <w:shd w:val="clear" w:color="auto" w:fill="auto"/>
            <w:vAlign w:val="center"/>
          </w:tcPr>
          <w:p w14:paraId="2B6F18C0">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szCs w:val="21"/>
                <w:highlight w:val="none"/>
                <w:lang w:val="en-US" w:eastAsia="zh-CN"/>
              </w:rPr>
              <w:t>等离子双极电切电凝系统</w:t>
            </w:r>
          </w:p>
        </w:tc>
        <w:tc>
          <w:tcPr>
            <w:tcW w:w="1533" w:type="dxa"/>
            <w:vAlign w:val="center"/>
          </w:tcPr>
          <w:p w14:paraId="62E7CA1D">
            <w:pPr>
              <w:keepNext w:val="0"/>
              <w:keepLines w:val="0"/>
              <w:widowControl/>
              <w:suppressLineNumbers w:val="0"/>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1750" w:type="dxa"/>
            <w:vAlign w:val="center"/>
          </w:tcPr>
          <w:p w14:paraId="1ACDBF38">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960" w:type="dxa"/>
            <w:vAlign w:val="center"/>
          </w:tcPr>
          <w:p w14:paraId="5756500E">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155" w:type="dxa"/>
            <w:vAlign w:val="center"/>
          </w:tcPr>
          <w:p w14:paraId="5BF921B1">
            <w:pPr>
              <w:snapToGrid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否</w:t>
            </w:r>
          </w:p>
        </w:tc>
      </w:tr>
    </w:tbl>
    <w:p w14:paraId="328053DF">
      <w:pPr>
        <w:pStyle w:val="8"/>
        <w:snapToGrid/>
        <w:spacing w:beforeLines="50" w:line="360" w:lineRule="auto"/>
        <w:ind w:left="-208" w:firstLine="0"/>
        <w:rPr>
          <w:rFonts w:ascii="宋体" w:hAnsi="宋体" w:cs="宋体"/>
          <w:b/>
          <w:highlight w:val="none"/>
        </w:rPr>
      </w:pPr>
      <w:r>
        <w:rPr>
          <w:rFonts w:hint="eastAsia" w:ascii="宋体" w:hAnsi="宋体" w:cs="宋体"/>
          <w:b/>
          <w:highlight w:val="none"/>
        </w:rPr>
        <w:t>（二）采购项目交付或者实施的时间和地点：</w:t>
      </w:r>
    </w:p>
    <w:p w14:paraId="1A625642">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ascii="宋体" w:hAnsi="宋体" w:cs="宋体"/>
          <w:sz w:val="24"/>
          <w:highlight w:val="none"/>
          <w:u w:val="single"/>
        </w:rPr>
      </w:pPr>
      <w:r>
        <w:rPr>
          <w:rFonts w:hint="eastAsia" w:ascii="宋体" w:hAnsi="宋体" w:cs="宋体"/>
          <w:sz w:val="24"/>
          <w:highlight w:val="none"/>
        </w:rPr>
        <w:t>1、采购项目（标的）交付或实施的时间：自合同签订之日起90日内到货。</w:t>
      </w:r>
    </w:p>
    <w:p w14:paraId="192AEC9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4"/>
          <w:highlight w:val="none"/>
          <w:u w:val="single"/>
        </w:rPr>
      </w:pPr>
      <w:r>
        <w:rPr>
          <w:rFonts w:hint="eastAsia" w:ascii="宋体" w:hAnsi="宋体" w:cs="宋体"/>
          <w:sz w:val="24"/>
          <w:highlight w:val="none"/>
        </w:rPr>
        <w:t>2、采购项目（标的）交付或实施的地点：首都医科大学附属北京朝阳医院指定地点。</w:t>
      </w:r>
    </w:p>
    <w:p w14:paraId="4F0A793E">
      <w:pPr>
        <w:pStyle w:val="8"/>
        <w:spacing w:beforeLines="50" w:line="360" w:lineRule="auto"/>
        <w:ind w:firstLine="0"/>
        <w:rPr>
          <w:rFonts w:ascii="宋体" w:hAnsi="宋体" w:cs="宋体"/>
          <w:b/>
          <w:highlight w:val="none"/>
        </w:rPr>
      </w:pPr>
      <w:r>
        <w:rPr>
          <w:rFonts w:hint="eastAsia" w:ascii="宋体" w:hAnsi="宋体" w:cs="宋体"/>
          <w:b/>
          <w:highlight w:val="none"/>
        </w:rPr>
        <w:t>四、采购标的需满足的服务标准、期限、效率等要求</w:t>
      </w:r>
    </w:p>
    <w:p w14:paraId="1302DA6B">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（一）采购标的需满足的服务标准、效率要求</w:t>
      </w:r>
    </w:p>
    <w:p w14:paraId="35DCD8C0">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1. 投标人应有能力做好售后服务工作和提供技术保障。投标人或投标产品制造商应设有专业的售后服务维修机构，有充足的零件储备和能力相当的技术服务人员，并保证投标产品停产后 5 年的备件供应。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16448DC0">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2. 投标人发运货物时，每台设备要提供一整套中文的技术资料，包括安装、操作手册、使用说明、维修保养手册、电路图、零配件清单等，这些资料费应包括在投标报价内。如果采购人确认投标人提供的技术资料不完整或在运输过程中丢失，投标人需保证在收到采购人通知后 3 天内将这些资料免费寄给采购人。</w:t>
      </w:r>
    </w:p>
    <w:p w14:paraId="66E4BD5A">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3. 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14:paraId="023EC86A">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4. 投标人应负责投标货物质量保证期内的免费维修和配件供应，投标人售后服务维修机构应备有所购货物及时维修所需的关键零部件。</w:t>
      </w:r>
    </w:p>
    <w:p w14:paraId="191EED27">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5. 投标人应保证在质量保证期内提供投标货物专用的软件和相应数据库资料的免费升级服务。（如果有）</w:t>
      </w:r>
    </w:p>
    <w:p w14:paraId="65C445A7">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cs="宋体"/>
          <w:sz w:val="24"/>
          <w:highlight w:val="none"/>
        </w:rPr>
      </w:pPr>
      <w:r>
        <w:rPr>
          <w:rFonts w:hint="eastAsia" w:ascii="宋体" w:hAnsi="宋体" w:cs="宋体"/>
          <w:sz w:val="24"/>
          <w:highlight w:val="none"/>
        </w:rPr>
        <w:t>6. 在合同执行期和质量保证期内，投标人应保证在收到要求提供维修服务的通知后 2 小时内给予反馈，24 小时内派合格的技术人员赴现场提供免费服务，解决问题。如不能按采购人要求的时间予以修复，投标人应保证免费提供同类备用设备，供采购人使用。</w:t>
      </w:r>
    </w:p>
    <w:p w14:paraId="427EDE16">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lang w:eastAsia="zh-CN"/>
        </w:rPr>
      </w:pPr>
      <w:r>
        <w:rPr>
          <w:rFonts w:hint="eastAsia" w:ascii="宋体" w:hAnsi="宋体" w:cs="宋体"/>
          <w:sz w:val="24"/>
          <w:highlight w:val="none"/>
        </w:rPr>
        <w:t>7. 保修期满后整机每年常规保修费用不超过购置费的 5%</w:t>
      </w:r>
      <w:r>
        <w:rPr>
          <w:rFonts w:hint="eastAsia" w:ascii="宋体" w:hAnsi="宋体" w:cs="宋体"/>
          <w:sz w:val="24"/>
          <w:highlight w:val="none"/>
          <w:lang w:eastAsia="zh-CN"/>
        </w:rPr>
        <w:t>。</w:t>
      </w:r>
    </w:p>
    <w:p w14:paraId="255A22C9">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（二）采购标的需满足的服务期限要求</w:t>
      </w:r>
    </w:p>
    <w:p w14:paraId="46B30477">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1.质量保证期（保修期）及服务要求：详见每包技术要求中。</w:t>
      </w:r>
    </w:p>
    <w:p w14:paraId="645698E5">
      <w:pPr>
        <w:pStyle w:val="8"/>
        <w:spacing w:beforeLines="50" w:line="360" w:lineRule="auto"/>
        <w:ind w:firstLine="0"/>
        <w:rPr>
          <w:rFonts w:ascii="宋体" w:hAnsi="宋体" w:cs="宋体"/>
          <w:b/>
          <w:highlight w:val="none"/>
        </w:rPr>
      </w:pPr>
      <w:r>
        <w:rPr>
          <w:rFonts w:hint="eastAsia" w:ascii="宋体" w:hAnsi="宋体" w:cs="宋体"/>
          <w:b/>
          <w:highlight w:val="none"/>
        </w:rPr>
        <w:t>五、采购标的物验收标准</w:t>
      </w:r>
    </w:p>
    <w:p w14:paraId="64B417E5">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hAnsi="宋体" w:cs="宋体"/>
          <w:sz w:val="24"/>
          <w:szCs w:val="24"/>
          <w:highlight w:val="none"/>
        </w:rPr>
      </w:pPr>
      <w:r>
        <w:rPr>
          <w:rStyle w:val="7"/>
          <w:rFonts w:hint="default" w:hAnsi="宋体" w:cs="宋体"/>
          <w:sz w:val="24"/>
          <w:szCs w:val="24"/>
          <w:highlight w:val="none"/>
        </w:rPr>
        <w:t>1. 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14:paraId="5333DBD7">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hAnsi="宋体" w:cs="宋体"/>
          <w:sz w:val="24"/>
          <w:szCs w:val="24"/>
          <w:highlight w:val="none"/>
        </w:rPr>
      </w:pPr>
      <w:r>
        <w:rPr>
          <w:rStyle w:val="7"/>
          <w:rFonts w:hint="default" w:hAnsi="宋体" w:cs="宋体"/>
          <w:sz w:val="24"/>
          <w:szCs w:val="24"/>
          <w:highlight w:val="none"/>
        </w:rPr>
        <w:t>2. 货物运抵采购项目（标的）交付的地点后，采购人将组织验收，由采购人组织验收小组，对货物的数量、外观、包装、质量、安全、功能及性能等进行验收，项目验收依据为采购合同、招标文件和投标文件。验收小组将根据验收情况制作验收备忘录并签署验收意见。</w:t>
      </w:r>
    </w:p>
    <w:p w14:paraId="47585D60">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hAnsi="宋体" w:cs="宋体"/>
          <w:sz w:val="24"/>
          <w:szCs w:val="24"/>
          <w:highlight w:val="none"/>
        </w:rPr>
      </w:pPr>
      <w:r>
        <w:rPr>
          <w:rStyle w:val="7"/>
          <w:rFonts w:hint="default" w:hAnsi="宋体" w:cs="宋体"/>
          <w:sz w:val="24"/>
          <w:szCs w:val="24"/>
          <w:highlight w:val="none"/>
        </w:rPr>
        <w:t>3.投标人应负责使所供计量仪器通过计量部门的验收，并承担相关费用（包括运费）。若需要，应在检测期间提供备用仪器，以便不影响采购人的使用。</w:t>
      </w:r>
    </w:p>
    <w:p w14:paraId="467ED3BB">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六、采购标的的其他技术、服务等要求</w:t>
      </w:r>
    </w:p>
    <w:p w14:paraId="1ED7A337">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Times New Roman" w:hAnsi="宋体" w:eastAsia="宋体" w:cs="宋体"/>
          <w:sz w:val="24"/>
          <w:szCs w:val="24"/>
          <w:highlight w:val="none"/>
        </w:rPr>
      </w:pPr>
      <w:r>
        <w:rPr>
          <w:rStyle w:val="7"/>
          <w:rFonts w:hint="eastAsia" w:ascii="Times New Roman" w:hAnsi="宋体" w:eastAsia="宋体" w:cs="宋体"/>
          <w:sz w:val="24"/>
          <w:szCs w:val="24"/>
          <w:highlight w:val="none"/>
          <w:lang w:val="en-US" w:eastAsia="zh-CN"/>
        </w:rPr>
        <w:t>1. 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章的，评标委员会可不予承认，并可认为该技术应答不符合招标文件要求。由此产生的评标风险，由投标人承担。</w:t>
      </w:r>
    </w:p>
    <w:p w14:paraId="6016E572">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Times New Roman" w:hAnsi="宋体" w:eastAsia="宋体" w:cs="宋体"/>
          <w:sz w:val="24"/>
          <w:szCs w:val="24"/>
          <w:highlight w:val="none"/>
        </w:rPr>
      </w:pPr>
      <w:r>
        <w:rPr>
          <w:rStyle w:val="7"/>
          <w:rFonts w:hint="eastAsia" w:ascii="Times New Roman" w:hAnsi="宋体" w:eastAsia="宋体" w:cs="宋体"/>
          <w:sz w:val="24"/>
          <w:szCs w:val="24"/>
          <w:highlight w:val="none"/>
          <w:lang w:val="en-US" w:eastAsia="zh-CN"/>
        </w:rPr>
        <w:t>2. 投标人所提供的部件之间及设备之间的连线或接插件均视为设备内部部件，应包含在相应的配置中。</w:t>
      </w:r>
    </w:p>
    <w:p w14:paraId="07DE182D">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Times New Roman" w:hAnsi="宋体" w:eastAsia="宋体" w:cs="宋体"/>
          <w:sz w:val="24"/>
          <w:szCs w:val="24"/>
          <w:highlight w:val="none"/>
        </w:rPr>
      </w:pPr>
      <w:r>
        <w:rPr>
          <w:rStyle w:val="7"/>
          <w:rFonts w:hint="eastAsia" w:ascii="Times New Roman" w:hAnsi="宋体" w:eastAsia="宋体" w:cs="宋体"/>
          <w:sz w:val="24"/>
          <w:szCs w:val="24"/>
          <w:highlight w:val="none"/>
          <w:lang w:val="en-US" w:eastAsia="zh-CN"/>
        </w:rPr>
        <w:t>3. 工作条件：除了在技术规格中另有规定外，投标人提供的一切仪器、设备和系统，应符合下列条件：</w:t>
      </w:r>
    </w:p>
    <w:p w14:paraId="6599216C">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Times New Roman" w:hAnsi="宋体" w:eastAsia="宋体" w:cs="宋体"/>
          <w:sz w:val="24"/>
          <w:szCs w:val="24"/>
          <w:highlight w:val="none"/>
        </w:rPr>
      </w:pPr>
      <w:r>
        <w:rPr>
          <w:rStyle w:val="7"/>
          <w:rFonts w:hint="eastAsia" w:ascii="Times New Roman" w:hAnsi="宋体" w:eastAsia="宋体" w:cs="宋体"/>
          <w:sz w:val="24"/>
          <w:szCs w:val="24"/>
          <w:highlight w:val="none"/>
          <w:lang w:val="en-US" w:eastAsia="zh-CN"/>
        </w:rPr>
        <w:t xml:space="preserve">1） 仪器设备的插头要符合中国电工标准。如不符合，则应提供适合仪器插头的插座，必须要有接地。 </w:t>
      </w:r>
    </w:p>
    <w:p w14:paraId="73D0C0D1">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default" w:ascii="Times New Roman" w:hAnsi="宋体" w:eastAsia="宋体" w:cs="宋体"/>
          <w:sz w:val="24"/>
          <w:szCs w:val="24"/>
          <w:highlight w:val="none"/>
        </w:rPr>
      </w:pPr>
      <w:r>
        <w:rPr>
          <w:rStyle w:val="7"/>
          <w:rFonts w:hint="eastAsia" w:ascii="Times New Roman" w:hAnsi="宋体" w:eastAsia="宋体" w:cs="宋体"/>
          <w:sz w:val="24"/>
          <w:szCs w:val="24"/>
          <w:highlight w:val="none"/>
          <w:lang w:val="en-US" w:eastAsia="zh-CN"/>
        </w:rPr>
        <w:t xml:space="preserve">2） 如果仪器设备需特殊的工作条件（如：水、电源、磁场强度、特殊温度、湿度、震动强度等），投标人应在有关投标文件中加以说明。 </w:t>
      </w:r>
    </w:p>
    <w:p w14:paraId="4B5A74B2">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Times New Roman" w:hAnsi="宋体" w:eastAsia="宋体" w:cs="宋体"/>
          <w:sz w:val="24"/>
          <w:szCs w:val="24"/>
          <w:highlight w:val="none"/>
          <w:lang w:val="en-US" w:eastAsia="zh-CN"/>
        </w:rPr>
      </w:pPr>
      <w:r>
        <w:rPr>
          <w:rStyle w:val="7"/>
          <w:rFonts w:hint="eastAsia" w:ascii="Times New Roman" w:hAnsi="宋体" w:eastAsia="宋体" w:cs="宋体"/>
          <w:sz w:val="24"/>
          <w:szCs w:val="24"/>
          <w:highlight w:val="none"/>
          <w:lang w:val="en-US" w:eastAsia="zh-CN"/>
        </w:rPr>
        <w:t xml:space="preserve">4. 培训要求：培训是指涉及产品基本原理、安装、调试、操作使用和保养维修等有关内容的学习。投标人应保证在采购人指定交货地点对每包（品目）最终用户设备操作人员提供不少于 1 天的免费培训。投标人投标时应提供详细的培训方案。培训教员的差旅费、食宿费、培训教材等费用，应计入投标报价。（以各包技术规格中要求为准，如技术规格中无要求，则以本款要求为准。） </w:t>
      </w:r>
    </w:p>
    <w:p w14:paraId="3B04BE39">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Times New Roman" w:hAnsi="宋体" w:eastAsia="宋体" w:cs="宋体"/>
          <w:sz w:val="24"/>
          <w:szCs w:val="24"/>
          <w:highlight w:val="none"/>
          <w:lang w:val="en-US" w:eastAsia="zh-CN"/>
        </w:rPr>
      </w:pPr>
      <w:r>
        <w:rPr>
          <w:rStyle w:val="7"/>
          <w:rFonts w:hint="eastAsia" w:ascii="Times New Roman" w:hAnsi="宋体" w:eastAsia="宋体" w:cs="宋体"/>
          <w:sz w:val="24"/>
          <w:szCs w:val="24"/>
          <w:highlight w:val="none"/>
          <w:lang w:val="en-US" w:eastAsia="zh-CN"/>
        </w:rPr>
        <w:t>5.维保期间应包含按需更换的零配件。属厂家维修不能正常使用，按维修天数顺延保修期。保修期内至少每年提供两次巡检，提供设备巡检记录到设备处备案。</w:t>
      </w:r>
    </w:p>
    <w:p w14:paraId="2E028F3F">
      <w:pPr>
        <w:pStyle w:val="4"/>
        <w:keepNext w:val="0"/>
        <w:keepLines w:val="0"/>
        <w:pageBreakBefore w:val="0"/>
        <w:widowControl w:val="0"/>
        <w:kinsoku/>
        <w:wordWrap/>
        <w:overflowPunct/>
        <w:topLinePunct w:val="0"/>
        <w:autoSpaceDE/>
        <w:autoSpaceDN/>
        <w:bidi w:val="0"/>
        <w:adjustRightInd/>
        <w:snapToGrid/>
        <w:spacing w:line="360" w:lineRule="auto"/>
        <w:textAlignment w:val="auto"/>
        <w:rPr>
          <w:rStyle w:val="7"/>
          <w:rFonts w:hint="eastAsia" w:ascii="Times New Roman" w:hAnsi="宋体" w:eastAsia="宋体" w:cs="宋体"/>
          <w:sz w:val="24"/>
          <w:szCs w:val="24"/>
          <w:highlight w:val="none"/>
          <w:lang w:val="en-US" w:eastAsia="zh-CN"/>
        </w:rPr>
      </w:pPr>
      <w:r>
        <w:rPr>
          <w:rStyle w:val="7"/>
          <w:rFonts w:hint="eastAsia" w:ascii="Times New Roman" w:hAnsi="宋体" w:eastAsia="宋体" w:cs="宋体"/>
          <w:sz w:val="24"/>
          <w:szCs w:val="24"/>
          <w:highlight w:val="none"/>
          <w:lang w:val="en-US" w:eastAsia="zh-CN"/>
        </w:rPr>
        <w:t>6.维护响应时间：应承诺报修后2小时内响应，4小时内到场，如无法在24小时内解决故障，应提供备机服务。</w:t>
      </w:r>
    </w:p>
    <w:p w14:paraId="46A09BF6">
      <w:pPr>
        <w:tabs>
          <w:tab w:val="left" w:pos="900"/>
        </w:tabs>
        <w:spacing w:before="120" w:beforeLines="50" w:line="360" w:lineRule="auto"/>
        <w:rPr>
          <w:rFonts w:ascii="宋体" w:hAnsi="宋体" w:cs="宋体"/>
          <w:b/>
          <w:sz w:val="24"/>
          <w:highlight w:val="none"/>
        </w:rPr>
      </w:pPr>
      <w:r>
        <w:rPr>
          <w:rFonts w:hint="eastAsia" w:ascii="宋体" w:hAnsi="宋体" w:cs="宋体"/>
          <w:b/>
          <w:sz w:val="24"/>
          <w:highlight w:val="none"/>
        </w:rPr>
        <w:t>七、采购标的需满足的质量、安全、技术规格、物理特性等要求：</w:t>
      </w:r>
    </w:p>
    <w:p w14:paraId="317451BE">
      <w:pPr>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br w:type="page"/>
      </w:r>
    </w:p>
    <w:p w14:paraId="5B2513AB">
      <w:pPr>
        <w:rPr>
          <w:rFonts w:hint="eastAsia" w:ascii="宋体" w:hAnsi="宋体" w:eastAsia="宋体" w:cs="宋体"/>
          <w:kern w:val="2"/>
          <w:sz w:val="24"/>
          <w:szCs w:val="24"/>
          <w:lang w:val="en-US" w:eastAsia="zh-CN" w:bidi="ar-SA"/>
        </w:rPr>
      </w:pPr>
    </w:p>
    <w:p w14:paraId="6F9C4906">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outlineLvl w:val="1"/>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第12包  品目12-1  等离子双极电切电凝系统</w:t>
      </w:r>
    </w:p>
    <w:p w14:paraId="100DC9CB">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（一）产品用途：对软组织进行汽化、切割、消融、凝血、剥离和血管闭合等操作等外科手术。适用于泌尿外科经尿道前列腺等离子切除术、经尿道膀胱肿瘤电切术等。</w:t>
      </w:r>
    </w:p>
    <w:p w14:paraId="57B2BEF7">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（二）产品技术参数：</w:t>
      </w:r>
    </w:p>
    <w:p w14:paraId="209441F8">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一、低温等离子体多功能手术系统设备参数</w:t>
      </w:r>
    </w:p>
    <w:p w14:paraId="0A205E59">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1．主机界面采用一体化全触屏式智能操作，≥7.0英寸LED液晶显示屏。</w:t>
      </w:r>
    </w:p>
    <w:p w14:paraId="19F56185">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2．触屏界面同时具有：汽化切割、消融凝血显示模块；设备具有两种等离子切割模式可调 即：超脉冲等离子切割模式、动能量等离子切割模式；两种电凝模式可供调节使用；功率≤300W. 工作档位1-9档可调。</w:t>
      </w:r>
    </w:p>
    <w:p w14:paraId="5A635D1C">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3.主机具备2种工作频率：汽化切割输出频率≤100KHz；凝血消融输出频率≥450KHz。</w:t>
      </w:r>
    </w:p>
    <w:p w14:paraId="53E129C0">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4．主机工作时可在界面精准显示临床所需工作功率值大小。</w:t>
      </w:r>
    </w:p>
    <w:p w14:paraId="47826A6B">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5．主机采用全智能数字控制电路，应具备以下功能：</w:t>
      </w:r>
    </w:p>
    <w:p w14:paraId="63231AFA">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5.1主机工作可提示工作能量输出状态；</w:t>
      </w:r>
      <w:r>
        <w:rPr>
          <w:rFonts w:hint="eastAsia" w:ascii="宋体" w:hAnsi="宋体" w:eastAsia="宋体" w:cs="宋体"/>
          <w:kern w:val="2"/>
          <w:sz w:val="24"/>
          <w:szCs w:val="24"/>
          <w:lang w:val="en-US" w:eastAsia="zh-CN" w:bidi="ar-SA"/>
        </w:rPr>
        <w:tab/>
      </w:r>
    </w:p>
    <w:p w14:paraId="1641693F">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5.2全时实施数字智能化程序控制，如果达到手术最佳治疗状态时，主机能通过等离子刀头反馈负载的工作信息并自动调整阻抗和能量的输出，防止过度治疗和温度上升；</w:t>
      </w:r>
    </w:p>
    <w:p w14:paraId="4D4B6009">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5.3具有各种手术刀头识别和保护功能、根据插入刀头的不同自动输出不同的功率，不用频繁调节功率和阻抗区间，使操作更加方便、快捷、安全；</w:t>
      </w:r>
    </w:p>
    <w:p w14:paraId="10B294C4">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6．使用高压反侦测数字技术，用软件可以控制硬件电路中1UA的漏电流对应到治疗档位，保证安全范围和远期的治疗效果。</w:t>
      </w:r>
    </w:p>
    <w:p w14:paraId="0BD38E7F">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7．具有自动检测刀头和附件连接功能,具有故障自动检测显示和报警提示。</w:t>
      </w:r>
    </w:p>
    <w:p w14:paraId="6CADD8DA">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8．使用双脚踏控制,防水等级IP×8</w:t>
      </w:r>
    </w:p>
    <w:p w14:paraId="76BAC032">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9．治疗温度：低温微创、安全、精确，40-70℃范围内完成对软组织的汽化、切割、消融、凝血、剥离和血管闭合等外科手术。</w:t>
      </w:r>
    </w:p>
    <w:p w14:paraId="70E8E32C">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10．主机尺寸（±3mm）：410×405×150mm。</w:t>
      </w:r>
    </w:p>
    <w:p w14:paraId="3665E9E7">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11．低温等离子体多功能手术系统电击防护：I类，CF型</w:t>
      </w:r>
    </w:p>
    <w:p w14:paraId="3104267F">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12．等离子体手术刀头刀头有单独的注册证</w:t>
      </w:r>
    </w:p>
    <w:p w14:paraId="1F9CD1E6">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13．等离子体手术刀头有无菌一次性使用和重复使用，两个系列类别可选择。</w:t>
      </w:r>
    </w:p>
    <w:p w14:paraId="514FE744">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14．主机可以自动识别控制刀头的功率、档位、无需反复调节。</w:t>
      </w:r>
    </w:p>
    <w:p w14:paraId="226B921B">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15．等离子体手术刀头具有粗环、细环、针状、球状和经皮肾经下止血刀头等多种治疗刀头可供选择。</w:t>
      </w:r>
    </w:p>
    <w:p w14:paraId="48B7DA05">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二、双极电切镜参数</w:t>
      </w:r>
    </w:p>
    <w:p w14:paraId="7D8AEFB3">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1.内窥镜：规格尺寸4mm×300mm（±1mm），视像角为30°</w:t>
      </w:r>
    </w:p>
    <w:p w14:paraId="73CC2B29">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2.具有被动式电切镜工作手件。</w:t>
      </w:r>
    </w:p>
    <w:p w14:paraId="79A7F67A">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3.工作外鞘为26Fr。</w:t>
      </w:r>
    </w:p>
    <w:p w14:paraId="321C1C88">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4.工作内鞘为24Fr，可360°旋转。</w:t>
      </w:r>
    </w:p>
    <w:p w14:paraId="2A6EA6BF">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5.有单鞘进水接头，遇尿道狭窄时可实施单鞘手术。</w:t>
      </w:r>
    </w:p>
    <w:p w14:paraId="1AFAD6FA">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（三）产品配置要求：</w:t>
      </w:r>
    </w:p>
    <w:tbl>
      <w:tblPr>
        <w:tblStyle w:val="5"/>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221"/>
        <w:gridCol w:w="2010"/>
        <w:gridCol w:w="970"/>
        <w:gridCol w:w="1090"/>
      </w:tblGrid>
      <w:tr w14:paraId="6B969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0" w:type="dxa"/>
            <w:vAlign w:val="center"/>
          </w:tcPr>
          <w:p w14:paraId="10710E0F">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序号</w:t>
            </w:r>
          </w:p>
        </w:tc>
        <w:tc>
          <w:tcPr>
            <w:tcW w:w="4221" w:type="dxa"/>
            <w:vAlign w:val="center"/>
          </w:tcPr>
          <w:p w14:paraId="3234401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名称</w:t>
            </w:r>
          </w:p>
        </w:tc>
        <w:tc>
          <w:tcPr>
            <w:tcW w:w="2010" w:type="dxa"/>
            <w:vAlign w:val="center"/>
          </w:tcPr>
          <w:p w14:paraId="2084921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规格尺寸</w:t>
            </w:r>
          </w:p>
        </w:tc>
        <w:tc>
          <w:tcPr>
            <w:tcW w:w="970" w:type="dxa"/>
            <w:vAlign w:val="center"/>
          </w:tcPr>
          <w:p w14:paraId="75B0619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数量</w:t>
            </w:r>
          </w:p>
        </w:tc>
        <w:tc>
          <w:tcPr>
            <w:tcW w:w="1090" w:type="dxa"/>
            <w:vAlign w:val="center"/>
          </w:tcPr>
          <w:p w14:paraId="4877E29D">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单位</w:t>
            </w:r>
          </w:p>
        </w:tc>
      </w:tr>
      <w:tr w14:paraId="500A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0" w:type="dxa"/>
            <w:vAlign w:val="center"/>
          </w:tcPr>
          <w:p w14:paraId="609ADC9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221" w:type="dxa"/>
            <w:vAlign w:val="center"/>
          </w:tcPr>
          <w:p w14:paraId="601E6ABE">
            <w:pPr>
              <w:jc w:val="center"/>
              <w:rPr>
                <w:rFonts w:hint="eastAsia" w:ascii="宋体" w:hAnsi="宋体" w:eastAsia="宋体" w:cs="宋体"/>
                <w:sz w:val="24"/>
                <w:szCs w:val="24"/>
              </w:rPr>
            </w:pPr>
            <w:r>
              <w:rPr>
                <w:rFonts w:hint="eastAsia" w:ascii="宋体" w:hAnsi="宋体" w:eastAsia="宋体" w:cs="宋体"/>
                <w:sz w:val="24"/>
                <w:szCs w:val="24"/>
              </w:rPr>
              <w:t>低温等离子体多功能手术系统</w:t>
            </w:r>
          </w:p>
        </w:tc>
        <w:tc>
          <w:tcPr>
            <w:tcW w:w="2010" w:type="dxa"/>
            <w:vAlign w:val="center"/>
          </w:tcPr>
          <w:p w14:paraId="23E64F5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台式</w:t>
            </w:r>
          </w:p>
        </w:tc>
        <w:tc>
          <w:tcPr>
            <w:tcW w:w="970" w:type="dxa"/>
            <w:vAlign w:val="center"/>
          </w:tcPr>
          <w:p w14:paraId="1E9C5F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5A6CDD8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5DB9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0" w:type="dxa"/>
            <w:vAlign w:val="center"/>
          </w:tcPr>
          <w:p w14:paraId="1342279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221" w:type="dxa"/>
            <w:vAlign w:val="center"/>
          </w:tcPr>
          <w:p w14:paraId="2C92758A">
            <w:pPr>
              <w:jc w:val="center"/>
              <w:rPr>
                <w:rFonts w:hint="eastAsia" w:ascii="宋体" w:hAnsi="宋体" w:eastAsia="宋体" w:cs="宋体"/>
                <w:sz w:val="24"/>
                <w:szCs w:val="24"/>
              </w:rPr>
            </w:pPr>
            <w:r>
              <w:rPr>
                <w:rFonts w:hint="eastAsia" w:ascii="宋体" w:hAnsi="宋体" w:eastAsia="宋体" w:cs="宋体"/>
                <w:sz w:val="24"/>
                <w:szCs w:val="24"/>
              </w:rPr>
              <w:t>等离子体手术刀头</w:t>
            </w:r>
          </w:p>
        </w:tc>
        <w:tc>
          <w:tcPr>
            <w:tcW w:w="2010" w:type="dxa"/>
            <w:vAlign w:val="center"/>
          </w:tcPr>
          <w:p w14:paraId="79840EB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细环</w:t>
            </w:r>
          </w:p>
        </w:tc>
        <w:tc>
          <w:tcPr>
            <w:tcW w:w="970" w:type="dxa"/>
            <w:vAlign w:val="center"/>
          </w:tcPr>
          <w:p w14:paraId="4340788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290EF56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把</w:t>
            </w:r>
          </w:p>
        </w:tc>
      </w:tr>
      <w:tr w14:paraId="5D00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0" w:type="dxa"/>
            <w:vAlign w:val="center"/>
          </w:tcPr>
          <w:p w14:paraId="12AD280B">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4221" w:type="dxa"/>
            <w:vAlign w:val="center"/>
          </w:tcPr>
          <w:p w14:paraId="7F74B43D">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光学内窥镜</w:t>
            </w:r>
          </w:p>
        </w:tc>
        <w:tc>
          <w:tcPr>
            <w:tcW w:w="2010" w:type="dxa"/>
            <w:vAlign w:val="center"/>
          </w:tcPr>
          <w:p w14:paraId="5275ECD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970" w:type="dxa"/>
            <w:vAlign w:val="center"/>
          </w:tcPr>
          <w:p w14:paraId="253C835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2D389C50">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14:paraId="6D3B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0" w:type="dxa"/>
            <w:vAlign w:val="center"/>
          </w:tcPr>
          <w:p w14:paraId="03BD2E6A">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4</w:t>
            </w:r>
          </w:p>
        </w:tc>
        <w:tc>
          <w:tcPr>
            <w:tcW w:w="4221" w:type="dxa"/>
            <w:vAlign w:val="center"/>
          </w:tcPr>
          <w:p w14:paraId="7DB5CCC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被动式操作器</w:t>
            </w:r>
          </w:p>
        </w:tc>
        <w:tc>
          <w:tcPr>
            <w:tcW w:w="2010" w:type="dxa"/>
            <w:vAlign w:val="center"/>
          </w:tcPr>
          <w:p w14:paraId="493D3574">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被动式</w:t>
            </w:r>
          </w:p>
        </w:tc>
        <w:tc>
          <w:tcPr>
            <w:tcW w:w="970" w:type="dxa"/>
            <w:vAlign w:val="center"/>
          </w:tcPr>
          <w:p w14:paraId="541D1D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21B6AB52">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件</w:t>
            </w:r>
          </w:p>
        </w:tc>
      </w:tr>
      <w:tr w14:paraId="1DF3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20" w:type="dxa"/>
            <w:vAlign w:val="center"/>
          </w:tcPr>
          <w:p w14:paraId="7C01B64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5</w:t>
            </w:r>
          </w:p>
        </w:tc>
        <w:tc>
          <w:tcPr>
            <w:tcW w:w="4221" w:type="dxa"/>
            <w:vAlign w:val="center"/>
          </w:tcPr>
          <w:p w14:paraId="463405C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工作</w:t>
            </w:r>
            <w:r>
              <w:rPr>
                <w:rFonts w:hint="eastAsia" w:ascii="宋体" w:hAnsi="宋体" w:eastAsia="宋体" w:cs="宋体"/>
                <w:color w:val="000000"/>
                <w:kern w:val="0"/>
                <w:sz w:val="24"/>
                <w:szCs w:val="24"/>
              </w:rPr>
              <w:t>内鞘</w:t>
            </w:r>
          </w:p>
        </w:tc>
        <w:tc>
          <w:tcPr>
            <w:tcW w:w="2010" w:type="dxa"/>
            <w:vAlign w:val="center"/>
          </w:tcPr>
          <w:p w14:paraId="42624CE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24Fr</w:t>
            </w:r>
          </w:p>
        </w:tc>
        <w:tc>
          <w:tcPr>
            <w:tcW w:w="970" w:type="dxa"/>
            <w:vAlign w:val="center"/>
          </w:tcPr>
          <w:p w14:paraId="49D6105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04DC3AA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14:paraId="13E9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Align w:val="center"/>
          </w:tcPr>
          <w:p w14:paraId="611AB0E9">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6</w:t>
            </w:r>
          </w:p>
        </w:tc>
        <w:tc>
          <w:tcPr>
            <w:tcW w:w="4221" w:type="dxa"/>
            <w:vAlign w:val="center"/>
          </w:tcPr>
          <w:p w14:paraId="18A63C1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工作</w:t>
            </w:r>
            <w:r>
              <w:rPr>
                <w:rFonts w:hint="eastAsia" w:ascii="宋体" w:hAnsi="宋体" w:eastAsia="宋体" w:cs="宋体"/>
                <w:color w:val="000000"/>
                <w:kern w:val="0"/>
                <w:sz w:val="24"/>
                <w:szCs w:val="24"/>
              </w:rPr>
              <w:t>外鞘</w:t>
            </w:r>
          </w:p>
        </w:tc>
        <w:tc>
          <w:tcPr>
            <w:tcW w:w="2010" w:type="dxa"/>
            <w:vAlign w:val="center"/>
          </w:tcPr>
          <w:p w14:paraId="1F39289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Fr</w:t>
            </w:r>
          </w:p>
        </w:tc>
        <w:tc>
          <w:tcPr>
            <w:tcW w:w="970" w:type="dxa"/>
            <w:vAlign w:val="center"/>
          </w:tcPr>
          <w:p w14:paraId="0E18343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28A3C3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支</w:t>
            </w:r>
          </w:p>
        </w:tc>
      </w:tr>
      <w:tr w14:paraId="6CCE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0" w:type="dxa"/>
            <w:vAlign w:val="center"/>
          </w:tcPr>
          <w:p w14:paraId="284D4E97">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7</w:t>
            </w:r>
          </w:p>
        </w:tc>
        <w:tc>
          <w:tcPr>
            <w:tcW w:w="4221" w:type="dxa"/>
            <w:vAlign w:val="center"/>
          </w:tcPr>
          <w:p w14:paraId="68E98913">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冲洗器</w:t>
            </w:r>
          </w:p>
        </w:tc>
        <w:tc>
          <w:tcPr>
            <w:tcW w:w="2010" w:type="dxa"/>
            <w:vAlign w:val="center"/>
          </w:tcPr>
          <w:p w14:paraId="6B57650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70" w:type="dxa"/>
            <w:vAlign w:val="center"/>
          </w:tcPr>
          <w:p w14:paraId="63C58FE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90" w:type="dxa"/>
            <w:vAlign w:val="center"/>
          </w:tcPr>
          <w:p w14:paraId="2C6539B9">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件</w:t>
            </w:r>
          </w:p>
        </w:tc>
      </w:tr>
      <w:tr w14:paraId="4D3A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0" w:type="dxa"/>
            <w:vAlign w:val="center"/>
          </w:tcPr>
          <w:p w14:paraId="0B080211">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4221" w:type="dxa"/>
            <w:vAlign w:val="center"/>
          </w:tcPr>
          <w:p w14:paraId="123E852A">
            <w:pPr>
              <w:tabs>
                <w:tab w:val="left" w:pos="0"/>
                <w:tab w:val="left" w:pos="210"/>
              </w:tabs>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单鞘进水接头</w:t>
            </w:r>
          </w:p>
        </w:tc>
        <w:tc>
          <w:tcPr>
            <w:tcW w:w="2010" w:type="dxa"/>
            <w:vAlign w:val="center"/>
          </w:tcPr>
          <w:p w14:paraId="1A2D995A">
            <w:pPr>
              <w:tabs>
                <w:tab w:val="left" w:pos="0"/>
                <w:tab w:val="left" w:pos="210"/>
              </w:tabs>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w:t>
            </w:r>
          </w:p>
        </w:tc>
        <w:tc>
          <w:tcPr>
            <w:tcW w:w="970" w:type="dxa"/>
            <w:vAlign w:val="center"/>
          </w:tcPr>
          <w:p w14:paraId="0C609398">
            <w:pPr>
              <w:tabs>
                <w:tab w:val="left" w:pos="0"/>
                <w:tab w:val="left" w:pos="210"/>
              </w:tabs>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1</w:t>
            </w:r>
          </w:p>
        </w:tc>
        <w:tc>
          <w:tcPr>
            <w:tcW w:w="1090" w:type="dxa"/>
            <w:vAlign w:val="center"/>
          </w:tcPr>
          <w:p w14:paraId="109247EF">
            <w:pPr>
              <w:tabs>
                <w:tab w:val="left" w:pos="0"/>
                <w:tab w:val="left" w:pos="210"/>
              </w:tabs>
              <w:jc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只</w:t>
            </w:r>
          </w:p>
        </w:tc>
      </w:tr>
      <w:tr w14:paraId="3AFC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20" w:type="dxa"/>
            <w:vAlign w:val="center"/>
          </w:tcPr>
          <w:p w14:paraId="6A151FE1">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w:t>
            </w:r>
          </w:p>
        </w:tc>
        <w:tc>
          <w:tcPr>
            <w:tcW w:w="4221" w:type="dxa"/>
            <w:vAlign w:val="center"/>
          </w:tcPr>
          <w:p w14:paraId="442E7642">
            <w:pPr>
              <w:tabs>
                <w:tab w:val="left" w:pos="0"/>
                <w:tab w:val="left" w:pos="210"/>
              </w:tabs>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双功能脚踏控制板</w:t>
            </w:r>
          </w:p>
        </w:tc>
        <w:tc>
          <w:tcPr>
            <w:tcW w:w="2010" w:type="dxa"/>
            <w:vAlign w:val="center"/>
          </w:tcPr>
          <w:p w14:paraId="03E0C177">
            <w:pPr>
              <w:tabs>
                <w:tab w:val="left" w:pos="0"/>
                <w:tab w:val="left" w:pos="210"/>
              </w:tabs>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防水 IP×8级</w:t>
            </w:r>
          </w:p>
        </w:tc>
        <w:tc>
          <w:tcPr>
            <w:tcW w:w="970" w:type="dxa"/>
            <w:vAlign w:val="center"/>
          </w:tcPr>
          <w:p w14:paraId="720AB9ED">
            <w:pPr>
              <w:tabs>
                <w:tab w:val="left" w:pos="0"/>
                <w:tab w:val="left" w:pos="210"/>
              </w:tabs>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p>
        </w:tc>
        <w:tc>
          <w:tcPr>
            <w:tcW w:w="1090" w:type="dxa"/>
            <w:vAlign w:val="center"/>
          </w:tcPr>
          <w:p w14:paraId="17524DCF">
            <w:pPr>
              <w:tabs>
                <w:tab w:val="left" w:pos="0"/>
                <w:tab w:val="left" w:pos="210"/>
              </w:tabs>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只</w:t>
            </w:r>
          </w:p>
        </w:tc>
      </w:tr>
    </w:tbl>
    <w:p w14:paraId="35040B98">
      <w:r>
        <w:rPr>
          <w:rFonts w:hint="eastAsia" w:ascii="宋体" w:hAnsi="宋体" w:eastAsia="宋体" w:cs="宋体"/>
          <w:kern w:val="2"/>
          <w:sz w:val="24"/>
          <w:szCs w:val="24"/>
          <w:lang w:val="en-US" w:eastAsia="zh-CN" w:bidi="ar-SA"/>
        </w:rPr>
        <w:t>（四）质量保证期：不少于6年。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596190"/>
    <w:rsid w:val="7359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tabs>
        <w:tab w:val="left" w:pos="567"/>
      </w:tabs>
      <w:spacing w:before="120" w:line="22" w:lineRule="atLeast"/>
    </w:pPr>
    <w:rPr>
      <w:rFonts w:ascii="宋体" w:hAnsi="宋体"/>
      <w:sz w:val="24"/>
      <w:lang w:val="zh-CN"/>
    </w:rPr>
  </w:style>
  <w:style w:type="paragraph" w:customStyle="1" w:styleId="3">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styleId="4">
    <w:name w:val="Plain Text"/>
    <w:basedOn w:val="1"/>
    <w:qFormat/>
    <w:uiPriority w:val="0"/>
    <w:rPr>
      <w:rFonts w:hint="eastAsia" w:ascii="宋体" w:hAnsi="Courier New"/>
      <w:szCs w:val="20"/>
      <w:lang w:val="zh-CN"/>
    </w:rPr>
  </w:style>
  <w:style w:type="character" w:styleId="7">
    <w:name w:val="annotation reference"/>
    <w:basedOn w:val="6"/>
    <w:qFormat/>
    <w:uiPriority w:val="0"/>
    <w:rPr>
      <w:sz w:val="21"/>
      <w:szCs w:val="21"/>
    </w:rPr>
  </w:style>
  <w:style w:type="paragraph" w:customStyle="1" w:styleId="8">
    <w:name w:val="SOW正文"/>
    <w:basedOn w:val="1"/>
    <w:qFormat/>
    <w:uiPriority w:val="0"/>
    <w:pPr>
      <w:snapToGrid w:val="0"/>
      <w:spacing w:before="120" w:line="400" w:lineRule="exact"/>
      <w:ind w:firstLine="425"/>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2025-03-11T00:39:00Z</dcterms:created>
  <dc:creator>殷恺</dc:creator>
  <cp:lastModifiedBy>殷恺</cp:lastModifiedBy>
  <dcterms:modified xsi:type="dcterms:W3CDTF">2025-03-11T00:39:51Z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F6B6E11E0CCB445EBDC40119F2591EFB_11</vt:lpwstr>
  </property>
  <property fmtid="{D5CDD505-2E9C-101B-9397-08002B2CF9AE}" pid="4" name="KSOTemplateDocerSaveRecord">
    <vt:lpwstr>eyJoZGlkIjoiMThlMGEzN2YzODhlNjY4MjZlN2FhMTJmZGQ5NzgzZDciLCJ1c2VySWQiOiIxMDgyMjMyOTk2In0=</vt:lpwstr>
  </property>
</Properties>
</file>