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F00E9">
      <w:pPr>
        <w:spacing w:line="360" w:lineRule="auto"/>
        <w:jc w:val="center"/>
        <w:outlineLvl w:val="0"/>
        <w:rPr>
          <w:b/>
          <w:sz w:val="36"/>
          <w:szCs w:val="36"/>
        </w:rPr>
      </w:pPr>
      <w:r>
        <w:rPr>
          <w:b/>
          <w:sz w:val="36"/>
          <w:szCs w:val="36"/>
        </w:rPr>
        <w:t>采购需求</w:t>
      </w:r>
    </w:p>
    <w:p w14:paraId="0AF983CC">
      <w:pPr>
        <w:keepNext/>
        <w:keepLines/>
        <w:numPr>
          <w:ilvl w:val="0"/>
          <w:numId w:val="1"/>
        </w:numPr>
        <w:suppressAutoHyphens/>
        <w:spacing w:before="260" w:after="220"/>
        <w:outlineLvl w:val="0"/>
        <w:rPr>
          <w:rFonts w:ascii="黑体" w:hAnsi="黑体" w:eastAsia="黑体" w:cs="黑体"/>
          <w:b/>
          <w:kern w:val="44"/>
          <w:sz w:val="24"/>
        </w:rPr>
      </w:pPr>
      <w:bookmarkStart w:id="0" w:name="_Toc14624"/>
      <w:r>
        <w:rPr>
          <w:rFonts w:hint="eastAsia" w:ascii="黑体" w:hAnsi="黑体" w:eastAsia="黑体" w:cs="黑体"/>
          <w:b/>
          <w:kern w:val="44"/>
          <w:sz w:val="24"/>
        </w:rPr>
        <w:t>采购项目情况</w:t>
      </w:r>
      <w:bookmarkEnd w:id="0"/>
    </w:p>
    <w:p w14:paraId="6BB847CE">
      <w:pPr>
        <w:keepNext/>
        <w:keepLines/>
        <w:suppressAutoHyphens/>
        <w:spacing w:before="260" w:after="200"/>
        <w:ind w:firstLine="241" w:firstLineChars="100"/>
        <w:outlineLvl w:val="1"/>
        <w:rPr>
          <w:rFonts w:ascii="楷体" w:hAnsi="楷体" w:eastAsia="楷体" w:cs="楷体"/>
          <w:b/>
          <w:sz w:val="24"/>
        </w:rPr>
      </w:pPr>
      <w:bookmarkStart w:id="1" w:name="_Toc1635"/>
      <w:bookmarkStart w:id="2" w:name="_Toc23035"/>
      <w:r>
        <w:rPr>
          <w:rFonts w:hint="eastAsia" w:ascii="楷体" w:hAnsi="楷体" w:eastAsia="楷体" w:cs="楷体"/>
          <w:b/>
          <w:sz w:val="24"/>
        </w:rPr>
        <w:t>（一）项目基本情况</w:t>
      </w:r>
      <w:bookmarkEnd w:id="1"/>
      <w:bookmarkEnd w:id="2"/>
    </w:p>
    <w:p w14:paraId="11BCD1B5">
      <w:pPr>
        <w:widowControl/>
        <w:suppressAutoHyphens/>
        <w:spacing w:line="330" w:lineRule="atLeast"/>
        <w:jc w:val="left"/>
        <w:rPr>
          <w:rFonts w:ascii="宋体" w:hAnsi="宋体" w:cs="宋体"/>
          <w:kern w:val="0"/>
          <w:sz w:val="24"/>
        </w:rPr>
      </w:pPr>
      <w:r>
        <w:rPr>
          <w:rFonts w:hint="eastAsia" w:ascii="宋体" w:hAnsi="宋体" w:cs="宋体"/>
          <w:kern w:val="0"/>
          <w:sz w:val="24"/>
        </w:rPr>
        <w:t>1.项目名称</w:t>
      </w:r>
      <w:r>
        <w:rPr>
          <w:rFonts w:hint="eastAsia" w:ascii="宋体" w:hAnsi="宋体" w:cs="宋体"/>
          <w:sz w:val="24"/>
        </w:rPr>
        <w:t>：_</w:t>
      </w:r>
      <w:r>
        <w:rPr>
          <w:rFonts w:hint="eastAsia" w:ascii="宋体" w:hAnsi="宋体" w:cs="宋体"/>
          <w:sz w:val="24"/>
          <w:u w:val="single"/>
        </w:rPr>
        <w:t>北京市文化市场综合执法总队2025年信息系统政务云基础资源租用服务项目</w:t>
      </w:r>
      <w:r>
        <w:rPr>
          <w:rFonts w:hint="eastAsia" w:ascii="宋体" w:hAnsi="宋体" w:cs="宋体"/>
          <w:kern w:val="0"/>
          <w:sz w:val="24"/>
        </w:rPr>
        <w:t>___</w:t>
      </w:r>
    </w:p>
    <w:p w14:paraId="4DECB820">
      <w:pPr>
        <w:suppressAutoHyphens/>
        <w:adjustRightInd w:val="0"/>
        <w:snapToGrid w:val="0"/>
        <w:spacing w:line="360" w:lineRule="auto"/>
        <w:rPr>
          <w:rFonts w:ascii="宋体" w:hAnsi="宋体" w:cs="宋体"/>
          <w:sz w:val="24"/>
        </w:rPr>
      </w:pPr>
      <w:r>
        <w:rPr>
          <w:rFonts w:hint="eastAsia" w:ascii="宋体" w:hAnsi="宋体" w:cs="宋体"/>
          <w:sz w:val="24"/>
        </w:rPr>
        <w:t>2.项目预算金额：_</w:t>
      </w:r>
      <w:r>
        <w:rPr>
          <w:rFonts w:ascii="宋体" w:hAnsi="宋体" w:cs="宋体"/>
          <w:sz w:val="24"/>
          <w:u w:val="single"/>
        </w:rPr>
        <w:t>259.</w:t>
      </w:r>
      <w:r>
        <w:rPr>
          <w:rFonts w:hint="eastAsia" w:ascii="宋体" w:hAnsi="宋体" w:cs="宋体"/>
          <w:sz w:val="24"/>
          <w:u w:val="single"/>
        </w:rPr>
        <w:t>0</w:t>
      </w:r>
      <w:r>
        <w:rPr>
          <w:rFonts w:ascii="宋体" w:hAnsi="宋体" w:cs="宋体"/>
          <w:sz w:val="24"/>
          <w:u w:val="single"/>
        </w:rPr>
        <w:t>7</w:t>
      </w:r>
      <w:r>
        <w:rPr>
          <w:rFonts w:hint="eastAsia" w:ascii="宋体" w:hAnsi="宋体" w:cs="宋体"/>
          <w:sz w:val="24"/>
        </w:rPr>
        <w:t>_万元</w:t>
      </w:r>
    </w:p>
    <w:p w14:paraId="43425FA9">
      <w:pPr>
        <w:suppressAutoHyphens/>
        <w:adjustRightInd w:val="0"/>
        <w:snapToGrid w:val="0"/>
        <w:spacing w:line="360" w:lineRule="auto"/>
        <w:rPr>
          <w:rFonts w:ascii="宋体" w:hAnsi="宋体" w:cs="宋体"/>
          <w:sz w:val="24"/>
        </w:rPr>
      </w:pPr>
      <w:r>
        <w:rPr>
          <w:rFonts w:hint="eastAsia" w:ascii="宋体" w:hAnsi="宋体" w:cs="宋体"/>
          <w:sz w:val="24"/>
        </w:rPr>
        <w:t>3.采购包情况：</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740"/>
        <w:gridCol w:w="2991"/>
        <w:gridCol w:w="1751"/>
      </w:tblGrid>
      <w:tr w14:paraId="55CC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9" w:type="dxa"/>
            <w:noWrap w:val="0"/>
            <w:vAlign w:val="center"/>
          </w:tcPr>
          <w:p w14:paraId="452D625A">
            <w:pPr>
              <w:suppressAutoHyphens/>
              <w:adjustRightInd w:val="0"/>
              <w:snapToGrid w:val="0"/>
              <w:spacing w:line="360" w:lineRule="auto"/>
              <w:jc w:val="center"/>
              <w:rPr>
                <w:rFonts w:ascii="宋体" w:hAnsi="宋体" w:cs="宋体"/>
                <w:bCs/>
                <w:sz w:val="24"/>
              </w:rPr>
            </w:pPr>
            <w:r>
              <w:rPr>
                <w:rFonts w:hint="eastAsia" w:ascii="宋体" w:hAnsi="宋体" w:cs="宋体"/>
                <w:bCs/>
                <w:sz w:val="24"/>
              </w:rPr>
              <w:t>包号</w:t>
            </w:r>
          </w:p>
        </w:tc>
        <w:tc>
          <w:tcPr>
            <w:tcW w:w="2740" w:type="dxa"/>
            <w:noWrap w:val="0"/>
            <w:vAlign w:val="center"/>
          </w:tcPr>
          <w:p w14:paraId="4C03F498">
            <w:pPr>
              <w:suppressAutoHyphens/>
              <w:adjustRightInd w:val="0"/>
              <w:snapToGrid w:val="0"/>
              <w:spacing w:line="360" w:lineRule="auto"/>
              <w:jc w:val="center"/>
              <w:rPr>
                <w:rFonts w:ascii="宋体" w:hAnsi="宋体" w:cs="宋体"/>
                <w:bCs/>
                <w:sz w:val="24"/>
              </w:rPr>
            </w:pPr>
            <w:r>
              <w:rPr>
                <w:rFonts w:hint="eastAsia" w:ascii="宋体" w:hAnsi="宋体" w:cs="宋体"/>
                <w:bCs/>
                <w:sz w:val="24"/>
              </w:rPr>
              <w:t>标的名称</w:t>
            </w:r>
          </w:p>
        </w:tc>
        <w:tc>
          <w:tcPr>
            <w:tcW w:w="2991" w:type="dxa"/>
            <w:noWrap w:val="0"/>
            <w:vAlign w:val="center"/>
          </w:tcPr>
          <w:p w14:paraId="1FB44A45">
            <w:pPr>
              <w:suppressAutoHyphens/>
              <w:adjustRightInd w:val="0"/>
              <w:snapToGrid w:val="0"/>
              <w:spacing w:line="360" w:lineRule="auto"/>
              <w:jc w:val="center"/>
              <w:rPr>
                <w:rFonts w:ascii="宋体" w:hAnsi="宋体" w:cs="宋体"/>
                <w:bCs/>
                <w:sz w:val="24"/>
              </w:rPr>
            </w:pPr>
            <w:r>
              <w:rPr>
                <w:rFonts w:hint="eastAsia" w:ascii="宋体" w:hAnsi="宋体" w:cs="宋体"/>
                <w:bCs/>
                <w:sz w:val="24"/>
              </w:rPr>
              <w:t>采购包预算金额</w:t>
            </w:r>
          </w:p>
          <w:p w14:paraId="3C7C98F9">
            <w:pPr>
              <w:suppressAutoHyphens/>
              <w:adjustRightInd w:val="0"/>
              <w:snapToGrid w:val="0"/>
              <w:spacing w:line="360" w:lineRule="auto"/>
              <w:jc w:val="center"/>
              <w:rPr>
                <w:rFonts w:ascii="宋体" w:hAnsi="宋体" w:cs="宋体"/>
                <w:bCs/>
                <w:sz w:val="24"/>
              </w:rPr>
            </w:pPr>
            <w:r>
              <w:rPr>
                <w:rFonts w:hint="eastAsia" w:ascii="宋体" w:hAnsi="宋体" w:cs="宋体"/>
                <w:bCs/>
                <w:sz w:val="24"/>
              </w:rPr>
              <w:t>（万元）</w:t>
            </w:r>
          </w:p>
        </w:tc>
        <w:tc>
          <w:tcPr>
            <w:tcW w:w="1751" w:type="dxa"/>
            <w:noWrap w:val="0"/>
            <w:vAlign w:val="center"/>
          </w:tcPr>
          <w:p w14:paraId="364043EC">
            <w:pPr>
              <w:suppressAutoHyphens/>
              <w:adjustRightInd w:val="0"/>
              <w:snapToGrid w:val="0"/>
              <w:spacing w:line="360" w:lineRule="auto"/>
              <w:jc w:val="center"/>
              <w:rPr>
                <w:rFonts w:ascii="宋体" w:hAnsi="宋体" w:cs="宋体"/>
                <w:bCs/>
                <w:sz w:val="24"/>
              </w:rPr>
            </w:pPr>
            <w:r>
              <w:rPr>
                <w:rFonts w:hint="eastAsia" w:ascii="宋体" w:hAnsi="宋体" w:cs="宋体"/>
                <w:bCs/>
                <w:sz w:val="24"/>
              </w:rPr>
              <w:t>数量</w:t>
            </w:r>
          </w:p>
        </w:tc>
      </w:tr>
      <w:tr w14:paraId="508D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39" w:type="dxa"/>
            <w:noWrap w:val="0"/>
            <w:vAlign w:val="center"/>
          </w:tcPr>
          <w:p w14:paraId="54B1B86F">
            <w:pPr>
              <w:suppressAutoHyphens/>
              <w:adjustRightInd w:val="0"/>
              <w:snapToGrid w:val="0"/>
              <w:spacing w:line="360" w:lineRule="auto"/>
              <w:jc w:val="center"/>
              <w:rPr>
                <w:rFonts w:ascii="宋体" w:hAnsi="宋体" w:cs="宋体"/>
                <w:bCs/>
                <w:sz w:val="24"/>
              </w:rPr>
            </w:pPr>
            <w:r>
              <w:rPr>
                <w:rFonts w:hint="eastAsia" w:ascii="宋体" w:hAnsi="宋体" w:cs="宋体"/>
                <w:bCs/>
                <w:sz w:val="24"/>
              </w:rPr>
              <w:t>01</w:t>
            </w:r>
          </w:p>
        </w:tc>
        <w:tc>
          <w:tcPr>
            <w:tcW w:w="2740" w:type="dxa"/>
            <w:noWrap w:val="0"/>
            <w:vAlign w:val="center"/>
          </w:tcPr>
          <w:p w14:paraId="256CB81B">
            <w:pPr>
              <w:widowControl/>
              <w:suppressAutoHyphens/>
              <w:spacing w:line="330" w:lineRule="atLeast"/>
              <w:jc w:val="center"/>
              <w:rPr>
                <w:rFonts w:ascii="Calibri" w:hAnsi="Calibri"/>
                <w:kern w:val="0"/>
                <w:sz w:val="24"/>
              </w:rPr>
            </w:pPr>
            <w:r>
              <w:rPr>
                <w:rFonts w:ascii="Calibri" w:hAnsi="Calibri"/>
                <w:kern w:val="0"/>
                <w:sz w:val="24"/>
              </w:rPr>
              <w:t>北京市文化市场综合执法总队2025年信息系统政务云基础资源租用服务项目</w:t>
            </w:r>
          </w:p>
          <w:p w14:paraId="333FE3FC">
            <w:pPr>
              <w:suppressAutoHyphens/>
              <w:adjustRightInd w:val="0"/>
              <w:snapToGrid w:val="0"/>
              <w:spacing w:line="360" w:lineRule="auto"/>
              <w:rPr>
                <w:rFonts w:ascii="宋体" w:hAnsi="宋体" w:cs="宋体"/>
                <w:bCs/>
                <w:sz w:val="24"/>
              </w:rPr>
            </w:pPr>
          </w:p>
        </w:tc>
        <w:tc>
          <w:tcPr>
            <w:tcW w:w="2991" w:type="dxa"/>
            <w:noWrap w:val="0"/>
            <w:vAlign w:val="center"/>
          </w:tcPr>
          <w:p w14:paraId="5139DCF8">
            <w:pPr>
              <w:suppressAutoHyphens/>
              <w:adjustRightInd w:val="0"/>
              <w:snapToGrid w:val="0"/>
              <w:spacing w:line="360" w:lineRule="auto"/>
              <w:rPr>
                <w:rFonts w:ascii="宋体" w:hAnsi="宋体" w:cs="宋体"/>
                <w:bCs/>
                <w:sz w:val="24"/>
              </w:rPr>
            </w:pPr>
            <w:r>
              <w:rPr>
                <w:rFonts w:hint="eastAsia" w:ascii="宋体" w:hAnsi="宋体" w:cs="宋体"/>
                <w:bCs/>
                <w:sz w:val="24"/>
              </w:rPr>
              <w:t>259.07</w:t>
            </w:r>
          </w:p>
        </w:tc>
        <w:tc>
          <w:tcPr>
            <w:tcW w:w="1751" w:type="dxa"/>
            <w:noWrap w:val="0"/>
            <w:vAlign w:val="center"/>
          </w:tcPr>
          <w:p w14:paraId="468CAF6E">
            <w:pPr>
              <w:suppressAutoHyphens/>
              <w:adjustRightInd w:val="0"/>
              <w:snapToGrid w:val="0"/>
              <w:spacing w:line="360" w:lineRule="auto"/>
              <w:jc w:val="center"/>
              <w:rPr>
                <w:rFonts w:ascii="宋体" w:hAnsi="宋体" w:cs="宋体"/>
                <w:bCs/>
                <w:sz w:val="24"/>
              </w:rPr>
            </w:pPr>
            <w:r>
              <w:rPr>
                <w:rFonts w:hint="eastAsia" w:ascii="宋体" w:hAnsi="宋体" w:cs="宋体"/>
                <w:bCs/>
                <w:sz w:val="24"/>
              </w:rPr>
              <w:t>1</w:t>
            </w:r>
          </w:p>
        </w:tc>
      </w:tr>
    </w:tbl>
    <w:p w14:paraId="476C19E2">
      <w:pPr>
        <w:suppressAutoHyphens/>
        <w:adjustRightInd w:val="0"/>
        <w:snapToGrid w:val="0"/>
        <w:spacing w:line="360" w:lineRule="auto"/>
        <w:rPr>
          <w:rFonts w:ascii="宋体" w:hAnsi="宋体" w:cs="宋体"/>
          <w:sz w:val="24"/>
        </w:rPr>
      </w:pPr>
      <w:r>
        <w:rPr>
          <w:rFonts w:hint="eastAsia" w:ascii="宋体" w:hAnsi="宋体" w:cs="宋体"/>
          <w:sz w:val="24"/>
        </w:rPr>
        <w:t>4.合同履行期限：_</w:t>
      </w:r>
      <w:r>
        <w:rPr>
          <w:rFonts w:ascii="宋体" w:hAnsi="宋体" w:cs="宋体"/>
          <w:sz w:val="24"/>
          <w:u w:val="single"/>
        </w:rPr>
        <w:t>12</w:t>
      </w:r>
      <w:r>
        <w:rPr>
          <w:rFonts w:hint="eastAsia" w:ascii="宋体" w:hAnsi="宋体" w:cs="宋体"/>
          <w:sz w:val="24"/>
          <w:u w:val="single"/>
        </w:rPr>
        <w:t>个月，从</w:t>
      </w:r>
      <w:r>
        <w:rPr>
          <w:rFonts w:ascii="宋体" w:hAnsi="宋体" w:cs="宋体"/>
          <w:sz w:val="24"/>
          <w:u w:val="single"/>
        </w:rPr>
        <w:t>2025</w:t>
      </w:r>
      <w:r>
        <w:rPr>
          <w:rFonts w:hint="eastAsia" w:ascii="宋体" w:hAnsi="宋体" w:cs="宋体"/>
          <w:sz w:val="24"/>
          <w:u w:val="single"/>
        </w:rPr>
        <w:t>年3月1</w:t>
      </w:r>
      <w:r>
        <w:rPr>
          <w:rFonts w:ascii="宋体" w:hAnsi="宋体" w:cs="宋体"/>
          <w:sz w:val="24"/>
          <w:u w:val="single"/>
        </w:rPr>
        <w:t>0</w:t>
      </w:r>
      <w:r>
        <w:rPr>
          <w:rFonts w:hint="eastAsia" w:ascii="宋体" w:hAnsi="宋体" w:cs="宋体"/>
          <w:sz w:val="24"/>
          <w:u w:val="single"/>
        </w:rPr>
        <w:t>日至2</w:t>
      </w:r>
      <w:r>
        <w:rPr>
          <w:rFonts w:ascii="宋体" w:hAnsi="宋体" w:cs="宋体"/>
          <w:sz w:val="24"/>
          <w:u w:val="single"/>
        </w:rPr>
        <w:t>026</w:t>
      </w:r>
      <w:r>
        <w:rPr>
          <w:rFonts w:hint="eastAsia" w:ascii="宋体" w:hAnsi="宋体" w:cs="宋体"/>
          <w:sz w:val="24"/>
          <w:u w:val="single"/>
        </w:rPr>
        <w:t>年3月9日</w:t>
      </w:r>
      <w:r>
        <w:rPr>
          <w:rFonts w:hint="eastAsia" w:ascii="宋体" w:hAnsi="宋体" w:cs="宋体"/>
          <w:sz w:val="24"/>
        </w:rPr>
        <w:t>__</w:t>
      </w:r>
    </w:p>
    <w:p w14:paraId="7E9D30CD">
      <w:pPr>
        <w:suppressAutoHyphens/>
        <w:adjustRightInd w:val="0"/>
        <w:snapToGrid w:val="0"/>
        <w:spacing w:line="360" w:lineRule="auto"/>
        <w:rPr>
          <w:rFonts w:ascii="宋体" w:hAnsi="宋体" w:cs="宋体"/>
          <w:sz w:val="24"/>
        </w:rPr>
      </w:pPr>
      <w:r>
        <w:rPr>
          <w:rFonts w:hint="eastAsia" w:ascii="宋体" w:hAnsi="宋体" w:cs="宋体"/>
          <w:sz w:val="24"/>
        </w:rPr>
        <w:t xml:space="preserve">5.本项目是否接受联合体投标：□是  </w:t>
      </w:r>
      <w:r>
        <w:rPr>
          <w:rFonts w:hint="eastAsia"/>
          <w:sz w:val="24"/>
        </w:rPr>
        <w:t>☑</w:t>
      </w:r>
      <w:r>
        <w:rPr>
          <w:rFonts w:hint="eastAsia" w:ascii="宋体" w:hAnsi="宋体" w:cs="宋体"/>
          <w:sz w:val="24"/>
        </w:rPr>
        <w:t>否。</w:t>
      </w:r>
    </w:p>
    <w:p w14:paraId="1A2CFED2">
      <w:pPr>
        <w:keepNext/>
        <w:keepLines/>
        <w:numPr>
          <w:ilvl w:val="0"/>
          <w:numId w:val="1"/>
        </w:numPr>
        <w:suppressAutoHyphens/>
        <w:spacing w:before="260" w:after="220"/>
        <w:outlineLvl w:val="0"/>
        <w:rPr>
          <w:rFonts w:ascii="黑体" w:hAnsi="黑体" w:eastAsia="黑体" w:cs="黑体"/>
          <w:b/>
          <w:kern w:val="44"/>
          <w:sz w:val="24"/>
        </w:rPr>
      </w:pPr>
      <w:bookmarkStart w:id="3" w:name="_Toc26578"/>
      <w:r>
        <w:rPr>
          <w:rFonts w:hint="eastAsia" w:ascii="黑体" w:hAnsi="黑体" w:eastAsia="黑体" w:cs="黑体"/>
          <w:b/>
          <w:kern w:val="44"/>
          <w:sz w:val="24"/>
        </w:rPr>
        <w:t>规范性引用文件</w:t>
      </w:r>
      <w:bookmarkEnd w:id="3"/>
    </w:p>
    <w:p w14:paraId="7AA6846B">
      <w:pPr>
        <w:keepNext/>
        <w:keepLines/>
        <w:suppressAutoHyphens/>
        <w:spacing w:before="260" w:after="200"/>
        <w:ind w:firstLine="241" w:firstLineChars="100"/>
        <w:outlineLvl w:val="1"/>
        <w:rPr>
          <w:rFonts w:ascii="楷体" w:hAnsi="楷体" w:eastAsia="楷体" w:cs="楷体"/>
          <w:b/>
          <w:sz w:val="24"/>
        </w:rPr>
      </w:pPr>
      <w:bookmarkStart w:id="4" w:name="_Toc28779"/>
      <w:r>
        <w:rPr>
          <w:rFonts w:hint="eastAsia" w:ascii="楷体" w:hAnsi="楷体" w:eastAsia="楷体" w:cs="楷体"/>
          <w:b/>
          <w:sz w:val="24"/>
        </w:rPr>
        <w:t>（一）国家及北京市有关政策</w:t>
      </w:r>
      <w:bookmarkEnd w:id="4"/>
    </w:p>
    <w:p w14:paraId="5BFD0691">
      <w:pPr>
        <w:suppressAutoHyphens/>
        <w:snapToGrid w:val="0"/>
        <w:spacing w:line="360" w:lineRule="auto"/>
        <w:ind w:firstLine="480" w:firstLineChars="200"/>
        <w:rPr>
          <w:rFonts w:ascii="宋体" w:hAnsi="宋体" w:cs="宋体"/>
          <w:bCs/>
          <w:sz w:val="24"/>
        </w:rPr>
      </w:pPr>
      <w:r>
        <w:rPr>
          <w:rFonts w:ascii="宋体" w:hAnsi="宋体" w:cs="宋体"/>
          <w:bCs/>
          <w:sz w:val="24"/>
        </w:rPr>
        <w:t>1.</w:t>
      </w:r>
      <w:r>
        <w:rPr>
          <w:rFonts w:hint="eastAsia" w:ascii="宋体" w:hAnsi="宋体" w:cs="宋体"/>
          <w:bCs/>
          <w:sz w:val="24"/>
        </w:rPr>
        <w:t>《关键信息基础设施安全保护条例》（中华人民共和国国务院令第745号）</w:t>
      </w:r>
    </w:p>
    <w:p w14:paraId="051158A3">
      <w:pPr>
        <w:suppressAutoHyphens/>
        <w:snapToGrid w:val="0"/>
        <w:spacing w:line="360" w:lineRule="auto"/>
        <w:ind w:firstLine="480" w:firstLineChars="200"/>
        <w:rPr>
          <w:rFonts w:ascii="宋体" w:hAnsi="宋体" w:cs="宋体"/>
          <w:bCs/>
          <w:sz w:val="24"/>
        </w:rPr>
      </w:pPr>
      <w:r>
        <w:rPr>
          <w:rFonts w:ascii="宋体" w:hAnsi="宋体" w:cs="宋体"/>
          <w:bCs/>
          <w:sz w:val="24"/>
        </w:rPr>
        <w:t>2.</w:t>
      </w:r>
      <w:r>
        <w:rPr>
          <w:rFonts w:hint="eastAsia" w:ascii="宋体" w:hAnsi="宋体" w:cs="宋体"/>
          <w:bCs/>
          <w:sz w:val="24"/>
        </w:rPr>
        <w:t>《国家政务信息化项目建设管理办法》（国办发〔2019〕57号）</w:t>
      </w:r>
    </w:p>
    <w:p w14:paraId="72E91F84">
      <w:pPr>
        <w:suppressAutoHyphens/>
        <w:snapToGrid w:val="0"/>
        <w:spacing w:line="360" w:lineRule="auto"/>
        <w:ind w:firstLine="480" w:firstLineChars="200"/>
        <w:rPr>
          <w:rFonts w:ascii="宋体" w:hAnsi="宋体" w:cs="宋体"/>
          <w:bCs/>
          <w:sz w:val="24"/>
        </w:rPr>
      </w:pPr>
      <w:r>
        <w:rPr>
          <w:rFonts w:ascii="宋体" w:hAnsi="宋体" w:cs="宋体"/>
          <w:bCs/>
          <w:sz w:val="24"/>
        </w:rPr>
        <w:t>3.</w:t>
      </w:r>
      <w:r>
        <w:rPr>
          <w:rFonts w:ascii="宋体" w:hAnsi="宋体" w:cs="宋体"/>
          <w:sz w:val="24"/>
        </w:rPr>
        <w:t>《政府采购需求管理办法》(财库〔2021〕22号)</w:t>
      </w:r>
    </w:p>
    <w:p w14:paraId="16740EB1">
      <w:pPr>
        <w:suppressAutoHyphens/>
        <w:snapToGrid w:val="0"/>
        <w:spacing w:line="360" w:lineRule="auto"/>
        <w:ind w:firstLine="480" w:firstLineChars="200"/>
        <w:rPr>
          <w:rFonts w:ascii="宋体" w:hAnsi="宋体" w:cs="宋体"/>
          <w:bCs/>
          <w:sz w:val="24"/>
        </w:rPr>
      </w:pPr>
      <w:r>
        <w:rPr>
          <w:rFonts w:ascii="宋体" w:hAnsi="宋体" w:cs="宋体"/>
          <w:bCs/>
          <w:sz w:val="24"/>
        </w:rPr>
        <w:t>4.</w:t>
      </w:r>
      <w:r>
        <w:rPr>
          <w:rFonts w:ascii="宋体" w:hAnsi="宋体" w:cs="宋体"/>
          <w:sz w:val="24"/>
        </w:rPr>
        <w:t>《关于促进政府采购公平竞争优化营商环境的通知》（财库〔2019〕38号）</w:t>
      </w:r>
    </w:p>
    <w:p w14:paraId="2564CBF5">
      <w:pPr>
        <w:suppressAutoHyphens/>
        <w:snapToGrid w:val="0"/>
        <w:spacing w:line="360" w:lineRule="auto"/>
        <w:ind w:firstLine="480" w:firstLineChars="200"/>
        <w:rPr>
          <w:rFonts w:ascii="宋体" w:hAnsi="宋体" w:cs="宋体"/>
          <w:sz w:val="24"/>
        </w:rPr>
      </w:pPr>
      <w:r>
        <w:rPr>
          <w:rFonts w:ascii="宋体" w:hAnsi="宋体" w:cs="宋体"/>
          <w:bCs/>
          <w:sz w:val="24"/>
        </w:rPr>
        <w:t>5.</w:t>
      </w:r>
      <w:r>
        <w:rPr>
          <w:rFonts w:ascii="宋体" w:hAnsi="宋体" w:cs="宋体"/>
          <w:sz w:val="24"/>
        </w:rPr>
        <w:t>《关于进一步提高政府采购透明度和采购效率相关事项的通知》（财办库〔2023〕243号）</w:t>
      </w:r>
    </w:p>
    <w:p w14:paraId="36D5B57E">
      <w:pPr>
        <w:suppressAutoHyphens/>
        <w:snapToGrid w:val="0"/>
        <w:spacing w:line="360" w:lineRule="auto"/>
        <w:ind w:firstLine="480" w:firstLineChars="200"/>
        <w:rPr>
          <w:rFonts w:ascii="宋体" w:hAnsi="宋体" w:cs="宋体"/>
          <w:bCs/>
          <w:sz w:val="24"/>
        </w:rPr>
      </w:pPr>
      <w:r>
        <w:rPr>
          <w:rFonts w:hint="eastAsia" w:ascii="宋体" w:hAnsi="宋体" w:cs="宋体"/>
          <w:bCs/>
          <w:sz w:val="24"/>
        </w:rPr>
        <w:t>6</w:t>
      </w:r>
      <w:r>
        <w:rPr>
          <w:rFonts w:ascii="宋体" w:hAnsi="宋体" w:cs="宋体"/>
          <w:bCs/>
          <w:sz w:val="24"/>
        </w:rPr>
        <w:t>.</w:t>
      </w:r>
      <w:r>
        <w:rPr>
          <w:rFonts w:hint="eastAsia" w:ascii="宋体" w:hAnsi="宋体" w:cs="宋体"/>
          <w:bCs/>
          <w:sz w:val="24"/>
        </w:rPr>
        <w:t>《工业和信息化部信息通信管理局关于督促互联网网络接入服务企业依法持证经营的通知》（工信管函〔2018〕84号）</w:t>
      </w:r>
    </w:p>
    <w:p w14:paraId="1EE50D89">
      <w:pPr>
        <w:suppressAutoHyphens/>
        <w:snapToGrid w:val="0"/>
        <w:spacing w:line="360" w:lineRule="auto"/>
        <w:ind w:firstLine="480" w:firstLineChars="200"/>
        <w:rPr>
          <w:rFonts w:ascii="宋体" w:hAnsi="宋体" w:cs="宋体"/>
          <w:bCs/>
          <w:sz w:val="24"/>
        </w:rPr>
      </w:pPr>
      <w:r>
        <w:rPr>
          <w:rFonts w:hint="eastAsia" w:ascii="宋体" w:hAnsi="宋体" w:cs="宋体"/>
          <w:bCs/>
          <w:sz w:val="24"/>
        </w:rPr>
        <w:t>7</w:t>
      </w:r>
      <w:r>
        <w:rPr>
          <w:rFonts w:ascii="宋体" w:hAnsi="宋体" w:cs="宋体"/>
          <w:bCs/>
          <w:sz w:val="24"/>
        </w:rPr>
        <w:t>.</w:t>
      </w:r>
      <w:r>
        <w:rPr>
          <w:rFonts w:hint="eastAsia" w:ascii="宋体" w:hAnsi="宋体" w:cs="宋体"/>
          <w:bCs/>
          <w:sz w:val="24"/>
        </w:rPr>
        <w:t>《云计算服务安全评估办法》（国家互联网信息办公室、国家发展和改革委员会、工业和信息化部、财政部公告2019年2号）</w:t>
      </w:r>
    </w:p>
    <w:p w14:paraId="46970332">
      <w:pPr>
        <w:suppressAutoHyphens/>
        <w:snapToGrid w:val="0"/>
        <w:spacing w:line="360" w:lineRule="auto"/>
        <w:ind w:firstLine="480" w:firstLineChars="200"/>
        <w:rPr>
          <w:rFonts w:ascii="宋体" w:hAnsi="宋体" w:cs="宋体"/>
          <w:bCs/>
          <w:sz w:val="24"/>
        </w:rPr>
      </w:pPr>
      <w:r>
        <w:rPr>
          <w:rFonts w:ascii="宋体" w:hAnsi="宋体" w:cs="宋体"/>
          <w:bCs/>
          <w:sz w:val="24"/>
        </w:rPr>
        <w:t>8.</w:t>
      </w:r>
      <w:r>
        <w:rPr>
          <w:rFonts w:hint="eastAsia" w:ascii="宋体" w:hAnsi="宋体" w:cs="宋体"/>
          <w:bCs/>
          <w:sz w:val="24"/>
        </w:rPr>
        <w:t>《关于加强党政部门云计算服务网络安全管理的意见》（中网办发文〔2014〕14号）</w:t>
      </w:r>
    </w:p>
    <w:p w14:paraId="2D4861C9">
      <w:pPr>
        <w:suppressAutoHyphens/>
        <w:snapToGrid w:val="0"/>
        <w:spacing w:line="360" w:lineRule="auto"/>
        <w:ind w:firstLine="480" w:firstLineChars="200"/>
        <w:rPr>
          <w:rFonts w:ascii="Calibri" w:hAnsi="Calibri"/>
        </w:rPr>
      </w:pPr>
      <w:r>
        <w:rPr>
          <w:rFonts w:hint="eastAsia" w:ascii="宋体" w:hAnsi="宋体" w:cs="宋体"/>
          <w:bCs/>
          <w:sz w:val="24"/>
        </w:rPr>
        <w:t>9</w:t>
      </w:r>
      <w:r>
        <w:rPr>
          <w:rFonts w:ascii="宋体" w:hAnsi="宋体" w:cs="宋体"/>
          <w:bCs/>
          <w:sz w:val="24"/>
        </w:rPr>
        <w:t>.</w:t>
      </w:r>
      <w:r>
        <w:rPr>
          <w:rFonts w:hint="eastAsia" w:ascii="宋体" w:hAnsi="宋体" w:cs="宋体"/>
          <w:bCs/>
          <w:sz w:val="24"/>
        </w:rPr>
        <w:t>《基于云计算的电子政务公共平台顶层设计指南》</w:t>
      </w:r>
    </w:p>
    <w:p w14:paraId="6FB6BB59">
      <w:pPr>
        <w:suppressAutoHyphens/>
        <w:snapToGrid w:val="0"/>
        <w:spacing w:line="360" w:lineRule="auto"/>
        <w:ind w:firstLine="480" w:firstLineChars="200"/>
        <w:rPr>
          <w:rFonts w:ascii="宋体" w:hAnsi="宋体" w:cs="宋体"/>
          <w:bCs/>
          <w:sz w:val="24"/>
        </w:rPr>
      </w:pPr>
      <w:r>
        <w:rPr>
          <w:rFonts w:hint="eastAsia" w:ascii="宋体" w:hAnsi="宋体" w:cs="宋体"/>
          <w:bCs/>
          <w:sz w:val="24"/>
        </w:rPr>
        <w:t>10</w:t>
      </w:r>
      <w:r>
        <w:rPr>
          <w:rFonts w:ascii="宋体" w:hAnsi="宋体" w:cs="宋体"/>
          <w:bCs/>
          <w:sz w:val="24"/>
        </w:rPr>
        <w:t>.</w:t>
      </w:r>
      <w:r>
        <w:rPr>
          <w:rFonts w:ascii="宋体" w:hAnsi="宋体" w:cs="宋体"/>
          <w:sz w:val="24"/>
        </w:rPr>
        <w:t>《北京市财政局关于印发&lt;北京市政府采购负面清单&gt;的通知》（京财采购〔2020〕1345号）</w:t>
      </w:r>
    </w:p>
    <w:p w14:paraId="6EA12F7B">
      <w:pPr>
        <w:suppressAutoHyphens/>
        <w:snapToGrid w:val="0"/>
        <w:spacing w:line="360" w:lineRule="auto"/>
        <w:ind w:firstLine="480" w:firstLineChars="200"/>
        <w:rPr>
          <w:rFonts w:ascii="宋体" w:hAnsi="宋体" w:cs="宋体"/>
          <w:bCs/>
          <w:sz w:val="24"/>
        </w:rPr>
      </w:pPr>
      <w:r>
        <w:rPr>
          <w:rFonts w:hint="eastAsia" w:ascii="宋体" w:hAnsi="宋体" w:cs="宋体"/>
          <w:bCs/>
          <w:sz w:val="24"/>
        </w:rPr>
        <w:t>11</w:t>
      </w:r>
      <w:r>
        <w:rPr>
          <w:rFonts w:ascii="宋体" w:hAnsi="宋体" w:cs="宋体"/>
          <w:bCs/>
          <w:sz w:val="24"/>
        </w:rPr>
        <w:t>.</w:t>
      </w:r>
      <w:r>
        <w:rPr>
          <w:rFonts w:ascii="宋体" w:hAnsi="宋体" w:cs="宋体"/>
          <w:sz w:val="24"/>
        </w:rPr>
        <w:t>《北京市财政局关于落实好政府采购支持中小企业发展的通知（京财采购〔2022〕1143</w:t>
      </w:r>
      <w:r>
        <w:rPr>
          <w:rFonts w:hint="eastAsia" w:ascii="宋体" w:hAnsi="宋体" w:cs="宋体"/>
          <w:sz w:val="24"/>
        </w:rPr>
        <w:t>号）</w:t>
      </w:r>
    </w:p>
    <w:p w14:paraId="272C1600">
      <w:pPr>
        <w:suppressAutoHyphens/>
        <w:snapToGrid w:val="0"/>
        <w:spacing w:line="360" w:lineRule="auto"/>
        <w:ind w:firstLine="480" w:firstLineChars="200"/>
        <w:rPr>
          <w:rFonts w:ascii="宋体" w:hAnsi="宋体" w:cs="宋体"/>
          <w:bCs/>
          <w:sz w:val="24"/>
        </w:rPr>
      </w:pPr>
      <w:r>
        <w:rPr>
          <w:rFonts w:ascii="宋体" w:hAnsi="宋体" w:cs="宋体"/>
          <w:bCs/>
          <w:sz w:val="24"/>
        </w:rPr>
        <w:t>12.</w:t>
      </w:r>
      <w:r>
        <w:rPr>
          <w:rFonts w:hint="eastAsia" w:ascii="宋体" w:hAnsi="宋体" w:cs="宋体"/>
          <w:color w:val="000000"/>
          <w:sz w:val="24"/>
        </w:rPr>
        <w:t>《关于印发&lt;关于推进我市政务信息系统整合共享的实施方案&gt;的通知》（京经信委发〔2017〕89号）</w:t>
      </w:r>
    </w:p>
    <w:p w14:paraId="388AE927">
      <w:pPr>
        <w:suppressAutoHyphens/>
        <w:snapToGrid w:val="0"/>
        <w:spacing w:line="360" w:lineRule="auto"/>
        <w:ind w:firstLine="480" w:firstLineChars="200"/>
        <w:rPr>
          <w:rFonts w:ascii="宋体" w:hAnsi="宋体" w:cs="宋体"/>
          <w:sz w:val="24"/>
        </w:rPr>
      </w:pPr>
      <w:r>
        <w:rPr>
          <w:rFonts w:ascii="宋体" w:hAnsi="宋体" w:cs="宋体"/>
          <w:sz w:val="24"/>
        </w:rPr>
        <w:t>13.</w:t>
      </w:r>
      <w:r>
        <w:rPr>
          <w:rFonts w:hint="eastAsia" w:ascii="宋体" w:hAnsi="宋体" w:cs="宋体"/>
          <w:color w:val="000000"/>
          <w:sz w:val="24"/>
        </w:rPr>
        <w:t>《北京市人民政府关于印发&lt;北京市政务信息资源管理办法（试行）&gt;的通知》（京政发〔2017〕37号）</w:t>
      </w:r>
    </w:p>
    <w:p w14:paraId="2D28CD80">
      <w:pPr>
        <w:suppressAutoHyphens/>
        <w:snapToGrid w:val="0"/>
        <w:spacing w:line="360" w:lineRule="auto"/>
        <w:ind w:firstLine="480" w:firstLineChars="200"/>
        <w:rPr>
          <w:rFonts w:ascii="宋体" w:hAnsi="宋体" w:cs="宋体"/>
          <w:sz w:val="24"/>
        </w:rPr>
      </w:pPr>
      <w:r>
        <w:rPr>
          <w:rFonts w:ascii="宋体" w:hAnsi="宋体" w:cs="宋体"/>
          <w:sz w:val="24"/>
        </w:rPr>
        <w:t>14.</w:t>
      </w:r>
      <w:r>
        <w:rPr>
          <w:rFonts w:hint="eastAsia" w:ascii="宋体" w:hAnsi="宋体" w:cs="宋体"/>
          <w:color w:val="000000"/>
          <w:sz w:val="24"/>
        </w:rPr>
        <w:t>《关于印发&lt;北京市市级政务云管理办法&gt;的通知》（京经信函〔2019〕150号）</w:t>
      </w:r>
    </w:p>
    <w:p w14:paraId="2D2FF084">
      <w:pPr>
        <w:suppressAutoHyphens/>
        <w:snapToGrid w:val="0"/>
        <w:spacing w:line="360" w:lineRule="auto"/>
        <w:ind w:firstLine="480" w:firstLineChars="200"/>
        <w:rPr>
          <w:rFonts w:ascii="宋体" w:hAnsi="宋体" w:cs="宋体"/>
          <w:sz w:val="24"/>
        </w:rPr>
      </w:pPr>
      <w:r>
        <w:rPr>
          <w:rFonts w:ascii="宋体" w:hAnsi="宋体" w:cs="宋体"/>
          <w:sz w:val="24"/>
        </w:rPr>
        <w:t>15.</w:t>
      </w:r>
      <w:r>
        <w:rPr>
          <w:rFonts w:hint="eastAsia" w:ascii="宋体" w:hAnsi="宋体" w:cs="宋体"/>
          <w:sz w:val="24"/>
        </w:rPr>
        <w:t>《北京市政务网络和数据安全管理办法》（京经信发〔2023〕57号）</w:t>
      </w:r>
    </w:p>
    <w:p w14:paraId="14D83751">
      <w:pPr>
        <w:suppressAutoHyphens/>
        <w:snapToGrid w:val="0"/>
        <w:spacing w:line="360" w:lineRule="auto"/>
        <w:ind w:firstLine="480" w:firstLineChars="200"/>
        <w:rPr>
          <w:rFonts w:ascii="宋体" w:hAnsi="宋体" w:cs="宋体"/>
          <w:sz w:val="24"/>
        </w:rPr>
      </w:pPr>
      <w:r>
        <w:rPr>
          <w:rFonts w:ascii="宋体" w:hAnsi="宋体" w:cs="宋体"/>
          <w:sz w:val="24"/>
        </w:rPr>
        <w:t>16.</w:t>
      </w:r>
      <w:r>
        <w:rPr>
          <w:rFonts w:hint="eastAsia" w:ascii="宋体" w:hAnsi="宋体" w:cs="宋体"/>
          <w:sz w:val="24"/>
        </w:rPr>
        <w:t>《北京市“十四五”时期智慧城市建设控制性规划要求（试行）》（京大数据发〔2021〕2号）</w:t>
      </w:r>
    </w:p>
    <w:p w14:paraId="349AA3BA">
      <w:pPr>
        <w:suppressAutoHyphens/>
        <w:snapToGrid w:val="0"/>
        <w:spacing w:line="360" w:lineRule="auto"/>
        <w:ind w:left="480"/>
        <w:rPr>
          <w:rFonts w:ascii="宋体" w:hAnsi="宋体" w:cs="宋体"/>
          <w:sz w:val="24"/>
        </w:rPr>
      </w:pPr>
    </w:p>
    <w:p w14:paraId="2ED53CC3">
      <w:pPr>
        <w:keepNext/>
        <w:keepLines/>
        <w:suppressAutoHyphens/>
        <w:spacing w:before="260" w:after="200"/>
        <w:ind w:firstLine="241" w:firstLineChars="100"/>
        <w:outlineLvl w:val="1"/>
        <w:rPr>
          <w:rFonts w:ascii="楷体" w:hAnsi="楷体" w:eastAsia="楷体" w:cs="楷体"/>
          <w:b/>
          <w:sz w:val="24"/>
        </w:rPr>
      </w:pPr>
      <w:bookmarkStart w:id="5" w:name="_Toc7253"/>
      <w:r>
        <w:rPr>
          <w:rFonts w:hint="eastAsia" w:ascii="楷体" w:hAnsi="楷体" w:eastAsia="楷体" w:cs="楷体"/>
          <w:b/>
          <w:sz w:val="24"/>
        </w:rPr>
        <w:t>（二）国家相关标准</w:t>
      </w:r>
      <w:bookmarkEnd w:id="5"/>
    </w:p>
    <w:p w14:paraId="368C3FB4">
      <w:pPr>
        <w:numPr>
          <w:ilvl w:val="0"/>
          <w:numId w:val="2"/>
        </w:numPr>
        <w:suppressAutoHyphens/>
        <w:snapToGrid w:val="0"/>
        <w:spacing w:line="360" w:lineRule="auto"/>
        <w:ind w:left="0" w:firstLine="425"/>
        <w:rPr>
          <w:rFonts w:ascii="宋体" w:hAnsi="宋体" w:cs="宋体"/>
          <w:bCs/>
          <w:sz w:val="24"/>
        </w:rPr>
      </w:pPr>
      <w:r>
        <w:rPr>
          <w:rFonts w:hint="eastAsia" w:ascii="宋体" w:hAnsi="宋体" w:cs="宋体"/>
          <w:bCs/>
          <w:sz w:val="24"/>
        </w:rPr>
        <w:t>《国家电子政务外网安全接入平台技术规范》</w:t>
      </w:r>
    </w:p>
    <w:p w14:paraId="55F806DA">
      <w:pPr>
        <w:numPr>
          <w:ilvl w:val="0"/>
          <w:numId w:val="2"/>
        </w:numPr>
        <w:suppressAutoHyphens/>
        <w:snapToGrid w:val="0"/>
        <w:spacing w:line="360" w:lineRule="auto"/>
        <w:ind w:left="0" w:firstLine="425"/>
        <w:rPr>
          <w:rFonts w:ascii="宋体" w:hAnsi="宋体" w:cs="宋体"/>
          <w:bCs/>
          <w:sz w:val="24"/>
        </w:rPr>
      </w:pPr>
      <w:r>
        <w:rPr>
          <w:rFonts w:hint="eastAsia" w:ascii="宋体" w:hAnsi="宋体" w:cs="宋体"/>
          <w:bCs/>
          <w:sz w:val="24"/>
        </w:rPr>
        <w:t>《信息技术—云计算—云服务质量评价指标》（GB/T 37738-2019）</w:t>
      </w:r>
    </w:p>
    <w:p w14:paraId="46AD3A5B">
      <w:pPr>
        <w:numPr>
          <w:ilvl w:val="0"/>
          <w:numId w:val="2"/>
        </w:numPr>
        <w:suppressAutoHyphens/>
        <w:snapToGrid w:val="0"/>
        <w:spacing w:line="360" w:lineRule="auto"/>
        <w:ind w:left="0" w:firstLine="425"/>
        <w:rPr>
          <w:rFonts w:ascii="宋体" w:hAnsi="宋体" w:cs="宋体"/>
          <w:bCs/>
          <w:sz w:val="24"/>
        </w:rPr>
      </w:pPr>
      <w:r>
        <w:rPr>
          <w:rFonts w:hint="eastAsia" w:ascii="宋体" w:hAnsi="宋体" w:cs="宋体"/>
          <w:bCs/>
          <w:sz w:val="24"/>
        </w:rPr>
        <w:t>《信息技术—云计算—云服务计量指标》（GB/T 37735-2019）</w:t>
      </w:r>
    </w:p>
    <w:p w14:paraId="26994929">
      <w:pPr>
        <w:numPr>
          <w:ilvl w:val="0"/>
          <w:numId w:val="2"/>
        </w:numPr>
        <w:suppressAutoHyphens/>
        <w:snapToGrid w:val="0"/>
        <w:spacing w:line="360" w:lineRule="auto"/>
        <w:ind w:left="0" w:firstLine="425"/>
        <w:rPr>
          <w:rFonts w:ascii="宋体" w:hAnsi="宋体" w:cs="宋体"/>
          <w:bCs/>
          <w:sz w:val="24"/>
        </w:rPr>
      </w:pPr>
      <w:r>
        <w:rPr>
          <w:rFonts w:hint="eastAsia" w:ascii="宋体" w:hAnsi="宋体" w:cs="宋体"/>
          <w:bCs/>
          <w:sz w:val="24"/>
        </w:rPr>
        <w:t>《信息技术—云计算—云服务采购指南》（GB/T 37734-2019）</w:t>
      </w:r>
    </w:p>
    <w:p w14:paraId="3017D538">
      <w:pPr>
        <w:numPr>
          <w:ilvl w:val="0"/>
          <w:numId w:val="2"/>
        </w:numPr>
        <w:suppressAutoHyphens/>
        <w:snapToGrid w:val="0"/>
        <w:spacing w:line="360" w:lineRule="auto"/>
        <w:ind w:left="0" w:firstLine="425"/>
        <w:rPr>
          <w:rFonts w:ascii="宋体" w:hAnsi="宋体" w:cs="宋体"/>
          <w:bCs/>
          <w:sz w:val="24"/>
        </w:rPr>
      </w:pPr>
      <w:r>
        <w:rPr>
          <w:rFonts w:hint="eastAsia" w:ascii="宋体" w:hAnsi="宋体" w:cs="宋体"/>
          <w:bCs/>
          <w:sz w:val="24"/>
        </w:rPr>
        <w:t>《信息技术—云计算—云存储系统服务接口功能》（GB/T 37732-2019）</w:t>
      </w:r>
    </w:p>
    <w:p w14:paraId="571A8C8D">
      <w:pPr>
        <w:numPr>
          <w:ilvl w:val="0"/>
          <w:numId w:val="2"/>
        </w:numPr>
        <w:suppressAutoHyphens/>
        <w:snapToGrid w:val="0"/>
        <w:spacing w:line="360" w:lineRule="auto"/>
        <w:ind w:left="0" w:firstLine="425"/>
        <w:rPr>
          <w:rFonts w:ascii="宋体" w:hAnsi="宋体" w:cs="宋体"/>
          <w:bCs/>
          <w:sz w:val="24"/>
        </w:rPr>
      </w:pPr>
      <w:r>
        <w:rPr>
          <w:rFonts w:hint="eastAsia" w:ascii="宋体" w:hAnsi="宋体" w:cs="宋体"/>
          <w:bCs/>
          <w:sz w:val="24"/>
        </w:rPr>
        <w:t>《信息技术—云计算—云资源监控通用要求》（GB/T 37736-2019）</w:t>
      </w:r>
    </w:p>
    <w:p w14:paraId="07A4EE3C">
      <w:pPr>
        <w:numPr>
          <w:ilvl w:val="0"/>
          <w:numId w:val="2"/>
        </w:numPr>
        <w:suppressAutoHyphens/>
        <w:snapToGrid w:val="0"/>
        <w:spacing w:line="360" w:lineRule="auto"/>
        <w:ind w:left="0" w:firstLine="425"/>
        <w:rPr>
          <w:rFonts w:ascii="宋体" w:hAnsi="宋体" w:cs="宋体"/>
          <w:bCs/>
          <w:sz w:val="24"/>
        </w:rPr>
      </w:pPr>
      <w:r>
        <w:rPr>
          <w:rFonts w:hint="eastAsia" w:ascii="宋体" w:hAnsi="宋体" w:cs="宋体"/>
          <w:bCs/>
          <w:sz w:val="24"/>
        </w:rPr>
        <w:t>《信息技术—云计算—云平台间应用和数据迁移指南》（GB/T 37740-2019）</w:t>
      </w:r>
    </w:p>
    <w:p w14:paraId="00158E31">
      <w:pPr>
        <w:numPr>
          <w:ilvl w:val="0"/>
          <w:numId w:val="2"/>
        </w:numPr>
        <w:suppressAutoHyphens/>
        <w:snapToGrid w:val="0"/>
        <w:spacing w:line="360" w:lineRule="auto"/>
        <w:ind w:left="0" w:firstLine="425"/>
        <w:rPr>
          <w:rFonts w:ascii="宋体" w:hAnsi="宋体" w:cs="宋体"/>
          <w:bCs/>
          <w:sz w:val="24"/>
        </w:rPr>
      </w:pPr>
      <w:r>
        <w:rPr>
          <w:rFonts w:hint="eastAsia" w:ascii="宋体" w:hAnsi="宋体" w:cs="宋体"/>
          <w:bCs/>
          <w:sz w:val="24"/>
        </w:rPr>
        <w:t>《信息技术—云计算—云服务交付要求》（GB/T 37741-2019）</w:t>
      </w:r>
    </w:p>
    <w:p w14:paraId="5E136217">
      <w:pPr>
        <w:numPr>
          <w:ilvl w:val="0"/>
          <w:numId w:val="2"/>
        </w:numPr>
        <w:suppressAutoHyphens/>
        <w:snapToGrid w:val="0"/>
        <w:spacing w:line="360" w:lineRule="auto"/>
        <w:ind w:left="0" w:firstLine="425"/>
        <w:rPr>
          <w:rFonts w:ascii="宋体" w:hAnsi="宋体" w:cs="宋体"/>
          <w:bCs/>
          <w:sz w:val="24"/>
        </w:rPr>
      </w:pPr>
      <w:r>
        <w:rPr>
          <w:rFonts w:hint="eastAsia" w:ascii="宋体" w:hAnsi="宋体" w:cs="宋体"/>
          <w:bCs/>
          <w:sz w:val="24"/>
        </w:rPr>
        <w:t>《信息系统灾难恢复规范》（GB/T 20988-2007）</w:t>
      </w:r>
    </w:p>
    <w:p w14:paraId="28E9BE4E">
      <w:pPr>
        <w:numPr>
          <w:ilvl w:val="0"/>
          <w:numId w:val="2"/>
        </w:numPr>
        <w:suppressAutoHyphens/>
        <w:snapToGrid w:val="0"/>
        <w:spacing w:line="360" w:lineRule="auto"/>
        <w:ind w:left="0" w:firstLine="425"/>
        <w:rPr>
          <w:rFonts w:ascii="宋体" w:hAnsi="宋体" w:cs="宋体"/>
          <w:bCs/>
          <w:sz w:val="24"/>
        </w:rPr>
      </w:pPr>
      <w:r>
        <w:rPr>
          <w:rFonts w:hint="eastAsia" w:ascii="宋体" w:hAnsi="宋体" w:cs="宋体"/>
          <w:bCs/>
          <w:sz w:val="24"/>
        </w:rPr>
        <w:t>《信息安全技术 云计算服务安全能力要求》（GB/T 31168-2014）</w:t>
      </w:r>
    </w:p>
    <w:p w14:paraId="2772CA92">
      <w:pPr>
        <w:numPr>
          <w:ilvl w:val="0"/>
          <w:numId w:val="2"/>
        </w:numPr>
        <w:suppressAutoHyphens/>
        <w:snapToGrid w:val="0"/>
        <w:spacing w:line="360" w:lineRule="auto"/>
        <w:ind w:left="0" w:firstLine="425"/>
        <w:rPr>
          <w:rFonts w:ascii="宋体" w:hAnsi="宋体" w:cs="宋体"/>
          <w:bCs/>
          <w:sz w:val="24"/>
        </w:rPr>
      </w:pPr>
      <w:r>
        <w:rPr>
          <w:rFonts w:hint="eastAsia" w:ascii="宋体" w:hAnsi="宋体" w:cs="宋体"/>
          <w:bCs/>
          <w:sz w:val="24"/>
        </w:rPr>
        <w:t>《信息安全技术 网络安全等级保护定级指南》（GB/T 22240-2020）</w:t>
      </w:r>
    </w:p>
    <w:p w14:paraId="0C821BAA">
      <w:pPr>
        <w:numPr>
          <w:ilvl w:val="0"/>
          <w:numId w:val="2"/>
        </w:numPr>
        <w:suppressAutoHyphens/>
        <w:snapToGrid w:val="0"/>
        <w:spacing w:line="360" w:lineRule="auto"/>
        <w:ind w:left="0" w:firstLine="425"/>
        <w:rPr>
          <w:rFonts w:ascii="宋体" w:hAnsi="宋体" w:cs="宋体"/>
          <w:bCs/>
          <w:sz w:val="24"/>
        </w:rPr>
      </w:pPr>
      <w:r>
        <w:rPr>
          <w:rFonts w:hint="eastAsia" w:ascii="宋体" w:hAnsi="宋体" w:cs="宋体"/>
          <w:bCs/>
          <w:sz w:val="24"/>
        </w:rPr>
        <w:t>《信息安全技术 网络安全等级保护基本要求》（GB/T 22239-2019）</w:t>
      </w:r>
    </w:p>
    <w:p w14:paraId="6C0C1458">
      <w:pPr>
        <w:numPr>
          <w:ilvl w:val="0"/>
          <w:numId w:val="2"/>
        </w:numPr>
        <w:suppressAutoHyphens/>
        <w:snapToGrid w:val="0"/>
        <w:spacing w:line="360" w:lineRule="auto"/>
        <w:ind w:left="0" w:firstLine="425"/>
        <w:rPr>
          <w:rFonts w:ascii="宋体" w:hAnsi="宋体" w:cs="宋体"/>
          <w:bCs/>
          <w:sz w:val="24"/>
        </w:rPr>
      </w:pPr>
      <w:r>
        <w:rPr>
          <w:rFonts w:hint="eastAsia" w:ascii="宋体" w:hAnsi="宋体" w:cs="宋体"/>
          <w:bCs/>
          <w:sz w:val="24"/>
        </w:rPr>
        <w:t>《信息安全技术 网络安全等级保护测评要求》（GB/T 28448-2019）</w:t>
      </w:r>
    </w:p>
    <w:p w14:paraId="657F4563">
      <w:pPr>
        <w:numPr>
          <w:ilvl w:val="0"/>
          <w:numId w:val="2"/>
        </w:numPr>
        <w:suppressAutoHyphens/>
        <w:snapToGrid w:val="0"/>
        <w:spacing w:line="360" w:lineRule="auto"/>
        <w:ind w:left="0" w:firstLine="425"/>
        <w:rPr>
          <w:rFonts w:ascii="宋体" w:hAnsi="宋体" w:cs="宋体"/>
          <w:sz w:val="24"/>
        </w:rPr>
      </w:pPr>
      <w:r>
        <w:rPr>
          <w:rFonts w:hint="eastAsia" w:ascii="宋体" w:hAnsi="宋体" w:cs="宋体"/>
          <w:bCs/>
          <w:sz w:val="24"/>
        </w:rPr>
        <w:t>《信息安全技术 信息系统密码应用基本要求》（GB/T39786-2021）</w:t>
      </w:r>
    </w:p>
    <w:p w14:paraId="31E1478B">
      <w:pPr>
        <w:numPr>
          <w:ilvl w:val="0"/>
          <w:numId w:val="2"/>
        </w:numPr>
        <w:suppressAutoHyphens/>
        <w:snapToGrid w:val="0"/>
        <w:spacing w:line="360" w:lineRule="auto"/>
        <w:ind w:left="0" w:firstLine="425"/>
        <w:rPr>
          <w:rFonts w:ascii="宋体" w:hAnsi="宋体" w:cs="宋体"/>
          <w:bCs/>
          <w:sz w:val="24"/>
        </w:rPr>
      </w:pPr>
      <w:r>
        <w:rPr>
          <w:rFonts w:hint="eastAsia" w:ascii="宋体" w:hAnsi="宋体" w:cs="宋体"/>
          <w:bCs/>
          <w:sz w:val="24"/>
        </w:rPr>
        <w:t>《信息安全技术 信息安全风险评估方法》（GB/T 20984-2022）</w:t>
      </w:r>
    </w:p>
    <w:p w14:paraId="6F1C21B6">
      <w:pPr>
        <w:numPr>
          <w:ilvl w:val="0"/>
          <w:numId w:val="2"/>
        </w:numPr>
        <w:suppressAutoHyphens/>
        <w:snapToGrid w:val="0"/>
        <w:spacing w:line="360" w:lineRule="auto"/>
        <w:ind w:left="0" w:firstLine="425"/>
        <w:rPr>
          <w:rFonts w:ascii="宋体" w:hAnsi="宋体" w:cs="宋体"/>
          <w:sz w:val="24"/>
        </w:rPr>
      </w:pPr>
      <w:r>
        <w:rPr>
          <w:rFonts w:hint="eastAsia" w:ascii="宋体" w:hAnsi="宋体" w:cs="宋体"/>
          <w:bCs/>
          <w:sz w:val="24"/>
        </w:rPr>
        <w:t>《信息安全技术 云计算服务安全指南》（GB/T 31167-2014）</w:t>
      </w:r>
    </w:p>
    <w:p w14:paraId="7BA201F7">
      <w:pPr>
        <w:numPr>
          <w:ilvl w:val="0"/>
          <w:numId w:val="2"/>
        </w:numPr>
        <w:suppressAutoHyphens/>
        <w:snapToGrid w:val="0"/>
        <w:spacing w:line="360" w:lineRule="auto"/>
        <w:ind w:left="0" w:firstLine="425"/>
        <w:rPr>
          <w:rFonts w:ascii="宋体" w:hAnsi="宋体" w:cs="宋体"/>
          <w:sz w:val="24"/>
        </w:rPr>
      </w:pPr>
      <w:r>
        <w:rPr>
          <w:rFonts w:hint="eastAsia" w:ascii="宋体" w:hAnsi="宋体" w:cs="宋体"/>
          <w:bCs/>
          <w:sz w:val="24"/>
        </w:rPr>
        <w:t>《信息安全技术 政府网站云计算服务安全指南》（GB/T 38249—2019）</w:t>
      </w:r>
    </w:p>
    <w:p w14:paraId="352BB520">
      <w:pPr>
        <w:numPr>
          <w:ilvl w:val="0"/>
          <w:numId w:val="2"/>
        </w:numPr>
        <w:suppressAutoHyphens/>
        <w:snapToGrid w:val="0"/>
        <w:spacing w:line="360" w:lineRule="auto"/>
        <w:ind w:left="0" w:firstLine="425"/>
        <w:rPr>
          <w:rFonts w:ascii="宋体" w:hAnsi="宋体" w:cs="宋体"/>
          <w:sz w:val="24"/>
        </w:rPr>
      </w:pPr>
      <w:r>
        <w:rPr>
          <w:rFonts w:hint="eastAsia" w:ascii="宋体" w:hAnsi="宋体" w:cs="宋体"/>
          <w:bCs/>
          <w:sz w:val="24"/>
        </w:rPr>
        <w:t>《信息安全技术 云计算安全参考架构》（GB/T 35279—2017）</w:t>
      </w:r>
    </w:p>
    <w:p w14:paraId="1B83A8AE">
      <w:pPr>
        <w:numPr>
          <w:ilvl w:val="0"/>
          <w:numId w:val="2"/>
        </w:numPr>
        <w:suppressAutoHyphens/>
        <w:snapToGrid w:val="0"/>
        <w:spacing w:line="360" w:lineRule="auto"/>
        <w:ind w:left="0" w:firstLine="425"/>
        <w:rPr>
          <w:rFonts w:ascii="宋体" w:hAnsi="宋体" w:cs="宋体"/>
          <w:sz w:val="24"/>
        </w:rPr>
      </w:pPr>
      <w:r>
        <w:rPr>
          <w:rFonts w:hint="eastAsia" w:ascii="宋体" w:hAnsi="宋体" w:cs="宋体"/>
          <w:bCs/>
          <w:sz w:val="24"/>
        </w:rPr>
        <w:t>《信息安全技术 云计算服务安全能力评估方法》GB/T 34942—2017</w:t>
      </w:r>
    </w:p>
    <w:p w14:paraId="5C36FECE">
      <w:pPr>
        <w:numPr>
          <w:ilvl w:val="0"/>
          <w:numId w:val="2"/>
        </w:numPr>
        <w:suppressAutoHyphens/>
        <w:snapToGrid w:val="0"/>
        <w:spacing w:line="360" w:lineRule="auto"/>
        <w:ind w:left="0" w:firstLine="425"/>
        <w:rPr>
          <w:rFonts w:ascii="宋体" w:hAnsi="宋体" w:cs="宋体"/>
          <w:sz w:val="24"/>
        </w:rPr>
      </w:pPr>
      <w:r>
        <w:rPr>
          <w:rFonts w:hint="eastAsia" w:ascii="宋体" w:hAnsi="宋体" w:cs="宋体"/>
          <w:bCs/>
          <w:sz w:val="24"/>
        </w:rPr>
        <w:t>《信息安全技术 云计算服务运行监管框架》（GB/T 37972—2019）</w:t>
      </w:r>
    </w:p>
    <w:p w14:paraId="452885AD">
      <w:pPr>
        <w:numPr>
          <w:ilvl w:val="0"/>
          <w:numId w:val="2"/>
        </w:numPr>
        <w:suppressAutoHyphens/>
        <w:snapToGrid w:val="0"/>
        <w:spacing w:line="360" w:lineRule="auto"/>
        <w:ind w:left="0" w:firstLine="425"/>
        <w:rPr>
          <w:rFonts w:ascii="宋体" w:hAnsi="宋体" w:cs="宋体"/>
          <w:sz w:val="24"/>
        </w:rPr>
      </w:pPr>
      <w:r>
        <w:rPr>
          <w:rFonts w:hint="eastAsia" w:ascii="宋体" w:hAnsi="宋体" w:cs="宋体"/>
          <w:bCs/>
          <w:sz w:val="24"/>
        </w:rPr>
        <w:t>《信息技术 云资源监控指标体系》（GB/T 37938-2019）</w:t>
      </w:r>
    </w:p>
    <w:p w14:paraId="1B4E66F2">
      <w:pPr>
        <w:numPr>
          <w:ilvl w:val="0"/>
          <w:numId w:val="2"/>
        </w:numPr>
        <w:suppressAutoHyphens/>
        <w:snapToGrid w:val="0"/>
        <w:spacing w:line="360" w:lineRule="auto"/>
        <w:ind w:left="0" w:firstLine="425"/>
        <w:rPr>
          <w:rFonts w:ascii="宋体" w:hAnsi="宋体" w:cs="宋体"/>
          <w:bCs/>
          <w:sz w:val="24"/>
        </w:rPr>
      </w:pPr>
      <w:r>
        <w:rPr>
          <w:rFonts w:hint="eastAsia" w:ascii="宋体" w:hAnsi="宋体" w:cs="宋体"/>
          <w:bCs/>
          <w:sz w:val="24"/>
        </w:rPr>
        <w:t>《电子信息系统机房设计规范》（GB50174-2017）</w:t>
      </w:r>
    </w:p>
    <w:p w14:paraId="4158C5F2">
      <w:pPr>
        <w:numPr>
          <w:ilvl w:val="0"/>
          <w:numId w:val="2"/>
        </w:numPr>
        <w:suppressAutoHyphens/>
        <w:snapToGrid w:val="0"/>
        <w:spacing w:line="360" w:lineRule="auto"/>
        <w:ind w:left="0" w:firstLine="425"/>
        <w:rPr>
          <w:rFonts w:ascii="宋体" w:hAnsi="宋体" w:cs="宋体"/>
          <w:bCs/>
          <w:sz w:val="24"/>
        </w:rPr>
      </w:pPr>
      <w:r>
        <w:rPr>
          <w:rFonts w:hint="eastAsia" w:ascii="宋体" w:hAnsi="宋体" w:cs="宋体"/>
          <w:bCs/>
          <w:sz w:val="24"/>
        </w:rPr>
        <w:t>《数据中心电信基础设施标准》（ANSI/TIA-942）</w:t>
      </w:r>
    </w:p>
    <w:p w14:paraId="1A762757">
      <w:pPr>
        <w:numPr>
          <w:ilvl w:val="0"/>
          <w:numId w:val="2"/>
        </w:numPr>
        <w:suppressAutoHyphens/>
        <w:snapToGrid w:val="0"/>
        <w:spacing w:line="360" w:lineRule="auto"/>
        <w:ind w:left="0" w:firstLine="425"/>
        <w:rPr>
          <w:rFonts w:ascii="宋体" w:hAnsi="宋体" w:cs="宋体"/>
          <w:bCs/>
          <w:sz w:val="24"/>
        </w:rPr>
      </w:pPr>
      <w:r>
        <w:rPr>
          <w:rFonts w:hint="eastAsia" w:ascii="宋体" w:hAnsi="宋体" w:cs="宋体"/>
          <w:bCs/>
          <w:sz w:val="24"/>
        </w:rPr>
        <w:t>《综合布线系统工程设计规范》（GB 50311—2016）</w:t>
      </w:r>
    </w:p>
    <w:p w14:paraId="2FAE3399">
      <w:pPr>
        <w:numPr>
          <w:ilvl w:val="0"/>
          <w:numId w:val="2"/>
        </w:numPr>
        <w:suppressAutoHyphens/>
        <w:snapToGrid w:val="0"/>
        <w:spacing w:line="360" w:lineRule="auto"/>
        <w:ind w:left="0" w:firstLine="425"/>
        <w:rPr>
          <w:rFonts w:ascii="宋体" w:hAnsi="宋体" w:cs="宋体"/>
          <w:sz w:val="24"/>
        </w:rPr>
      </w:pPr>
      <w:r>
        <w:rPr>
          <w:rFonts w:hint="eastAsia" w:ascii="宋体" w:hAnsi="宋体" w:cs="宋体"/>
          <w:bCs/>
          <w:sz w:val="24"/>
        </w:rPr>
        <w:t>《云计算关键领域安全指南V4.0》</w:t>
      </w:r>
    </w:p>
    <w:p w14:paraId="798E7DD6">
      <w:pPr>
        <w:keepNext/>
        <w:keepLines/>
        <w:suppressAutoHyphens/>
        <w:spacing w:before="260" w:after="200"/>
        <w:ind w:firstLine="241" w:firstLineChars="100"/>
        <w:outlineLvl w:val="1"/>
        <w:rPr>
          <w:rFonts w:ascii="楷体" w:hAnsi="楷体" w:eastAsia="楷体" w:cs="楷体"/>
          <w:b/>
          <w:sz w:val="24"/>
        </w:rPr>
      </w:pPr>
      <w:bookmarkStart w:id="6" w:name="_Toc22759"/>
      <w:r>
        <w:rPr>
          <w:rFonts w:hint="eastAsia" w:ascii="楷体" w:hAnsi="楷体" w:eastAsia="楷体" w:cs="楷体"/>
          <w:b/>
          <w:sz w:val="24"/>
        </w:rPr>
        <w:t>（三）北京市相关标准</w:t>
      </w:r>
      <w:bookmarkEnd w:id="6"/>
    </w:p>
    <w:p w14:paraId="777993E8">
      <w:pPr>
        <w:numPr>
          <w:ilvl w:val="0"/>
          <w:numId w:val="3"/>
        </w:numPr>
        <w:suppressAutoHyphens/>
        <w:snapToGrid w:val="0"/>
        <w:spacing w:line="360" w:lineRule="auto"/>
        <w:ind w:left="0" w:firstLine="425"/>
        <w:rPr>
          <w:rFonts w:ascii="宋体" w:hAnsi="宋体" w:cs="宋体"/>
          <w:bCs/>
          <w:sz w:val="24"/>
        </w:rPr>
      </w:pPr>
      <w:r>
        <w:rPr>
          <w:rFonts w:hint="eastAsia" w:ascii="宋体" w:hAnsi="宋体" w:cs="宋体"/>
          <w:bCs/>
          <w:sz w:val="24"/>
        </w:rPr>
        <w:t>《政务云平台建设技术要求》（DB11/T 2169-2023）</w:t>
      </w:r>
    </w:p>
    <w:p w14:paraId="42910268">
      <w:pPr>
        <w:numPr>
          <w:ilvl w:val="0"/>
          <w:numId w:val="3"/>
        </w:numPr>
        <w:suppressAutoHyphens/>
        <w:snapToGrid w:val="0"/>
        <w:spacing w:line="360" w:lineRule="auto"/>
        <w:ind w:left="0" w:firstLine="425"/>
        <w:rPr>
          <w:rFonts w:ascii="宋体" w:hAnsi="宋体" w:cs="宋体"/>
          <w:bCs/>
          <w:sz w:val="24"/>
        </w:rPr>
      </w:pPr>
      <w:r>
        <w:rPr>
          <w:rFonts w:hint="eastAsia" w:ascii="宋体" w:hAnsi="宋体" w:cs="宋体"/>
          <w:bCs/>
          <w:sz w:val="24"/>
        </w:rPr>
        <w:t xml:space="preserve">《北京市政务云安全技术规范 </w:t>
      </w:r>
      <w:r>
        <w:rPr>
          <w:rFonts w:hint="eastAsia" w:ascii="宋体" w:hAnsi="宋体" w:cs="宋体"/>
          <w:sz w:val="24"/>
        </w:rPr>
        <w:t>IaaS云计算平台分册</w:t>
      </w:r>
      <w:r>
        <w:rPr>
          <w:rFonts w:hint="eastAsia" w:ascii="宋体" w:hAnsi="宋体" w:cs="宋体"/>
          <w:bCs/>
          <w:sz w:val="24"/>
        </w:rPr>
        <w:t>》</w:t>
      </w:r>
    </w:p>
    <w:p w14:paraId="4BB771A7">
      <w:pPr>
        <w:numPr>
          <w:ilvl w:val="0"/>
          <w:numId w:val="3"/>
        </w:numPr>
        <w:suppressAutoHyphens/>
        <w:snapToGrid w:val="0"/>
        <w:spacing w:line="360" w:lineRule="auto"/>
        <w:ind w:left="0" w:firstLine="425"/>
        <w:rPr>
          <w:rFonts w:ascii="宋体" w:hAnsi="宋体" w:cs="宋体"/>
          <w:bCs/>
          <w:sz w:val="24"/>
        </w:rPr>
      </w:pPr>
      <w:r>
        <w:rPr>
          <w:rFonts w:hint="eastAsia" w:ascii="宋体" w:hAnsi="宋体" w:cs="宋体"/>
          <w:bCs/>
          <w:sz w:val="24"/>
        </w:rPr>
        <w:t xml:space="preserve">《北京市政务云安全技术规范 </w:t>
      </w:r>
      <w:r>
        <w:rPr>
          <w:rFonts w:hint="eastAsia" w:ascii="宋体" w:hAnsi="宋体" w:cs="宋体"/>
          <w:sz w:val="24"/>
        </w:rPr>
        <w:t>IaaS云计算平台安全监管接口分册</w:t>
      </w:r>
      <w:r>
        <w:rPr>
          <w:rFonts w:hint="eastAsia" w:ascii="宋体" w:hAnsi="宋体" w:cs="宋体"/>
          <w:bCs/>
          <w:sz w:val="24"/>
        </w:rPr>
        <w:t>》</w:t>
      </w:r>
    </w:p>
    <w:p w14:paraId="564D6794">
      <w:pPr>
        <w:numPr>
          <w:ilvl w:val="0"/>
          <w:numId w:val="3"/>
        </w:numPr>
        <w:suppressAutoHyphens/>
        <w:snapToGrid w:val="0"/>
        <w:spacing w:line="360" w:lineRule="auto"/>
        <w:ind w:left="0" w:firstLine="425"/>
        <w:rPr>
          <w:rFonts w:ascii="宋体" w:hAnsi="宋体" w:cs="宋体"/>
          <w:bCs/>
          <w:sz w:val="24"/>
        </w:rPr>
      </w:pPr>
      <w:r>
        <w:rPr>
          <w:rFonts w:hint="eastAsia" w:ascii="宋体" w:hAnsi="宋体" w:cs="宋体"/>
          <w:bCs/>
          <w:sz w:val="24"/>
        </w:rPr>
        <w:t xml:space="preserve">《北京市政务云安全技术规范 </w:t>
      </w:r>
      <w:r>
        <w:rPr>
          <w:rFonts w:hint="eastAsia" w:ascii="宋体" w:hAnsi="宋体" w:cs="宋体"/>
          <w:sz w:val="24"/>
        </w:rPr>
        <w:t>信息安全服务接口分册</w:t>
      </w:r>
      <w:r>
        <w:rPr>
          <w:rFonts w:hint="eastAsia" w:ascii="宋体" w:hAnsi="宋体" w:cs="宋体"/>
          <w:bCs/>
          <w:sz w:val="24"/>
        </w:rPr>
        <w:t>》</w:t>
      </w:r>
    </w:p>
    <w:p w14:paraId="0909BB07">
      <w:pPr>
        <w:keepNext/>
        <w:keepLines/>
        <w:suppressAutoHyphens/>
        <w:spacing w:before="260" w:after="200"/>
        <w:ind w:firstLine="241" w:firstLineChars="100"/>
        <w:outlineLvl w:val="1"/>
        <w:rPr>
          <w:rFonts w:ascii="楷体" w:hAnsi="楷体" w:eastAsia="楷体" w:cs="楷体"/>
          <w:b/>
          <w:sz w:val="24"/>
        </w:rPr>
      </w:pPr>
      <w:bookmarkStart w:id="7" w:name="_Toc28146"/>
      <w:r>
        <w:rPr>
          <w:rFonts w:hint="eastAsia" w:ascii="楷体" w:hAnsi="楷体" w:eastAsia="楷体" w:cs="楷体"/>
          <w:b/>
          <w:sz w:val="24"/>
        </w:rPr>
        <w:t>（四）其他</w:t>
      </w:r>
      <w:bookmarkEnd w:id="7"/>
    </w:p>
    <w:p w14:paraId="2674775B">
      <w:pPr>
        <w:numPr>
          <w:ilvl w:val="0"/>
          <w:numId w:val="4"/>
        </w:numPr>
        <w:suppressAutoHyphens/>
        <w:snapToGrid w:val="0"/>
        <w:spacing w:line="360" w:lineRule="auto"/>
        <w:ind w:left="0" w:firstLine="425"/>
        <w:rPr>
          <w:rFonts w:ascii="宋体" w:hAnsi="宋体" w:cs="宋体"/>
          <w:sz w:val="24"/>
        </w:rPr>
      </w:pPr>
      <w:r>
        <w:rPr>
          <w:rFonts w:hint="eastAsia" w:ascii="宋体" w:hAnsi="宋体" w:cs="宋体"/>
          <w:sz w:val="24"/>
        </w:rPr>
        <w:t>《北京市市级行政事业单位云计算服务框架协议采购项目（2023 年度）》征集文件第四部分采购需求中技术要求</w:t>
      </w:r>
    </w:p>
    <w:p w14:paraId="6128904F">
      <w:pPr>
        <w:suppressAutoHyphens/>
        <w:adjustRightInd w:val="0"/>
        <w:snapToGrid w:val="0"/>
        <w:spacing w:line="360" w:lineRule="auto"/>
        <w:ind w:left="425"/>
        <w:rPr>
          <w:rFonts w:ascii="楷体" w:hAnsi="楷体" w:eastAsia="楷体" w:cs="宋体"/>
          <w:b/>
          <w:bCs/>
          <w:szCs w:val="21"/>
        </w:rPr>
      </w:pPr>
      <w:r>
        <w:rPr>
          <w:rFonts w:hint="eastAsia" w:ascii="楷体" w:hAnsi="楷体" w:eastAsia="楷体" w:cs="宋体"/>
          <w:b/>
          <w:bCs/>
          <w:szCs w:val="21"/>
        </w:rPr>
        <w:t>注：服务标准涉及的国家标准及北京市标准有更新的，执行最新标准。</w:t>
      </w:r>
    </w:p>
    <w:p w14:paraId="68559F95">
      <w:pPr>
        <w:suppressAutoHyphens/>
        <w:rPr>
          <w:rFonts w:ascii="宋体" w:hAnsi="宋体" w:cs="宋体"/>
          <w:sz w:val="24"/>
        </w:rPr>
      </w:pPr>
    </w:p>
    <w:p w14:paraId="67EF7A4D">
      <w:pPr>
        <w:keepNext/>
        <w:keepLines/>
        <w:numPr>
          <w:ilvl w:val="0"/>
          <w:numId w:val="1"/>
        </w:numPr>
        <w:suppressAutoHyphens/>
        <w:spacing w:before="260" w:after="220"/>
        <w:outlineLvl w:val="0"/>
        <w:rPr>
          <w:rFonts w:ascii="黑体" w:hAnsi="黑体" w:eastAsia="黑体" w:cs="黑体"/>
          <w:b/>
          <w:kern w:val="44"/>
          <w:sz w:val="24"/>
        </w:rPr>
      </w:pPr>
      <w:bookmarkStart w:id="8" w:name="_Toc27514"/>
      <w:r>
        <w:rPr>
          <w:rFonts w:hint="eastAsia" w:ascii="黑体" w:hAnsi="黑体" w:eastAsia="黑体" w:cs="黑体"/>
          <w:b/>
          <w:kern w:val="44"/>
          <w:sz w:val="24"/>
        </w:rPr>
        <w:t>项目背景或概况</w:t>
      </w:r>
      <w:bookmarkEnd w:id="8"/>
    </w:p>
    <w:p w14:paraId="0ABC2154">
      <w:pPr>
        <w:suppressAutoHyphens/>
        <w:snapToGrid w:val="0"/>
        <w:spacing w:line="360" w:lineRule="auto"/>
        <w:ind w:firstLine="480" w:firstLineChars="200"/>
        <w:rPr>
          <w:rFonts w:ascii="宋体" w:hAnsi="宋体" w:cs="宋体"/>
          <w:bCs/>
          <w:sz w:val="24"/>
        </w:rPr>
      </w:pPr>
      <w:r>
        <w:rPr>
          <w:rFonts w:hint="eastAsia" w:ascii="宋体" w:hAnsi="宋体" w:cs="宋体"/>
          <w:bCs/>
          <w:sz w:val="24"/>
        </w:rPr>
        <w:t>北京市文化市场综合执法总队（简称市文化市场执法总队），为市委宣传部、市文化和旅游局双重管理的副局级行政执法机构，以市文化和旅游局名义执法。 （一）负责集中行使法律、法规、规章规定的文化、文物、新闻出版、版权、广播电视、电影、旅游市场以及宗教等领域应由省级行政主管部门行使的行政处罚权以及与之相关的行政检查、行政强制权。 （二）负责相关领域重大疑难复杂案件和跨区域案件的查处工作。 （三）负责指导、协调、监督、考核各区文化市场综合执法工作。 （四）承担“扫黄打非”有关工作任务。 （五）完成市委、市政府和市委宣传部、市文化和旅游局交办的其他任务。</w:t>
      </w:r>
    </w:p>
    <w:p w14:paraId="242211BC">
      <w:pPr>
        <w:suppressAutoHyphens/>
        <w:snapToGrid w:val="0"/>
        <w:spacing w:line="360" w:lineRule="auto"/>
        <w:ind w:firstLine="480" w:firstLineChars="200"/>
        <w:rPr>
          <w:rFonts w:ascii="宋体" w:hAnsi="宋体" w:cs="宋体"/>
          <w:bCs/>
          <w:sz w:val="24"/>
        </w:rPr>
      </w:pPr>
      <w:r>
        <w:rPr>
          <w:rFonts w:hint="eastAsia" w:ascii="宋体" w:hAnsi="宋体" w:cs="宋体"/>
          <w:bCs/>
          <w:sz w:val="24"/>
        </w:rPr>
        <w:t>本项目将为支撑文化市场执法总队信息化系统和平台提供政务云服务。</w:t>
      </w:r>
    </w:p>
    <w:p w14:paraId="741DC45E">
      <w:pPr>
        <w:suppressAutoHyphens/>
        <w:snapToGrid w:val="0"/>
        <w:spacing w:line="360" w:lineRule="auto"/>
        <w:ind w:firstLine="480" w:firstLineChars="200"/>
        <w:rPr>
          <w:rFonts w:ascii="宋体" w:hAnsi="宋体" w:cs="宋体"/>
          <w:sz w:val="24"/>
        </w:rPr>
      </w:pPr>
      <w:r>
        <w:rPr>
          <w:rFonts w:hint="eastAsia" w:ascii="宋体" w:hAnsi="宋体" w:cs="宋体"/>
          <w:bCs/>
          <w:sz w:val="24"/>
        </w:rPr>
        <w:br w:type="page"/>
      </w:r>
    </w:p>
    <w:p w14:paraId="729D1BBC">
      <w:pPr>
        <w:keepNext/>
        <w:keepLines/>
        <w:numPr>
          <w:ilvl w:val="0"/>
          <w:numId w:val="1"/>
        </w:numPr>
        <w:suppressAutoHyphens/>
        <w:spacing w:before="260" w:after="220"/>
        <w:outlineLvl w:val="0"/>
        <w:rPr>
          <w:rFonts w:ascii="黑体" w:hAnsi="黑体" w:eastAsia="黑体" w:cs="黑体"/>
          <w:b/>
          <w:kern w:val="44"/>
          <w:sz w:val="24"/>
        </w:rPr>
      </w:pPr>
      <w:bookmarkStart w:id="9" w:name="_Toc9754"/>
      <w:r>
        <w:rPr>
          <w:rFonts w:hint="eastAsia" w:ascii="黑体" w:hAnsi="黑体" w:eastAsia="黑体" w:cs="黑体"/>
          <w:b/>
          <w:kern w:val="44"/>
          <w:sz w:val="24"/>
        </w:rPr>
        <w:t>技术参数要求</w:t>
      </w:r>
      <w:bookmarkEnd w:id="9"/>
    </w:p>
    <w:p w14:paraId="34050125">
      <w:pPr>
        <w:keepNext/>
        <w:keepLines/>
        <w:suppressAutoHyphens/>
        <w:spacing w:before="260" w:after="200"/>
        <w:ind w:firstLine="241" w:firstLineChars="100"/>
        <w:outlineLvl w:val="1"/>
        <w:rPr>
          <w:rFonts w:ascii="楷体" w:hAnsi="楷体" w:eastAsia="楷体" w:cs="楷体"/>
          <w:b/>
          <w:sz w:val="24"/>
        </w:rPr>
      </w:pPr>
      <w:bookmarkStart w:id="10" w:name="_Toc24837"/>
      <w:r>
        <w:rPr>
          <w:rFonts w:hint="eastAsia" w:ascii="楷体" w:hAnsi="楷体" w:eastAsia="楷体" w:cs="楷体"/>
          <w:b/>
          <w:sz w:val="24"/>
        </w:rPr>
        <w:t>（一）政务云基础服务</w:t>
      </w:r>
      <w:bookmarkEnd w:id="10"/>
    </w:p>
    <w:tbl>
      <w:tblPr>
        <w:tblStyle w:val="2"/>
        <w:tblW w:w="0" w:type="auto"/>
        <w:tblInd w:w="0" w:type="dxa"/>
        <w:tblLayout w:type="fixed"/>
        <w:tblCellMar>
          <w:top w:w="0" w:type="dxa"/>
          <w:left w:w="108" w:type="dxa"/>
          <w:bottom w:w="0" w:type="dxa"/>
          <w:right w:w="108" w:type="dxa"/>
        </w:tblCellMar>
      </w:tblPr>
      <w:tblGrid>
        <w:gridCol w:w="1748"/>
        <w:gridCol w:w="3516"/>
        <w:gridCol w:w="807"/>
        <w:gridCol w:w="845"/>
        <w:gridCol w:w="906"/>
        <w:gridCol w:w="879"/>
      </w:tblGrid>
      <w:tr w14:paraId="64F4582E">
        <w:tblPrEx>
          <w:tblCellMar>
            <w:top w:w="0" w:type="dxa"/>
            <w:left w:w="108" w:type="dxa"/>
            <w:bottom w:w="0" w:type="dxa"/>
            <w:right w:w="108" w:type="dxa"/>
          </w:tblCellMar>
        </w:tblPrEx>
        <w:trPr>
          <w:trHeight w:val="310" w:hRule="atLeast"/>
        </w:trPr>
        <w:tc>
          <w:tcPr>
            <w:tcW w:w="1748"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D656568">
            <w:pPr>
              <w:widowControl/>
              <w:suppressAutoHyphens/>
              <w:jc w:val="center"/>
              <w:textAlignment w:val="center"/>
              <w:rPr>
                <w:rFonts w:ascii="宋体" w:hAnsi="宋体" w:cs="宋体"/>
                <w:b/>
                <w:bCs/>
                <w:color w:val="000000"/>
                <w:sz w:val="24"/>
              </w:rPr>
            </w:pPr>
            <w:r>
              <w:rPr>
                <w:rFonts w:hint="eastAsia" w:ascii="宋体" w:hAnsi="宋体" w:cs="宋体"/>
                <w:b/>
                <w:bCs/>
                <w:color w:val="000000"/>
                <w:sz w:val="24"/>
                <w:lang w:bidi="ar"/>
              </w:rPr>
              <w:t>服务子类</w:t>
            </w:r>
          </w:p>
        </w:tc>
        <w:tc>
          <w:tcPr>
            <w:tcW w:w="3516"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3178B9FD">
            <w:pPr>
              <w:widowControl/>
              <w:suppressAutoHyphens/>
              <w:jc w:val="center"/>
              <w:textAlignment w:val="center"/>
              <w:rPr>
                <w:rFonts w:ascii="宋体" w:hAnsi="宋体" w:cs="宋体"/>
                <w:b/>
                <w:bCs/>
                <w:color w:val="000000"/>
                <w:sz w:val="24"/>
              </w:rPr>
            </w:pPr>
            <w:r>
              <w:rPr>
                <w:rFonts w:hint="eastAsia" w:ascii="宋体" w:hAnsi="宋体" w:cs="宋体"/>
                <w:b/>
                <w:bCs/>
                <w:color w:val="000000"/>
                <w:sz w:val="24"/>
                <w:lang w:bidi="ar"/>
              </w:rPr>
              <w:t>服务项</w:t>
            </w:r>
          </w:p>
        </w:tc>
        <w:tc>
          <w:tcPr>
            <w:tcW w:w="807"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608528B">
            <w:pPr>
              <w:widowControl/>
              <w:suppressAutoHyphens/>
              <w:jc w:val="center"/>
              <w:textAlignment w:val="center"/>
              <w:rPr>
                <w:rFonts w:ascii="宋体" w:hAnsi="宋体" w:cs="宋体"/>
                <w:b/>
                <w:bCs/>
                <w:color w:val="000000"/>
                <w:sz w:val="24"/>
              </w:rPr>
            </w:pPr>
            <w:r>
              <w:rPr>
                <w:rFonts w:hint="eastAsia" w:ascii="宋体" w:hAnsi="宋体" w:cs="宋体"/>
                <w:b/>
                <w:bCs/>
                <w:color w:val="000000"/>
                <w:sz w:val="24"/>
                <w:lang w:bidi="ar"/>
              </w:rPr>
              <w:t>计价单位</w:t>
            </w:r>
          </w:p>
        </w:tc>
        <w:tc>
          <w:tcPr>
            <w:tcW w:w="845"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1F3B108">
            <w:pPr>
              <w:widowControl/>
              <w:suppressAutoHyphens/>
              <w:jc w:val="center"/>
              <w:textAlignment w:val="center"/>
              <w:rPr>
                <w:rFonts w:ascii="宋体" w:hAnsi="宋体" w:cs="宋体"/>
                <w:b/>
                <w:bCs/>
                <w:color w:val="000000"/>
                <w:sz w:val="24"/>
              </w:rPr>
            </w:pPr>
            <w:r>
              <w:rPr>
                <w:rFonts w:hint="eastAsia" w:ascii="宋体" w:hAnsi="宋体" w:cs="宋体"/>
                <w:b/>
                <w:bCs/>
                <w:color w:val="000000"/>
                <w:sz w:val="24"/>
                <w:lang w:bidi="ar"/>
              </w:rPr>
              <w:t>报价单位</w:t>
            </w:r>
          </w:p>
        </w:tc>
        <w:tc>
          <w:tcPr>
            <w:tcW w:w="906"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12C3284">
            <w:pPr>
              <w:widowControl/>
              <w:suppressAutoHyphens/>
              <w:jc w:val="center"/>
              <w:textAlignment w:val="center"/>
              <w:rPr>
                <w:rFonts w:ascii="宋体" w:hAnsi="宋体" w:cs="宋体"/>
                <w:b/>
                <w:bCs/>
                <w:color w:val="000000"/>
                <w:sz w:val="24"/>
              </w:rPr>
            </w:pPr>
            <w:r>
              <w:rPr>
                <w:rFonts w:hint="eastAsia" w:ascii="宋体" w:hAnsi="宋体" w:cs="宋体"/>
                <w:b/>
                <w:bCs/>
                <w:color w:val="000000"/>
                <w:sz w:val="24"/>
                <w:lang w:bidi="ar"/>
              </w:rPr>
              <w:t>数量</w:t>
            </w:r>
          </w:p>
        </w:tc>
        <w:tc>
          <w:tcPr>
            <w:tcW w:w="879" w:type="dxa"/>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2C58C856">
            <w:pPr>
              <w:widowControl/>
              <w:suppressAutoHyphens/>
              <w:jc w:val="center"/>
              <w:textAlignment w:val="center"/>
              <w:rPr>
                <w:rFonts w:ascii="宋体" w:hAnsi="宋体" w:cs="宋体"/>
                <w:b/>
                <w:bCs/>
                <w:color w:val="000000"/>
                <w:sz w:val="24"/>
              </w:rPr>
            </w:pPr>
            <w:r>
              <w:rPr>
                <w:rFonts w:hint="eastAsia" w:ascii="宋体" w:hAnsi="宋体" w:cs="宋体"/>
                <w:b/>
                <w:bCs/>
                <w:color w:val="000000"/>
                <w:sz w:val="24"/>
                <w:lang w:bidi="ar"/>
              </w:rPr>
              <w:t>服务期（月）</w:t>
            </w:r>
          </w:p>
        </w:tc>
      </w:tr>
      <w:tr w14:paraId="3B5A28F9">
        <w:tblPrEx>
          <w:tblCellMar>
            <w:top w:w="0" w:type="dxa"/>
            <w:left w:w="108" w:type="dxa"/>
            <w:bottom w:w="0" w:type="dxa"/>
            <w:right w:w="108" w:type="dxa"/>
          </w:tblCellMar>
        </w:tblPrEx>
        <w:trPr>
          <w:trHeight w:val="840" w:hRule="atLeast"/>
        </w:trPr>
        <w:tc>
          <w:tcPr>
            <w:tcW w:w="1748" w:type="dxa"/>
            <w:vMerge w:val="restart"/>
            <w:tcBorders>
              <w:top w:val="single" w:color="000000" w:sz="4" w:space="0"/>
              <w:left w:val="single" w:color="000000" w:sz="4" w:space="0"/>
              <w:bottom w:val="single" w:color="000000" w:sz="4" w:space="0"/>
              <w:right w:val="single" w:color="000000" w:sz="4" w:space="0"/>
            </w:tcBorders>
            <w:noWrap w:val="0"/>
            <w:vAlign w:val="center"/>
          </w:tcPr>
          <w:p w14:paraId="19ED2118">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x86平台云主机服务</w:t>
            </w:r>
          </w:p>
        </w:tc>
        <w:tc>
          <w:tcPr>
            <w:tcW w:w="3516" w:type="dxa"/>
            <w:tcBorders>
              <w:top w:val="single" w:color="000000" w:sz="4" w:space="0"/>
              <w:left w:val="single" w:color="000000" w:sz="4" w:space="0"/>
              <w:bottom w:val="single" w:color="000000" w:sz="4" w:space="0"/>
              <w:right w:val="single" w:color="000000" w:sz="4" w:space="0"/>
            </w:tcBorders>
            <w:noWrap w:val="0"/>
            <w:vAlign w:val="center"/>
          </w:tcPr>
          <w:p w14:paraId="5A5F7DFB">
            <w:pPr>
              <w:widowControl/>
              <w:suppressAutoHyphens/>
              <w:textAlignment w:val="center"/>
              <w:rPr>
                <w:rFonts w:ascii="宋体" w:hAnsi="宋体" w:cs="宋体"/>
                <w:color w:val="000000"/>
                <w:sz w:val="24"/>
              </w:rPr>
            </w:pPr>
            <w:r>
              <w:rPr>
                <w:rFonts w:hint="eastAsia" w:ascii="宋体" w:hAnsi="宋体" w:cs="宋体"/>
                <w:color w:val="000000"/>
                <w:sz w:val="24"/>
                <w:lang w:bidi="ar"/>
              </w:rPr>
              <w:t>vCPU（主频不低于2.4GHz）</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29C2155B">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1CPU</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2DB147E9">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元/月</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435DD7C">
            <w:pPr>
              <w:widowControl/>
              <w:suppressAutoHyphens/>
              <w:jc w:val="center"/>
              <w:textAlignment w:val="center"/>
              <w:rPr>
                <w:rFonts w:ascii="宋体" w:hAnsi="宋体" w:cs="宋体"/>
                <w:color w:val="000000"/>
                <w:sz w:val="24"/>
              </w:rPr>
            </w:pPr>
            <w:r>
              <w:rPr>
                <w:rFonts w:ascii="宋体" w:hAnsi="宋体" w:cs="宋体"/>
                <w:color w:val="000000"/>
                <w:sz w:val="24"/>
              </w:rPr>
              <w:t>768</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14:paraId="3FD53988">
            <w:pPr>
              <w:widowControl/>
              <w:suppressAutoHyphens/>
              <w:jc w:val="center"/>
              <w:textAlignment w:val="center"/>
              <w:rPr>
                <w:rFonts w:ascii="宋体" w:hAnsi="宋体" w:cs="宋体"/>
                <w:color w:val="000000"/>
                <w:sz w:val="24"/>
              </w:rPr>
            </w:pPr>
            <w:r>
              <w:rPr>
                <w:rFonts w:ascii="宋体" w:hAnsi="宋体" w:cs="宋体"/>
                <w:color w:val="000000"/>
                <w:sz w:val="24"/>
              </w:rPr>
              <w:t>12</w:t>
            </w:r>
            <w:r>
              <w:rPr>
                <w:rFonts w:hint="eastAsia" w:ascii="宋体" w:hAnsi="宋体" w:cs="宋体"/>
                <w:color w:val="000000"/>
                <w:sz w:val="24"/>
              </w:rPr>
              <w:t>个月</w:t>
            </w:r>
          </w:p>
        </w:tc>
      </w:tr>
      <w:tr w14:paraId="41CF3035">
        <w:tblPrEx>
          <w:tblCellMar>
            <w:top w:w="0" w:type="dxa"/>
            <w:left w:w="108" w:type="dxa"/>
            <w:bottom w:w="0" w:type="dxa"/>
            <w:right w:w="108" w:type="dxa"/>
          </w:tblCellMar>
        </w:tblPrEx>
        <w:trPr>
          <w:trHeight w:val="483" w:hRule="atLeast"/>
        </w:trPr>
        <w:tc>
          <w:tcPr>
            <w:tcW w:w="1748" w:type="dxa"/>
            <w:vMerge w:val="continue"/>
            <w:tcBorders>
              <w:top w:val="single" w:color="000000" w:sz="4" w:space="0"/>
              <w:left w:val="single" w:color="000000" w:sz="4" w:space="0"/>
              <w:bottom w:val="single" w:color="auto" w:sz="4" w:space="0"/>
              <w:right w:val="single" w:color="000000" w:sz="4" w:space="0"/>
            </w:tcBorders>
            <w:noWrap w:val="0"/>
            <w:vAlign w:val="center"/>
          </w:tcPr>
          <w:p w14:paraId="0A969306">
            <w:pPr>
              <w:suppressAutoHyphens/>
              <w:jc w:val="center"/>
              <w:rPr>
                <w:rFonts w:ascii="宋体" w:hAnsi="宋体" w:cs="宋体"/>
                <w:color w:val="000000"/>
                <w:sz w:val="24"/>
              </w:rPr>
            </w:pPr>
          </w:p>
        </w:tc>
        <w:tc>
          <w:tcPr>
            <w:tcW w:w="3516" w:type="dxa"/>
            <w:tcBorders>
              <w:top w:val="single" w:color="000000" w:sz="4" w:space="0"/>
              <w:left w:val="single" w:color="000000" w:sz="4" w:space="0"/>
              <w:bottom w:val="single" w:color="auto" w:sz="4" w:space="0"/>
              <w:right w:val="single" w:color="000000" w:sz="4" w:space="0"/>
            </w:tcBorders>
            <w:noWrap w:val="0"/>
            <w:vAlign w:val="center"/>
          </w:tcPr>
          <w:p w14:paraId="3E19A18E">
            <w:pPr>
              <w:widowControl/>
              <w:suppressAutoHyphens/>
              <w:textAlignment w:val="center"/>
              <w:rPr>
                <w:rFonts w:ascii="宋体" w:hAnsi="宋体" w:cs="宋体"/>
                <w:color w:val="000000"/>
                <w:sz w:val="24"/>
              </w:rPr>
            </w:pPr>
            <w:r>
              <w:rPr>
                <w:rFonts w:hint="eastAsia" w:ascii="宋体" w:hAnsi="宋体" w:cs="宋体"/>
                <w:color w:val="000000"/>
                <w:sz w:val="24"/>
                <w:lang w:bidi="ar"/>
              </w:rPr>
              <w:t>内存</w:t>
            </w:r>
          </w:p>
        </w:tc>
        <w:tc>
          <w:tcPr>
            <w:tcW w:w="807" w:type="dxa"/>
            <w:tcBorders>
              <w:top w:val="single" w:color="000000" w:sz="4" w:space="0"/>
              <w:left w:val="single" w:color="000000" w:sz="4" w:space="0"/>
              <w:bottom w:val="single" w:color="auto" w:sz="4" w:space="0"/>
              <w:right w:val="single" w:color="000000" w:sz="4" w:space="0"/>
            </w:tcBorders>
            <w:noWrap w:val="0"/>
            <w:vAlign w:val="center"/>
          </w:tcPr>
          <w:p w14:paraId="61A000AC">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1GB</w:t>
            </w:r>
          </w:p>
        </w:tc>
        <w:tc>
          <w:tcPr>
            <w:tcW w:w="845" w:type="dxa"/>
            <w:tcBorders>
              <w:top w:val="single" w:color="000000" w:sz="4" w:space="0"/>
              <w:left w:val="single" w:color="000000" w:sz="4" w:space="0"/>
              <w:bottom w:val="single" w:color="auto" w:sz="4" w:space="0"/>
              <w:right w:val="single" w:color="000000" w:sz="4" w:space="0"/>
            </w:tcBorders>
            <w:noWrap w:val="0"/>
            <w:vAlign w:val="center"/>
          </w:tcPr>
          <w:p w14:paraId="78C34519">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元/月</w:t>
            </w:r>
          </w:p>
        </w:tc>
        <w:tc>
          <w:tcPr>
            <w:tcW w:w="906" w:type="dxa"/>
            <w:tcBorders>
              <w:top w:val="single" w:color="000000" w:sz="4" w:space="0"/>
              <w:left w:val="single" w:color="000000" w:sz="4" w:space="0"/>
              <w:bottom w:val="single" w:color="auto" w:sz="4" w:space="0"/>
              <w:right w:val="single" w:color="000000" w:sz="4" w:space="0"/>
            </w:tcBorders>
            <w:noWrap w:val="0"/>
            <w:vAlign w:val="center"/>
          </w:tcPr>
          <w:p w14:paraId="4FE2CF83">
            <w:pPr>
              <w:widowControl/>
              <w:suppressAutoHyphens/>
              <w:jc w:val="center"/>
              <w:textAlignment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888</w:t>
            </w:r>
          </w:p>
        </w:tc>
        <w:tc>
          <w:tcPr>
            <w:tcW w:w="879" w:type="dxa"/>
            <w:tcBorders>
              <w:top w:val="single" w:color="000000" w:sz="4" w:space="0"/>
              <w:left w:val="single" w:color="000000" w:sz="4" w:space="0"/>
              <w:bottom w:val="single" w:color="auto" w:sz="4" w:space="0"/>
              <w:right w:val="single" w:color="000000" w:sz="4" w:space="0"/>
            </w:tcBorders>
            <w:noWrap w:val="0"/>
            <w:vAlign w:val="center"/>
          </w:tcPr>
          <w:p w14:paraId="1BF1F951">
            <w:pPr>
              <w:widowControl/>
              <w:suppressAutoHyphens/>
              <w:jc w:val="center"/>
              <w:textAlignment w:val="center"/>
              <w:rPr>
                <w:rFonts w:ascii="宋体" w:hAnsi="宋体" w:cs="宋体"/>
                <w:color w:val="000000"/>
                <w:sz w:val="24"/>
              </w:rPr>
            </w:pPr>
            <w:r>
              <w:rPr>
                <w:rFonts w:ascii="宋体" w:hAnsi="宋体" w:cs="宋体"/>
                <w:color w:val="000000"/>
                <w:sz w:val="24"/>
              </w:rPr>
              <w:t>12</w:t>
            </w:r>
            <w:r>
              <w:rPr>
                <w:rFonts w:hint="eastAsia" w:ascii="宋体" w:hAnsi="宋体" w:cs="宋体"/>
                <w:color w:val="000000"/>
                <w:sz w:val="24"/>
              </w:rPr>
              <w:t>个月</w:t>
            </w:r>
          </w:p>
        </w:tc>
      </w:tr>
      <w:tr w14:paraId="5E38AAF0">
        <w:tblPrEx>
          <w:tblCellMar>
            <w:top w:w="0" w:type="dxa"/>
            <w:left w:w="108" w:type="dxa"/>
            <w:bottom w:w="0" w:type="dxa"/>
            <w:right w:w="108" w:type="dxa"/>
          </w:tblCellMar>
        </w:tblPrEx>
        <w:trPr>
          <w:trHeight w:val="280" w:hRule="atLeast"/>
        </w:trPr>
        <w:tc>
          <w:tcPr>
            <w:tcW w:w="17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84AC3">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高性能存储</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986CA">
            <w:pPr>
              <w:widowControl/>
              <w:suppressAutoHyphens/>
              <w:textAlignment w:val="center"/>
              <w:rPr>
                <w:rFonts w:ascii="宋体" w:hAnsi="宋体" w:cs="宋体"/>
                <w:color w:val="000000"/>
                <w:sz w:val="24"/>
              </w:rPr>
            </w:pPr>
            <w:r>
              <w:rPr>
                <w:rFonts w:hint="eastAsia" w:ascii="宋体" w:hAnsi="宋体" w:cs="宋体"/>
                <w:color w:val="000000"/>
                <w:sz w:val="24"/>
                <w:lang w:bidi="ar"/>
              </w:rPr>
              <w:t>高性能存储（单盘技术指标：单盘IOPS3000-20000）</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BA5669">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1GB</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325533E6">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元/月</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0BF2F9B9">
            <w:pPr>
              <w:widowControl/>
              <w:suppressAutoHyphens/>
              <w:jc w:val="center"/>
              <w:textAlignment w:val="center"/>
              <w:rPr>
                <w:rFonts w:ascii="宋体" w:hAnsi="宋体" w:cs="宋体"/>
                <w:color w:val="000000"/>
                <w:sz w:val="24"/>
              </w:rPr>
            </w:pPr>
            <w:r>
              <w:rPr>
                <w:rFonts w:hint="eastAsia" w:ascii="宋体" w:hAnsi="宋体" w:cs="宋体"/>
                <w:color w:val="000000"/>
                <w:sz w:val="24"/>
              </w:rPr>
              <w:t>7</w:t>
            </w:r>
            <w:r>
              <w:rPr>
                <w:rFonts w:ascii="宋体" w:hAnsi="宋体" w:cs="宋体"/>
                <w:color w:val="000000"/>
                <w:sz w:val="24"/>
              </w:rPr>
              <w:t>4560</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14:paraId="085CE6DC">
            <w:pPr>
              <w:widowControl/>
              <w:suppressAutoHyphens/>
              <w:jc w:val="center"/>
              <w:textAlignment w:val="center"/>
              <w:rPr>
                <w:rFonts w:ascii="宋体" w:hAnsi="宋体" w:cs="宋体"/>
                <w:color w:val="000000"/>
                <w:sz w:val="24"/>
              </w:rPr>
            </w:pPr>
            <w:r>
              <w:rPr>
                <w:rFonts w:ascii="宋体" w:hAnsi="宋体" w:cs="宋体"/>
                <w:color w:val="000000"/>
                <w:sz w:val="24"/>
              </w:rPr>
              <w:t>12</w:t>
            </w:r>
            <w:r>
              <w:rPr>
                <w:rFonts w:hint="eastAsia" w:ascii="宋体" w:hAnsi="宋体" w:cs="宋体"/>
                <w:color w:val="000000"/>
                <w:sz w:val="24"/>
              </w:rPr>
              <w:t>个月</w:t>
            </w:r>
          </w:p>
        </w:tc>
      </w:tr>
      <w:tr w14:paraId="702E0E7B">
        <w:tblPrEx>
          <w:tblCellMar>
            <w:top w:w="0" w:type="dxa"/>
            <w:left w:w="108" w:type="dxa"/>
            <w:bottom w:w="0" w:type="dxa"/>
            <w:right w:w="108" w:type="dxa"/>
          </w:tblCellMar>
        </w:tblPrEx>
        <w:trPr>
          <w:trHeight w:val="280" w:hRule="atLeast"/>
        </w:trPr>
        <w:tc>
          <w:tcPr>
            <w:tcW w:w="17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A21EC2">
            <w:pPr>
              <w:widowControl/>
              <w:suppressAutoHyphens/>
              <w:jc w:val="center"/>
              <w:textAlignment w:val="center"/>
              <w:rPr>
                <w:rFonts w:ascii="宋体" w:hAnsi="宋体" w:cs="宋体"/>
                <w:color w:val="000000"/>
                <w:sz w:val="24"/>
                <w:lang w:bidi="ar"/>
              </w:rPr>
            </w:pPr>
            <w:r>
              <w:rPr>
                <w:rFonts w:hint="eastAsia" w:ascii="宋体" w:hAnsi="宋体" w:cs="宋体"/>
                <w:color w:val="000000"/>
                <w:sz w:val="24"/>
                <w:lang w:bidi="ar"/>
              </w:rPr>
              <w:t>备份服务</w:t>
            </w:r>
          </w:p>
        </w:tc>
        <w:tc>
          <w:tcPr>
            <w:tcW w:w="35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21F99">
            <w:pPr>
              <w:widowControl/>
              <w:suppressAutoHyphens/>
              <w:textAlignment w:val="center"/>
              <w:rPr>
                <w:rFonts w:ascii="宋体" w:hAnsi="宋体" w:cs="宋体"/>
                <w:color w:val="000000"/>
                <w:sz w:val="24"/>
                <w:lang w:bidi="ar"/>
              </w:rPr>
            </w:pPr>
            <w:r>
              <w:rPr>
                <w:rFonts w:hint="eastAsia" w:ascii="宋体" w:hAnsi="宋体" w:cs="宋体"/>
                <w:color w:val="000000"/>
                <w:sz w:val="24"/>
                <w:lang w:bidi="ar"/>
              </w:rPr>
              <w:t>租用快照备份服务</w:t>
            </w:r>
          </w:p>
        </w:tc>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57B39B">
            <w:pPr>
              <w:widowControl/>
              <w:suppressAutoHyphens/>
              <w:jc w:val="center"/>
              <w:textAlignment w:val="center"/>
              <w:rPr>
                <w:rFonts w:ascii="宋体" w:hAnsi="宋体" w:cs="宋体"/>
                <w:color w:val="000000"/>
                <w:sz w:val="24"/>
                <w:lang w:bidi="ar"/>
              </w:rPr>
            </w:pPr>
            <w:r>
              <w:rPr>
                <w:rFonts w:hint="eastAsia" w:ascii="宋体" w:hAnsi="宋体" w:cs="宋体"/>
                <w:color w:val="000000"/>
                <w:sz w:val="24"/>
                <w:lang w:bidi="ar"/>
              </w:rPr>
              <w:t>1</w:t>
            </w:r>
            <w:r>
              <w:rPr>
                <w:rFonts w:ascii="宋体" w:hAnsi="宋体" w:cs="宋体"/>
                <w:color w:val="000000"/>
                <w:sz w:val="24"/>
                <w:lang w:bidi="ar"/>
              </w:rPr>
              <w:t>GB</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2BCFF0BD">
            <w:pPr>
              <w:widowControl/>
              <w:suppressAutoHyphens/>
              <w:jc w:val="center"/>
              <w:textAlignment w:val="center"/>
              <w:rPr>
                <w:rFonts w:ascii="宋体" w:hAnsi="宋体" w:cs="宋体"/>
                <w:color w:val="000000"/>
                <w:sz w:val="24"/>
                <w:lang w:bidi="ar"/>
              </w:rPr>
            </w:pPr>
            <w:r>
              <w:rPr>
                <w:rFonts w:hint="eastAsia" w:ascii="宋体" w:hAnsi="宋体" w:cs="宋体"/>
                <w:color w:val="000000"/>
                <w:sz w:val="24"/>
                <w:lang w:bidi="ar"/>
              </w:rPr>
              <w:t>元/月</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66444A14">
            <w:pPr>
              <w:widowControl/>
              <w:suppressAutoHyphens/>
              <w:jc w:val="center"/>
              <w:textAlignment w:val="center"/>
              <w:rPr>
                <w:rFonts w:ascii="宋体" w:hAnsi="宋体" w:cs="宋体"/>
                <w:color w:val="000000"/>
                <w:sz w:val="24"/>
              </w:rPr>
            </w:pPr>
            <w:r>
              <w:rPr>
                <w:rFonts w:ascii="宋体" w:hAnsi="宋体"/>
                <w:bCs/>
                <w:sz w:val="24"/>
              </w:rPr>
              <w:t>6930</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14:paraId="32FB7C9C">
            <w:pPr>
              <w:widowControl/>
              <w:suppressAutoHyphens/>
              <w:jc w:val="center"/>
              <w:textAlignment w:val="center"/>
              <w:rPr>
                <w:rFonts w:ascii="宋体" w:hAnsi="宋体" w:cs="宋体"/>
                <w:color w:val="000000"/>
                <w:sz w:val="24"/>
              </w:rPr>
            </w:pPr>
            <w:r>
              <w:rPr>
                <w:rFonts w:ascii="宋体" w:hAnsi="宋体" w:cs="宋体"/>
                <w:color w:val="000000"/>
                <w:sz w:val="24"/>
              </w:rPr>
              <w:t>12</w:t>
            </w:r>
            <w:r>
              <w:rPr>
                <w:rFonts w:hint="eastAsia" w:ascii="宋体" w:hAnsi="宋体" w:cs="宋体"/>
                <w:color w:val="000000"/>
                <w:sz w:val="24"/>
              </w:rPr>
              <w:t>个月</w:t>
            </w:r>
          </w:p>
        </w:tc>
      </w:tr>
      <w:tr w14:paraId="7E126616">
        <w:tblPrEx>
          <w:tblCellMar>
            <w:top w:w="0" w:type="dxa"/>
            <w:left w:w="108" w:type="dxa"/>
            <w:bottom w:w="0" w:type="dxa"/>
            <w:right w:w="108" w:type="dxa"/>
          </w:tblCellMar>
        </w:tblPrEx>
        <w:trPr>
          <w:trHeight w:val="570" w:hRule="atLeast"/>
        </w:trPr>
        <w:tc>
          <w:tcPr>
            <w:tcW w:w="1748" w:type="dxa"/>
            <w:vMerge w:val="restart"/>
            <w:tcBorders>
              <w:top w:val="single" w:color="000000" w:sz="4" w:space="0"/>
              <w:left w:val="single" w:color="000000" w:sz="4" w:space="0"/>
              <w:bottom w:val="single" w:color="000000" w:sz="4" w:space="0"/>
              <w:right w:val="single" w:color="000000" w:sz="4" w:space="0"/>
            </w:tcBorders>
            <w:noWrap w:val="0"/>
            <w:vAlign w:val="center"/>
          </w:tcPr>
          <w:p w14:paraId="7BA132C4">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互联网链路服务</w:t>
            </w:r>
          </w:p>
        </w:tc>
        <w:tc>
          <w:tcPr>
            <w:tcW w:w="3516" w:type="dxa"/>
            <w:tcBorders>
              <w:top w:val="single" w:color="000000" w:sz="4" w:space="0"/>
              <w:left w:val="single" w:color="000000" w:sz="4" w:space="0"/>
              <w:bottom w:val="single" w:color="000000" w:sz="4" w:space="0"/>
              <w:right w:val="single" w:color="000000" w:sz="4" w:space="0"/>
            </w:tcBorders>
            <w:noWrap w:val="0"/>
            <w:vAlign w:val="center"/>
          </w:tcPr>
          <w:p w14:paraId="6DFB5BB4">
            <w:pPr>
              <w:widowControl/>
              <w:suppressAutoHyphens/>
              <w:textAlignment w:val="center"/>
              <w:rPr>
                <w:rFonts w:ascii="宋体" w:hAnsi="宋体" w:cs="宋体"/>
                <w:color w:val="000000"/>
                <w:sz w:val="24"/>
              </w:rPr>
            </w:pPr>
            <w:r>
              <w:rPr>
                <w:rFonts w:hint="eastAsia" w:ascii="宋体" w:hAnsi="宋体" w:cs="宋体"/>
                <w:color w:val="000000"/>
                <w:sz w:val="24"/>
                <w:lang w:bidi="ar"/>
              </w:rPr>
              <w:t>互联网链路带宽</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4860BD5A">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1Mb</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20D9105C">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元/月</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68557409">
            <w:pPr>
              <w:widowControl/>
              <w:suppressAutoHyphens/>
              <w:jc w:val="center"/>
              <w:textAlignment w:val="center"/>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20</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14:paraId="4EE1E426">
            <w:pPr>
              <w:widowControl/>
              <w:suppressAutoHyphens/>
              <w:jc w:val="center"/>
              <w:textAlignment w:val="center"/>
              <w:rPr>
                <w:rFonts w:ascii="宋体" w:hAnsi="宋体" w:cs="宋体"/>
                <w:color w:val="000000"/>
                <w:sz w:val="24"/>
              </w:rPr>
            </w:pPr>
            <w:r>
              <w:rPr>
                <w:rFonts w:ascii="宋体" w:hAnsi="宋体" w:cs="宋体"/>
                <w:color w:val="000000"/>
                <w:sz w:val="24"/>
              </w:rPr>
              <w:t>12</w:t>
            </w:r>
            <w:r>
              <w:rPr>
                <w:rFonts w:hint="eastAsia" w:ascii="宋体" w:hAnsi="宋体" w:cs="宋体"/>
                <w:color w:val="000000"/>
                <w:sz w:val="24"/>
              </w:rPr>
              <w:t>个月</w:t>
            </w:r>
          </w:p>
        </w:tc>
      </w:tr>
      <w:tr w14:paraId="16456C08">
        <w:tblPrEx>
          <w:tblCellMar>
            <w:top w:w="0" w:type="dxa"/>
            <w:left w:w="108" w:type="dxa"/>
            <w:bottom w:w="0" w:type="dxa"/>
            <w:right w:w="108" w:type="dxa"/>
          </w:tblCellMar>
        </w:tblPrEx>
        <w:trPr>
          <w:trHeight w:val="280" w:hRule="atLeast"/>
        </w:trPr>
        <w:tc>
          <w:tcPr>
            <w:tcW w:w="1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1174CA">
            <w:pPr>
              <w:suppressAutoHyphens/>
              <w:jc w:val="center"/>
              <w:rPr>
                <w:rFonts w:ascii="宋体" w:hAnsi="宋体" w:cs="宋体"/>
                <w:color w:val="000000"/>
                <w:sz w:val="24"/>
              </w:rPr>
            </w:pPr>
          </w:p>
        </w:tc>
        <w:tc>
          <w:tcPr>
            <w:tcW w:w="3516" w:type="dxa"/>
            <w:tcBorders>
              <w:top w:val="single" w:color="000000" w:sz="4" w:space="0"/>
              <w:left w:val="single" w:color="000000" w:sz="4" w:space="0"/>
              <w:bottom w:val="single" w:color="000000" w:sz="4" w:space="0"/>
              <w:right w:val="single" w:color="000000" w:sz="4" w:space="0"/>
            </w:tcBorders>
            <w:noWrap w:val="0"/>
            <w:vAlign w:val="center"/>
          </w:tcPr>
          <w:p w14:paraId="58FD0D60">
            <w:pPr>
              <w:widowControl/>
              <w:suppressAutoHyphens/>
              <w:textAlignment w:val="center"/>
              <w:rPr>
                <w:rFonts w:ascii="宋体" w:hAnsi="宋体" w:cs="宋体"/>
                <w:color w:val="000000"/>
                <w:sz w:val="24"/>
              </w:rPr>
            </w:pPr>
            <w:r>
              <w:rPr>
                <w:rFonts w:hint="eastAsia" w:ascii="宋体" w:hAnsi="宋体" w:cs="宋体"/>
                <w:color w:val="000000"/>
                <w:sz w:val="24"/>
                <w:lang w:bidi="ar"/>
              </w:rPr>
              <w:t>互联网IP地址租用服务、并提供备案服务</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1AE3CA9F">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1IP</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65799EC7">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元/月</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7432BA1A">
            <w:pPr>
              <w:widowControl/>
              <w:suppressAutoHyphens/>
              <w:jc w:val="center"/>
              <w:textAlignment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5</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14:paraId="4F5B8D42">
            <w:pPr>
              <w:widowControl/>
              <w:suppressAutoHyphens/>
              <w:jc w:val="center"/>
              <w:textAlignment w:val="center"/>
              <w:rPr>
                <w:rFonts w:ascii="宋体" w:hAnsi="宋体" w:cs="宋体"/>
                <w:color w:val="000000"/>
                <w:sz w:val="24"/>
              </w:rPr>
            </w:pPr>
            <w:r>
              <w:rPr>
                <w:rFonts w:ascii="宋体" w:hAnsi="宋体" w:cs="宋体"/>
                <w:color w:val="000000"/>
                <w:sz w:val="24"/>
              </w:rPr>
              <w:t>12</w:t>
            </w:r>
            <w:r>
              <w:rPr>
                <w:rFonts w:hint="eastAsia" w:ascii="宋体" w:hAnsi="宋体" w:cs="宋体"/>
                <w:color w:val="000000"/>
                <w:sz w:val="24"/>
              </w:rPr>
              <w:t>个月</w:t>
            </w:r>
          </w:p>
        </w:tc>
      </w:tr>
      <w:tr w14:paraId="7C0B5C79">
        <w:tblPrEx>
          <w:tblCellMar>
            <w:top w:w="0" w:type="dxa"/>
            <w:left w:w="108" w:type="dxa"/>
            <w:bottom w:w="0" w:type="dxa"/>
            <w:right w:w="108" w:type="dxa"/>
          </w:tblCellMar>
        </w:tblPrEx>
        <w:trPr>
          <w:trHeight w:val="570" w:hRule="atLeast"/>
        </w:trPr>
        <w:tc>
          <w:tcPr>
            <w:tcW w:w="1748" w:type="dxa"/>
            <w:tcBorders>
              <w:top w:val="single" w:color="000000" w:sz="4" w:space="0"/>
              <w:left w:val="single" w:color="000000" w:sz="4" w:space="0"/>
              <w:bottom w:val="single" w:color="000000" w:sz="4" w:space="0"/>
              <w:right w:val="single" w:color="000000" w:sz="4" w:space="0"/>
            </w:tcBorders>
            <w:noWrap w:val="0"/>
            <w:vAlign w:val="center"/>
          </w:tcPr>
          <w:p w14:paraId="52AAB9CC">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主机负载均衡服务</w:t>
            </w:r>
          </w:p>
        </w:tc>
        <w:tc>
          <w:tcPr>
            <w:tcW w:w="3516" w:type="dxa"/>
            <w:tcBorders>
              <w:top w:val="single" w:color="000000" w:sz="4" w:space="0"/>
              <w:left w:val="single" w:color="000000" w:sz="4" w:space="0"/>
              <w:bottom w:val="single" w:color="000000" w:sz="4" w:space="0"/>
              <w:right w:val="single" w:color="000000" w:sz="4" w:space="0"/>
            </w:tcBorders>
            <w:noWrap w:val="0"/>
            <w:vAlign w:val="center"/>
          </w:tcPr>
          <w:p w14:paraId="18966C2C">
            <w:pPr>
              <w:widowControl/>
              <w:suppressAutoHyphens/>
              <w:textAlignment w:val="center"/>
              <w:rPr>
                <w:rFonts w:ascii="宋体" w:hAnsi="宋体" w:cs="宋体"/>
                <w:color w:val="000000"/>
                <w:sz w:val="24"/>
              </w:rPr>
            </w:pPr>
            <w:r>
              <w:rPr>
                <w:rFonts w:hint="eastAsia" w:ascii="宋体" w:hAnsi="宋体" w:cs="宋体"/>
                <w:color w:val="000000"/>
                <w:sz w:val="24"/>
                <w:lang w:bidi="ar"/>
              </w:rPr>
              <w:t>主机负载均衡服务</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48EA16F0">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1IP（内网）</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518CF669">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元/月</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4464C0DC">
            <w:pPr>
              <w:widowControl/>
              <w:suppressAutoHyphens/>
              <w:jc w:val="center"/>
              <w:textAlignment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3</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14:paraId="04B0F5C5">
            <w:pPr>
              <w:widowControl/>
              <w:suppressAutoHyphens/>
              <w:jc w:val="center"/>
              <w:textAlignment w:val="center"/>
              <w:rPr>
                <w:rFonts w:ascii="宋体" w:hAnsi="宋体" w:cs="宋体"/>
                <w:color w:val="000000"/>
                <w:sz w:val="24"/>
              </w:rPr>
            </w:pPr>
            <w:r>
              <w:rPr>
                <w:rFonts w:ascii="宋体" w:hAnsi="宋体" w:cs="宋体"/>
                <w:color w:val="000000"/>
                <w:sz w:val="24"/>
              </w:rPr>
              <w:t>12</w:t>
            </w:r>
            <w:r>
              <w:rPr>
                <w:rFonts w:hint="eastAsia" w:ascii="宋体" w:hAnsi="宋体" w:cs="宋体"/>
                <w:color w:val="000000"/>
                <w:sz w:val="24"/>
              </w:rPr>
              <w:t>个月</w:t>
            </w:r>
          </w:p>
        </w:tc>
      </w:tr>
      <w:tr w14:paraId="661EAB4B">
        <w:tblPrEx>
          <w:tblCellMar>
            <w:top w:w="0" w:type="dxa"/>
            <w:left w:w="108" w:type="dxa"/>
            <w:bottom w:w="0" w:type="dxa"/>
            <w:right w:w="108" w:type="dxa"/>
          </w:tblCellMar>
        </w:tblPrEx>
        <w:trPr>
          <w:trHeight w:val="280" w:hRule="atLeast"/>
        </w:trPr>
        <w:tc>
          <w:tcPr>
            <w:tcW w:w="1748" w:type="dxa"/>
            <w:tcBorders>
              <w:top w:val="single" w:color="000000" w:sz="4" w:space="0"/>
              <w:left w:val="single" w:color="000000" w:sz="4" w:space="0"/>
              <w:bottom w:val="single" w:color="000000" w:sz="4" w:space="0"/>
              <w:right w:val="single" w:color="000000" w:sz="4" w:space="0"/>
            </w:tcBorders>
            <w:noWrap w:val="0"/>
            <w:vAlign w:val="center"/>
          </w:tcPr>
          <w:p w14:paraId="61BD18EF">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远程接入服务</w:t>
            </w:r>
          </w:p>
        </w:tc>
        <w:tc>
          <w:tcPr>
            <w:tcW w:w="3516" w:type="dxa"/>
            <w:tcBorders>
              <w:top w:val="single" w:color="000000" w:sz="4" w:space="0"/>
              <w:left w:val="single" w:color="000000" w:sz="4" w:space="0"/>
              <w:bottom w:val="single" w:color="000000" w:sz="4" w:space="0"/>
              <w:right w:val="single" w:color="000000" w:sz="4" w:space="0"/>
            </w:tcBorders>
            <w:noWrap w:val="0"/>
            <w:vAlign w:val="center"/>
          </w:tcPr>
          <w:p w14:paraId="3AB95BF0">
            <w:pPr>
              <w:widowControl/>
              <w:suppressAutoHyphens/>
              <w:textAlignment w:val="center"/>
              <w:rPr>
                <w:rFonts w:ascii="宋体" w:hAnsi="宋体" w:cs="宋体"/>
                <w:color w:val="000000"/>
                <w:sz w:val="24"/>
              </w:rPr>
            </w:pPr>
            <w:r>
              <w:rPr>
                <w:rFonts w:hint="eastAsia" w:ascii="宋体" w:hAnsi="宋体" w:cs="宋体"/>
                <w:color w:val="000000"/>
                <w:sz w:val="24"/>
                <w:lang w:bidi="ar"/>
              </w:rPr>
              <w:t>远程接入服务</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57258DA5">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1账号</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3D92DCA5">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元/月</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0C025B0">
            <w:pPr>
              <w:widowControl/>
              <w:suppressAutoHyphens/>
              <w:jc w:val="center"/>
              <w:textAlignment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2</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14:paraId="1B998AC3">
            <w:pPr>
              <w:widowControl/>
              <w:suppressAutoHyphens/>
              <w:jc w:val="center"/>
              <w:textAlignment w:val="center"/>
              <w:rPr>
                <w:rFonts w:ascii="宋体" w:hAnsi="宋体" w:cs="宋体"/>
                <w:color w:val="000000"/>
                <w:sz w:val="24"/>
              </w:rPr>
            </w:pPr>
            <w:r>
              <w:rPr>
                <w:rFonts w:ascii="宋体" w:hAnsi="宋体" w:cs="宋体"/>
                <w:color w:val="000000"/>
                <w:sz w:val="24"/>
              </w:rPr>
              <w:t>12</w:t>
            </w:r>
            <w:r>
              <w:rPr>
                <w:rFonts w:hint="eastAsia" w:ascii="宋体" w:hAnsi="宋体" w:cs="宋体"/>
                <w:color w:val="000000"/>
                <w:sz w:val="24"/>
              </w:rPr>
              <w:t>个月</w:t>
            </w:r>
          </w:p>
        </w:tc>
      </w:tr>
      <w:tr w14:paraId="7670B492">
        <w:tblPrEx>
          <w:tblCellMar>
            <w:top w:w="0" w:type="dxa"/>
            <w:left w:w="108" w:type="dxa"/>
            <w:bottom w:w="0" w:type="dxa"/>
            <w:right w:w="108" w:type="dxa"/>
          </w:tblCellMar>
        </w:tblPrEx>
        <w:trPr>
          <w:trHeight w:val="540" w:hRule="atLeast"/>
        </w:trPr>
        <w:tc>
          <w:tcPr>
            <w:tcW w:w="1748" w:type="dxa"/>
            <w:tcBorders>
              <w:top w:val="single" w:color="000000" w:sz="4" w:space="0"/>
              <w:left w:val="single" w:color="000000" w:sz="4" w:space="0"/>
              <w:bottom w:val="single" w:color="auto" w:sz="4" w:space="0"/>
              <w:right w:val="single" w:color="000000" w:sz="4" w:space="0"/>
            </w:tcBorders>
            <w:noWrap w:val="0"/>
            <w:vAlign w:val="center"/>
          </w:tcPr>
          <w:p w14:paraId="3397DA49">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WAF防护</w:t>
            </w:r>
          </w:p>
        </w:tc>
        <w:tc>
          <w:tcPr>
            <w:tcW w:w="3516" w:type="dxa"/>
            <w:tcBorders>
              <w:top w:val="single" w:color="000000" w:sz="4" w:space="0"/>
              <w:left w:val="single" w:color="000000" w:sz="4" w:space="0"/>
              <w:bottom w:val="single" w:color="auto" w:sz="4" w:space="0"/>
              <w:right w:val="single" w:color="000000" w:sz="4" w:space="0"/>
            </w:tcBorders>
            <w:noWrap w:val="0"/>
            <w:vAlign w:val="center"/>
          </w:tcPr>
          <w:p w14:paraId="35A8D47F">
            <w:pPr>
              <w:widowControl/>
              <w:suppressAutoHyphens/>
              <w:textAlignment w:val="center"/>
              <w:rPr>
                <w:rFonts w:ascii="宋体" w:hAnsi="宋体" w:cs="宋体"/>
                <w:color w:val="000000"/>
                <w:sz w:val="24"/>
              </w:rPr>
            </w:pPr>
            <w:r>
              <w:rPr>
                <w:rFonts w:hint="eastAsia" w:ascii="宋体" w:hAnsi="宋体" w:cs="宋体"/>
                <w:color w:val="000000"/>
                <w:sz w:val="24"/>
                <w:lang w:bidi="ar"/>
              </w:rPr>
              <w:t>web应用防火墙服务</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14:paraId="00F88214">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1IP（互联网）</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273994C2">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元/月</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26ECCFF1">
            <w:pPr>
              <w:widowControl/>
              <w:suppressAutoHyphens/>
              <w:jc w:val="center"/>
              <w:textAlignment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0</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14:paraId="7BB35EA1">
            <w:pPr>
              <w:widowControl/>
              <w:suppressAutoHyphens/>
              <w:jc w:val="center"/>
              <w:textAlignment w:val="center"/>
              <w:rPr>
                <w:rFonts w:ascii="宋体" w:hAnsi="宋体" w:cs="宋体"/>
                <w:color w:val="000000"/>
                <w:sz w:val="24"/>
              </w:rPr>
            </w:pPr>
            <w:r>
              <w:rPr>
                <w:rFonts w:ascii="宋体" w:hAnsi="宋体" w:cs="宋体"/>
                <w:color w:val="000000"/>
                <w:sz w:val="24"/>
              </w:rPr>
              <w:t>12</w:t>
            </w:r>
            <w:r>
              <w:rPr>
                <w:rFonts w:hint="eastAsia" w:ascii="宋体" w:hAnsi="宋体" w:cs="宋体"/>
                <w:color w:val="000000"/>
                <w:sz w:val="24"/>
              </w:rPr>
              <w:t>个月</w:t>
            </w:r>
          </w:p>
        </w:tc>
      </w:tr>
      <w:tr w14:paraId="715AC635">
        <w:tblPrEx>
          <w:tblCellMar>
            <w:top w:w="0" w:type="dxa"/>
            <w:left w:w="108" w:type="dxa"/>
            <w:bottom w:w="0" w:type="dxa"/>
            <w:right w:w="108" w:type="dxa"/>
          </w:tblCellMar>
        </w:tblPrEx>
        <w:trPr>
          <w:trHeight w:val="540" w:hRule="atLeast"/>
        </w:trPr>
        <w:tc>
          <w:tcPr>
            <w:tcW w:w="1748" w:type="dxa"/>
            <w:tcBorders>
              <w:top w:val="single" w:color="auto" w:sz="4" w:space="0"/>
              <w:left w:val="single" w:color="auto" w:sz="4" w:space="0"/>
              <w:bottom w:val="single" w:color="auto" w:sz="4" w:space="0"/>
              <w:right w:val="single" w:color="auto" w:sz="4" w:space="0"/>
            </w:tcBorders>
            <w:noWrap w:val="0"/>
            <w:vAlign w:val="center"/>
          </w:tcPr>
          <w:p w14:paraId="166D8CDC">
            <w:pPr>
              <w:widowControl/>
              <w:suppressAutoHyphens/>
              <w:jc w:val="center"/>
              <w:textAlignment w:val="center"/>
              <w:rPr>
                <w:rFonts w:ascii="宋体" w:hAnsi="宋体" w:cs="宋体"/>
                <w:color w:val="000000"/>
                <w:sz w:val="24"/>
                <w:lang w:bidi="ar"/>
              </w:rPr>
            </w:pPr>
            <w:r>
              <w:rPr>
                <w:rFonts w:hint="eastAsia" w:ascii="宋体" w:hAnsi="宋体" w:cs="宋体"/>
                <w:color w:val="000000"/>
                <w:sz w:val="24"/>
                <w:lang w:bidi="ar"/>
              </w:rPr>
              <w:t>VPN服务</w:t>
            </w:r>
          </w:p>
        </w:tc>
        <w:tc>
          <w:tcPr>
            <w:tcW w:w="3516" w:type="dxa"/>
            <w:tcBorders>
              <w:top w:val="single" w:color="auto" w:sz="4" w:space="0"/>
              <w:left w:val="single" w:color="auto" w:sz="4" w:space="0"/>
              <w:bottom w:val="single" w:color="auto" w:sz="4" w:space="0"/>
              <w:right w:val="single" w:color="auto" w:sz="4" w:space="0"/>
            </w:tcBorders>
            <w:noWrap w:val="0"/>
            <w:vAlign w:val="center"/>
          </w:tcPr>
          <w:p w14:paraId="72ED03C6">
            <w:pPr>
              <w:widowControl/>
              <w:suppressAutoHyphens/>
              <w:rPr>
                <w:rFonts w:ascii="宋体" w:hAnsi="宋体" w:cs="宋体"/>
                <w:sz w:val="24"/>
              </w:rPr>
            </w:pPr>
            <w:r>
              <w:rPr>
                <w:rFonts w:hint="eastAsia" w:ascii="宋体" w:hAnsi="宋体" w:cs="宋体"/>
                <w:sz w:val="24"/>
              </w:rPr>
              <w:t>SSL VPN接入</w:t>
            </w:r>
          </w:p>
        </w:tc>
        <w:tc>
          <w:tcPr>
            <w:tcW w:w="807" w:type="dxa"/>
            <w:tcBorders>
              <w:top w:val="single" w:color="000000" w:sz="4" w:space="0"/>
              <w:left w:val="single" w:color="auto" w:sz="4" w:space="0"/>
              <w:bottom w:val="single" w:color="000000" w:sz="4" w:space="0"/>
              <w:right w:val="single" w:color="000000" w:sz="4" w:space="0"/>
            </w:tcBorders>
            <w:noWrap w:val="0"/>
            <w:vAlign w:val="center"/>
          </w:tcPr>
          <w:p w14:paraId="6E1470B8">
            <w:pPr>
              <w:widowControl/>
              <w:suppressAutoHyphens/>
              <w:jc w:val="center"/>
              <w:rPr>
                <w:rFonts w:ascii="宋体" w:hAnsi="宋体" w:cs="宋体"/>
                <w:sz w:val="24"/>
              </w:rPr>
            </w:pPr>
            <w:r>
              <w:rPr>
                <w:rFonts w:hint="eastAsia" w:ascii="宋体" w:hAnsi="宋体" w:cs="宋体"/>
                <w:sz w:val="24"/>
              </w:rPr>
              <w:t>1套</w:t>
            </w:r>
          </w:p>
        </w:tc>
        <w:tc>
          <w:tcPr>
            <w:tcW w:w="845" w:type="dxa"/>
            <w:tcBorders>
              <w:top w:val="single" w:color="000000" w:sz="4" w:space="0"/>
              <w:left w:val="single" w:color="000000" w:sz="4" w:space="0"/>
              <w:bottom w:val="single" w:color="000000" w:sz="4" w:space="0"/>
              <w:right w:val="single" w:color="000000" w:sz="4" w:space="0"/>
            </w:tcBorders>
            <w:noWrap w:val="0"/>
            <w:vAlign w:val="center"/>
          </w:tcPr>
          <w:p w14:paraId="29440A06">
            <w:pPr>
              <w:widowControl/>
              <w:suppressAutoHyphens/>
              <w:jc w:val="center"/>
              <w:rPr>
                <w:rFonts w:ascii="宋体" w:hAnsi="宋体" w:cs="宋体"/>
                <w:sz w:val="24"/>
              </w:rPr>
            </w:pPr>
            <w:r>
              <w:rPr>
                <w:rFonts w:hint="eastAsia" w:ascii="宋体" w:hAnsi="宋体" w:cs="宋体"/>
                <w:sz w:val="24"/>
              </w:rPr>
              <w:t>元/月</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14:paraId="00A1071F">
            <w:pPr>
              <w:widowControl/>
              <w:suppressAutoHyphens/>
              <w:jc w:val="center"/>
              <w:textAlignment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4</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14:paraId="30821848">
            <w:pPr>
              <w:widowControl/>
              <w:suppressAutoHyphens/>
              <w:jc w:val="center"/>
              <w:textAlignment w:val="center"/>
              <w:rPr>
                <w:rFonts w:ascii="宋体" w:hAnsi="宋体" w:cs="宋体"/>
                <w:color w:val="000000"/>
                <w:sz w:val="24"/>
              </w:rPr>
            </w:pPr>
            <w:r>
              <w:rPr>
                <w:rFonts w:ascii="宋体" w:hAnsi="宋体" w:cs="宋体"/>
                <w:color w:val="000000"/>
                <w:sz w:val="24"/>
              </w:rPr>
              <w:t>12</w:t>
            </w:r>
            <w:r>
              <w:rPr>
                <w:rFonts w:hint="eastAsia" w:ascii="宋体" w:hAnsi="宋体" w:cs="宋体"/>
                <w:color w:val="000000"/>
                <w:sz w:val="24"/>
              </w:rPr>
              <w:t>个月</w:t>
            </w:r>
          </w:p>
        </w:tc>
      </w:tr>
    </w:tbl>
    <w:p w14:paraId="54F86717">
      <w:pPr>
        <w:keepNext/>
        <w:keepLines/>
        <w:suppressAutoHyphens/>
        <w:spacing w:before="260" w:after="200"/>
        <w:ind w:firstLine="241" w:firstLineChars="100"/>
        <w:outlineLvl w:val="1"/>
        <w:rPr>
          <w:rFonts w:ascii="楷体" w:hAnsi="楷体" w:eastAsia="楷体" w:cs="楷体"/>
          <w:b/>
          <w:sz w:val="24"/>
        </w:rPr>
      </w:pPr>
      <w:bookmarkStart w:id="11" w:name="_Toc8845"/>
      <w:r>
        <w:rPr>
          <w:rFonts w:hint="eastAsia" w:ascii="楷体" w:hAnsi="楷体" w:eastAsia="楷体" w:cs="楷体"/>
          <w:b/>
          <w:sz w:val="24"/>
        </w:rPr>
        <w:t>（二）政务云扩展服务</w:t>
      </w:r>
      <w:bookmarkEnd w:id="11"/>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211"/>
        <w:gridCol w:w="3501"/>
        <w:gridCol w:w="813"/>
        <w:gridCol w:w="826"/>
        <w:gridCol w:w="915"/>
        <w:gridCol w:w="870"/>
      </w:tblGrid>
      <w:tr w14:paraId="0836E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75" w:type="dxa"/>
            <w:shd w:val="clear" w:color="000000" w:fill="D9D9D9"/>
            <w:noWrap w:val="0"/>
            <w:vAlign w:val="center"/>
          </w:tcPr>
          <w:p w14:paraId="3EB0BBF6">
            <w:pPr>
              <w:widowControl/>
              <w:suppressAutoHyphens/>
              <w:jc w:val="center"/>
              <w:rPr>
                <w:rFonts w:ascii="宋体" w:hAnsi="宋体" w:cs="宋体"/>
                <w:b/>
                <w:bCs/>
                <w:sz w:val="24"/>
              </w:rPr>
            </w:pPr>
            <w:r>
              <w:rPr>
                <w:rFonts w:hint="eastAsia" w:ascii="宋体" w:hAnsi="宋体" w:cs="宋体"/>
                <w:b/>
                <w:bCs/>
                <w:sz w:val="24"/>
              </w:rPr>
              <w:t>服务类别</w:t>
            </w:r>
          </w:p>
        </w:tc>
        <w:tc>
          <w:tcPr>
            <w:tcW w:w="1211" w:type="dxa"/>
            <w:shd w:val="clear" w:color="000000" w:fill="D9D9D9"/>
            <w:noWrap w:val="0"/>
            <w:vAlign w:val="center"/>
          </w:tcPr>
          <w:p w14:paraId="1331806B">
            <w:pPr>
              <w:widowControl/>
              <w:suppressAutoHyphens/>
              <w:jc w:val="center"/>
              <w:rPr>
                <w:rFonts w:ascii="宋体" w:hAnsi="宋体" w:cs="宋体"/>
                <w:b/>
                <w:bCs/>
                <w:sz w:val="24"/>
              </w:rPr>
            </w:pPr>
            <w:r>
              <w:rPr>
                <w:rFonts w:hint="eastAsia" w:ascii="宋体" w:hAnsi="宋体" w:cs="宋体"/>
                <w:b/>
                <w:bCs/>
                <w:sz w:val="24"/>
              </w:rPr>
              <w:t>服务子类</w:t>
            </w:r>
          </w:p>
        </w:tc>
        <w:tc>
          <w:tcPr>
            <w:tcW w:w="3501" w:type="dxa"/>
            <w:shd w:val="clear" w:color="000000" w:fill="D9D9D9"/>
            <w:noWrap w:val="0"/>
            <w:vAlign w:val="center"/>
          </w:tcPr>
          <w:p w14:paraId="508393B7">
            <w:pPr>
              <w:widowControl/>
              <w:suppressAutoHyphens/>
              <w:jc w:val="center"/>
              <w:rPr>
                <w:rFonts w:ascii="宋体" w:hAnsi="宋体" w:cs="宋体"/>
                <w:b/>
                <w:bCs/>
                <w:sz w:val="24"/>
              </w:rPr>
            </w:pPr>
            <w:r>
              <w:rPr>
                <w:rFonts w:hint="eastAsia" w:ascii="宋体" w:hAnsi="宋体" w:cs="宋体"/>
                <w:b/>
                <w:bCs/>
                <w:sz w:val="24"/>
              </w:rPr>
              <w:t>服务项</w:t>
            </w:r>
          </w:p>
        </w:tc>
        <w:tc>
          <w:tcPr>
            <w:tcW w:w="813" w:type="dxa"/>
            <w:shd w:val="clear" w:color="000000" w:fill="D9D9D9"/>
            <w:noWrap w:val="0"/>
            <w:vAlign w:val="center"/>
          </w:tcPr>
          <w:p w14:paraId="792196B8">
            <w:pPr>
              <w:widowControl/>
              <w:suppressAutoHyphens/>
              <w:jc w:val="center"/>
              <w:textAlignment w:val="center"/>
              <w:rPr>
                <w:rFonts w:ascii="宋体" w:hAnsi="宋体" w:cs="宋体"/>
                <w:b/>
                <w:bCs/>
                <w:color w:val="000000"/>
                <w:sz w:val="24"/>
              </w:rPr>
            </w:pPr>
            <w:r>
              <w:rPr>
                <w:rFonts w:hint="eastAsia" w:ascii="宋体" w:hAnsi="宋体" w:cs="宋体"/>
                <w:b/>
                <w:bCs/>
                <w:color w:val="000000"/>
                <w:sz w:val="24"/>
                <w:lang w:bidi="ar"/>
              </w:rPr>
              <w:t>计价单位</w:t>
            </w:r>
          </w:p>
        </w:tc>
        <w:tc>
          <w:tcPr>
            <w:tcW w:w="826" w:type="dxa"/>
            <w:shd w:val="clear" w:color="000000" w:fill="D9D9D9"/>
            <w:noWrap w:val="0"/>
            <w:vAlign w:val="center"/>
          </w:tcPr>
          <w:p w14:paraId="0DE6D55C">
            <w:pPr>
              <w:widowControl/>
              <w:suppressAutoHyphens/>
              <w:jc w:val="center"/>
              <w:textAlignment w:val="center"/>
              <w:rPr>
                <w:rFonts w:ascii="宋体" w:hAnsi="宋体" w:cs="宋体"/>
                <w:b/>
                <w:bCs/>
                <w:color w:val="000000"/>
                <w:sz w:val="24"/>
              </w:rPr>
            </w:pPr>
            <w:r>
              <w:rPr>
                <w:rFonts w:hint="eastAsia" w:ascii="宋体" w:hAnsi="宋体" w:cs="宋体"/>
                <w:b/>
                <w:bCs/>
                <w:color w:val="000000"/>
                <w:sz w:val="24"/>
                <w:lang w:bidi="ar"/>
              </w:rPr>
              <w:t>报价单位</w:t>
            </w:r>
          </w:p>
        </w:tc>
        <w:tc>
          <w:tcPr>
            <w:tcW w:w="915" w:type="dxa"/>
            <w:shd w:val="clear" w:color="000000" w:fill="D9D9D9"/>
            <w:noWrap w:val="0"/>
            <w:vAlign w:val="center"/>
          </w:tcPr>
          <w:p w14:paraId="5F7A8F9B">
            <w:pPr>
              <w:widowControl/>
              <w:suppressAutoHyphens/>
              <w:jc w:val="center"/>
              <w:textAlignment w:val="center"/>
              <w:rPr>
                <w:rFonts w:ascii="宋体" w:hAnsi="宋体" w:cs="宋体"/>
                <w:b/>
                <w:bCs/>
                <w:color w:val="000000"/>
                <w:sz w:val="24"/>
              </w:rPr>
            </w:pPr>
            <w:r>
              <w:rPr>
                <w:rFonts w:hint="eastAsia" w:ascii="宋体" w:hAnsi="宋体" w:cs="宋体"/>
                <w:b/>
                <w:bCs/>
                <w:color w:val="000000"/>
                <w:sz w:val="24"/>
                <w:lang w:bidi="ar"/>
              </w:rPr>
              <w:t>数量</w:t>
            </w:r>
          </w:p>
        </w:tc>
        <w:tc>
          <w:tcPr>
            <w:tcW w:w="870" w:type="dxa"/>
            <w:shd w:val="clear" w:color="000000" w:fill="D9D9D9"/>
            <w:noWrap w:val="0"/>
            <w:vAlign w:val="center"/>
          </w:tcPr>
          <w:p w14:paraId="15FB1D9A">
            <w:pPr>
              <w:widowControl/>
              <w:suppressAutoHyphens/>
              <w:jc w:val="center"/>
              <w:textAlignment w:val="center"/>
              <w:rPr>
                <w:rFonts w:ascii="宋体" w:hAnsi="宋体" w:cs="宋体"/>
                <w:b/>
                <w:bCs/>
                <w:color w:val="000000"/>
                <w:sz w:val="24"/>
              </w:rPr>
            </w:pPr>
            <w:r>
              <w:rPr>
                <w:rFonts w:hint="eastAsia" w:ascii="宋体" w:hAnsi="宋体" w:cs="宋体"/>
                <w:b/>
                <w:bCs/>
                <w:color w:val="000000"/>
                <w:sz w:val="24"/>
                <w:lang w:bidi="ar"/>
              </w:rPr>
              <w:t>服务期（月）</w:t>
            </w:r>
          </w:p>
        </w:tc>
      </w:tr>
      <w:tr w14:paraId="45C33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5" w:type="dxa"/>
            <w:vMerge w:val="restart"/>
            <w:shd w:val="clear" w:color="000000" w:fill="FFFFFF"/>
            <w:noWrap w:val="0"/>
            <w:vAlign w:val="center"/>
          </w:tcPr>
          <w:p w14:paraId="071E231C">
            <w:pPr>
              <w:widowControl/>
              <w:suppressAutoHyphens/>
              <w:jc w:val="center"/>
              <w:rPr>
                <w:rFonts w:ascii="宋体" w:hAnsi="宋体" w:cs="宋体"/>
                <w:sz w:val="24"/>
              </w:rPr>
            </w:pPr>
            <w:r>
              <w:rPr>
                <w:rFonts w:hint="eastAsia" w:ascii="宋体" w:hAnsi="宋体" w:cs="宋体"/>
                <w:sz w:val="24"/>
              </w:rPr>
              <w:t>基础软件支撑服务</w:t>
            </w:r>
          </w:p>
        </w:tc>
        <w:tc>
          <w:tcPr>
            <w:tcW w:w="1211" w:type="dxa"/>
            <w:vMerge w:val="restart"/>
            <w:shd w:val="clear" w:color="000000" w:fill="FFFFFF"/>
            <w:noWrap w:val="0"/>
            <w:vAlign w:val="center"/>
          </w:tcPr>
          <w:p w14:paraId="0FA3BE36">
            <w:pPr>
              <w:widowControl/>
              <w:suppressAutoHyphens/>
              <w:jc w:val="center"/>
              <w:rPr>
                <w:rFonts w:ascii="宋体" w:hAnsi="宋体" w:cs="宋体"/>
                <w:sz w:val="24"/>
              </w:rPr>
            </w:pPr>
            <w:r>
              <w:rPr>
                <w:rFonts w:hint="eastAsia" w:ascii="宋体" w:hAnsi="宋体" w:cs="宋体"/>
                <w:sz w:val="24"/>
              </w:rPr>
              <w:t>商用操作系统套餐</w:t>
            </w:r>
          </w:p>
        </w:tc>
        <w:tc>
          <w:tcPr>
            <w:tcW w:w="3501" w:type="dxa"/>
            <w:shd w:val="clear" w:color="000000" w:fill="FFFFFF"/>
            <w:noWrap w:val="0"/>
            <w:vAlign w:val="center"/>
          </w:tcPr>
          <w:p w14:paraId="210116ED">
            <w:pPr>
              <w:widowControl/>
              <w:suppressAutoHyphens/>
              <w:rPr>
                <w:rFonts w:ascii="宋体" w:hAnsi="宋体" w:cs="宋体"/>
                <w:sz w:val="24"/>
              </w:rPr>
            </w:pPr>
            <w:r>
              <w:rPr>
                <w:rFonts w:hint="eastAsia" w:ascii="宋体" w:hAnsi="宋体" w:cs="宋体"/>
                <w:sz w:val="24"/>
              </w:rPr>
              <w:t>Windows Server套餐：Windows Server租用、安装及维护。</w:t>
            </w:r>
          </w:p>
        </w:tc>
        <w:tc>
          <w:tcPr>
            <w:tcW w:w="813" w:type="dxa"/>
            <w:shd w:val="clear" w:color="000000" w:fill="FFFFFF"/>
            <w:noWrap w:val="0"/>
            <w:vAlign w:val="center"/>
          </w:tcPr>
          <w:p w14:paraId="53F68FDF">
            <w:pPr>
              <w:widowControl/>
              <w:suppressAutoHyphens/>
              <w:jc w:val="center"/>
              <w:rPr>
                <w:rFonts w:ascii="宋体" w:hAnsi="宋体" w:cs="宋体"/>
                <w:sz w:val="24"/>
              </w:rPr>
            </w:pPr>
            <w:r>
              <w:rPr>
                <w:rFonts w:hint="eastAsia" w:ascii="宋体" w:hAnsi="宋体" w:cs="宋体"/>
                <w:color w:val="000000"/>
                <w:sz w:val="24"/>
                <w:lang w:bidi="ar"/>
              </w:rPr>
              <w:t>1套</w:t>
            </w:r>
          </w:p>
        </w:tc>
        <w:tc>
          <w:tcPr>
            <w:tcW w:w="826" w:type="dxa"/>
            <w:shd w:val="clear" w:color="000000" w:fill="FFFFFF"/>
            <w:noWrap w:val="0"/>
            <w:vAlign w:val="center"/>
          </w:tcPr>
          <w:p w14:paraId="6C761FE2">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元/月</w:t>
            </w:r>
          </w:p>
        </w:tc>
        <w:tc>
          <w:tcPr>
            <w:tcW w:w="915" w:type="dxa"/>
            <w:shd w:val="clear" w:color="000000" w:fill="FFFFFF"/>
            <w:noWrap w:val="0"/>
            <w:vAlign w:val="center"/>
          </w:tcPr>
          <w:p w14:paraId="39773391">
            <w:pPr>
              <w:widowControl/>
              <w:suppressAutoHyphens/>
              <w:jc w:val="center"/>
              <w:textAlignment w:val="center"/>
              <w:rPr>
                <w:rFonts w:ascii="宋体" w:hAnsi="宋体" w:cs="宋体"/>
                <w:color w:val="000000"/>
                <w:sz w:val="24"/>
              </w:rPr>
            </w:pPr>
            <w:r>
              <w:rPr>
                <w:rFonts w:ascii="宋体" w:hAnsi="宋体" w:cs="宋体"/>
                <w:color w:val="000000"/>
                <w:sz w:val="24"/>
              </w:rPr>
              <w:t>18</w:t>
            </w:r>
          </w:p>
        </w:tc>
        <w:tc>
          <w:tcPr>
            <w:tcW w:w="870" w:type="dxa"/>
            <w:shd w:val="clear" w:color="000000" w:fill="FFFFFF"/>
            <w:noWrap w:val="0"/>
            <w:vAlign w:val="center"/>
          </w:tcPr>
          <w:p w14:paraId="6F290BE4">
            <w:pPr>
              <w:widowControl/>
              <w:suppressAutoHyphens/>
              <w:jc w:val="center"/>
              <w:textAlignment w:val="center"/>
              <w:rPr>
                <w:rFonts w:ascii="宋体" w:hAnsi="宋体" w:cs="宋体"/>
                <w:color w:val="000000"/>
                <w:sz w:val="24"/>
              </w:rPr>
            </w:pPr>
            <w:r>
              <w:rPr>
                <w:rFonts w:ascii="宋体" w:hAnsi="宋体" w:cs="宋体"/>
                <w:color w:val="000000"/>
                <w:sz w:val="24"/>
              </w:rPr>
              <w:t>12</w:t>
            </w:r>
            <w:r>
              <w:rPr>
                <w:rFonts w:hint="eastAsia" w:ascii="宋体" w:hAnsi="宋体" w:cs="宋体"/>
                <w:color w:val="000000"/>
                <w:sz w:val="24"/>
              </w:rPr>
              <w:t>个月</w:t>
            </w:r>
          </w:p>
        </w:tc>
      </w:tr>
      <w:tr w14:paraId="0D51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5" w:type="dxa"/>
            <w:vMerge w:val="continue"/>
            <w:shd w:val="clear" w:color="auto" w:fill="auto"/>
            <w:noWrap w:val="0"/>
            <w:vAlign w:val="center"/>
          </w:tcPr>
          <w:p w14:paraId="22A5C3F7">
            <w:pPr>
              <w:widowControl/>
              <w:suppressAutoHyphens/>
              <w:jc w:val="center"/>
              <w:rPr>
                <w:rFonts w:ascii="宋体" w:hAnsi="宋体" w:cs="宋体"/>
                <w:sz w:val="24"/>
              </w:rPr>
            </w:pPr>
          </w:p>
        </w:tc>
        <w:tc>
          <w:tcPr>
            <w:tcW w:w="1211" w:type="dxa"/>
            <w:vMerge w:val="continue"/>
            <w:shd w:val="clear" w:color="auto" w:fill="auto"/>
            <w:noWrap w:val="0"/>
            <w:vAlign w:val="center"/>
          </w:tcPr>
          <w:p w14:paraId="2532C19A">
            <w:pPr>
              <w:widowControl/>
              <w:suppressAutoHyphens/>
              <w:jc w:val="center"/>
              <w:rPr>
                <w:rFonts w:ascii="宋体" w:hAnsi="宋体" w:cs="宋体"/>
                <w:sz w:val="24"/>
              </w:rPr>
            </w:pPr>
          </w:p>
        </w:tc>
        <w:tc>
          <w:tcPr>
            <w:tcW w:w="3501" w:type="dxa"/>
            <w:shd w:val="clear" w:color="000000" w:fill="FFFFFF"/>
            <w:noWrap w:val="0"/>
            <w:vAlign w:val="center"/>
          </w:tcPr>
          <w:p w14:paraId="41190D2B">
            <w:pPr>
              <w:widowControl/>
              <w:suppressAutoHyphens/>
              <w:rPr>
                <w:rFonts w:ascii="宋体" w:hAnsi="宋体" w:cs="宋体"/>
                <w:sz w:val="24"/>
              </w:rPr>
            </w:pPr>
            <w:r>
              <w:rPr>
                <w:rFonts w:hint="eastAsia" w:ascii="宋体" w:hAnsi="宋体" w:cs="宋体"/>
                <w:sz w:val="24"/>
              </w:rPr>
              <w:t>国产操作系统服务租用、安装及维护。</w:t>
            </w:r>
          </w:p>
        </w:tc>
        <w:tc>
          <w:tcPr>
            <w:tcW w:w="813" w:type="dxa"/>
            <w:noWrap w:val="0"/>
            <w:vAlign w:val="center"/>
          </w:tcPr>
          <w:p w14:paraId="415D24B0">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1套</w:t>
            </w:r>
          </w:p>
        </w:tc>
        <w:tc>
          <w:tcPr>
            <w:tcW w:w="826" w:type="dxa"/>
            <w:noWrap w:val="0"/>
            <w:vAlign w:val="center"/>
          </w:tcPr>
          <w:p w14:paraId="1A4DE6C5">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元/月</w:t>
            </w:r>
          </w:p>
        </w:tc>
        <w:tc>
          <w:tcPr>
            <w:tcW w:w="915" w:type="dxa"/>
            <w:noWrap w:val="0"/>
            <w:vAlign w:val="center"/>
          </w:tcPr>
          <w:p w14:paraId="2D0437E8">
            <w:pPr>
              <w:widowControl/>
              <w:suppressAutoHyphens/>
              <w:jc w:val="center"/>
              <w:textAlignment w:val="center"/>
              <w:rPr>
                <w:rFonts w:ascii="宋体" w:hAnsi="宋体" w:cs="宋体"/>
                <w:color w:val="000000"/>
                <w:sz w:val="24"/>
              </w:rPr>
            </w:pPr>
            <w:r>
              <w:rPr>
                <w:rFonts w:hint="eastAsia" w:ascii="宋体" w:hAnsi="宋体" w:cs="宋体"/>
                <w:color w:val="000000"/>
                <w:sz w:val="24"/>
              </w:rPr>
              <w:t>4</w:t>
            </w:r>
            <w:r>
              <w:rPr>
                <w:rFonts w:ascii="宋体" w:hAnsi="宋体" w:cs="宋体"/>
                <w:color w:val="000000"/>
                <w:sz w:val="24"/>
              </w:rPr>
              <w:t>1</w:t>
            </w:r>
          </w:p>
        </w:tc>
        <w:tc>
          <w:tcPr>
            <w:tcW w:w="870" w:type="dxa"/>
            <w:noWrap w:val="0"/>
            <w:vAlign w:val="center"/>
          </w:tcPr>
          <w:p w14:paraId="4753D255">
            <w:pPr>
              <w:widowControl/>
              <w:suppressAutoHyphens/>
              <w:jc w:val="center"/>
              <w:textAlignment w:val="center"/>
              <w:rPr>
                <w:rFonts w:ascii="宋体" w:hAnsi="宋体" w:cs="宋体"/>
                <w:color w:val="000000"/>
                <w:sz w:val="24"/>
              </w:rPr>
            </w:pPr>
            <w:r>
              <w:rPr>
                <w:rFonts w:ascii="宋体" w:hAnsi="宋体" w:cs="宋体"/>
                <w:color w:val="000000"/>
                <w:sz w:val="24"/>
              </w:rPr>
              <w:t>12</w:t>
            </w:r>
            <w:r>
              <w:rPr>
                <w:rFonts w:hint="eastAsia" w:ascii="宋体" w:hAnsi="宋体" w:cs="宋体"/>
                <w:color w:val="000000"/>
                <w:sz w:val="24"/>
              </w:rPr>
              <w:t>个月</w:t>
            </w:r>
          </w:p>
        </w:tc>
      </w:tr>
      <w:tr w14:paraId="4A7D9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5" w:type="dxa"/>
            <w:vMerge w:val="continue"/>
            <w:shd w:val="clear" w:color="auto" w:fill="auto"/>
            <w:noWrap w:val="0"/>
            <w:vAlign w:val="center"/>
          </w:tcPr>
          <w:p w14:paraId="2D9E601C">
            <w:pPr>
              <w:widowControl/>
              <w:suppressAutoHyphens/>
              <w:jc w:val="center"/>
              <w:rPr>
                <w:rFonts w:ascii="宋体" w:hAnsi="宋体" w:cs="宋体"/>
                <w:sz w:val="24"/>
              </w:rPr>
            </w:pPr>
          </w:p>
        </w:tc>
        <w:tc>
          <w:tcPr>
            <w:tcW w:w="1211" w:type="dxa"/>
            <w:shd w:val="clear" w:color="000000" w:fill="FFFFFF"/>
            <w:noWrap w:val="0"/>
            <w:vAlign w:val="center"/>
          </w:tcPr>
          <w:p w14:paraId="1F3BFDB2">
            <w:pPr>
              <w:widowControl/>
              <w:suppressAutoHyphens/>
              <w:jc w:val="center"/>
              <w:rPr>
                <w:rFonts w:ascii="宋体" w:hAnsi="宋体" w:cs="宋体"/>
                <w:sz w:val="24"/>
              </w:rPr>
            </w:pPr>
            <w:r>
              <w:rPr>
                <w:rFonts w:hint="eastAsia" w:ascii="宋体" w:hAnsi="宋体" w:cs="宋体"/>
                <w:sz w:val="24"/>
              </w:rPr>
              <w:t>开源操作系统套餐</w:t>
            </w:r>
          </w:p>
        </w:tc>
        <w:tc>
          <w:tcPr>
            <w:tcW w:w="3501" w:type="dxa"/>
            <w:shd w:val="clear" w:color="000000" w:fill="FFFFFF"/>
            <w:noWrap w:val="0"/>
            <w:vAlign w:val="center"/>
          </w:tcPr>
          <w:p w14:paraId="4BC09B3D">
            <w:pPr>
              <w:widowControl/>
              <w:suppressAutoHyphens/>
              <w:rPr>
                <w:rFonts w:ascii="宋体" w:hAnsi="宋体" w:cs="宋体"/>
                <w:sz w:val="24"/>
              </w:rPr>
            </w:pPr>
            <w:r>
              <w:rPr>
                <w:rFonts w:hint="eastAsia" w:ascii="宋体" w:hAnsi="宋体" w:cs="宋体"/>
                <w:sz w:val="24"/>
              </w:rPr>
              <w:t>提供开源操作系统安装和维护服务。</w:t>
            </w:r>
          </w:p>
        </w:tc>
        <w:tc>
          <w:tcPr>
            <w:tcW w:w="813" w:type="dxa"/>
            <w:shd w:val="clear" w:color="000000" w:fill="FFFFFF"/>
            <w:noWrap w:val="0"/>
            <w:vAlign w:val="center"/>
          </w:tcPr>
          <w:p w14:paraId="07A7AB35">
            <w:pPr>
              <w:widowControl/>
              <w:suppressAutoHyphens/>
              <w:jc w:val="center"/>
              <w:rPr>
                <w:rFonts w:ascii="宋体" w:hAnsi="宋体" w:cs="宋体"/>
                <w:sz w:val="24"/>
              </w:rPr>
            </w:pPr>
            <w:r>
              <w:rPr>
                <w:rFonts w:hint="eastAsia" w:ascii="宋体" w:hAnsi="宋体" w:cs="宋体"/>
                <w:color w:val="000000"/>
                <w:sz w:val="24"/>
                <w:lang w:bidi="ar"/>
              </w:rPr>
              <w:t>1套</w:t>
            </w:r>
          </w:p>
        </w:tc>
        <w:tc>
          <w:tcPr>
            <w:tcW w:w="826" w:type="dxa"/>
            <w:shd w:val="clear" w:color="000000" w:fill="FFFFFF"/>
            <w:noWrap w:val="0"/>
            <w:vAlign w:val="center"/>
          </w:tcPr>
          <w:p w14:paraId="6BA9EB0F">
            <w:pPr>
              <w:widowControl/>
              <w:suppressAutoHyphens/>
              <w:jc w:val="center"/>
              <w:rPr>
                <w:rFonts w:ascii="宋体" w:hAnsi="宋体" w:cs="宋体"/>
                <w:sz w:val="24"/>
              </w:rPr>
            </w:pPr>
            <w:r>
              <w:rPr>
                <w:rFonts w:hint="eastAsia" w:ascii="宋体" w:hAnsi="宋体" w:cs="宋体"/>
                <w:sz w:val="24"/>
                <w:lang w:bidi="ar"/>
              </w:rPr>
              <w:t>元/</w:t>
            </w:r>
            <w:r>
              <w:rPr>
                <w:rFonts w:hint="eastAsia" w:ascii="宋体" w:hAnsi="宋体" w:cs="宋体"/>
                <w:color w:val="000000"/>
                <w:sz w:val="24"/>
                <w:lang w:bidi="ar"/>
              </w:rPr>
              <w:t>月</w:t>
            </w:r>
          </w:p>
        </w:tc>
        <w:tc>
          <w:tcPr>
            <w:tcW w:w="915" w:type="dxa"/>
            <w:shd w:val="clear" w:color="000000" w:fill="FFFFFF"/>
            <w:noWrap w:val="0"/>
            <w:vAlign w:val="center"/>
          </w:tcPr>
          <w:p w14:paraId="04017A07">
            <w:pPr>
              <w:widowControl/>
              <w:suppressAutoHyphens/>
              <w:rPr>
                <w:rFonts w:ascii="宋体" w:hAnsi="宋体" w:cs="宋体"/>
                <w:sz w:val="24"/>
              </w:rPr>
            </w:pPr>
            <w:r>
              <w:rPr>
                <w:rFonts w:hint="eastAsia" w:ascii="宋体" w:hAnsi="宋体" w:cs="宋体"/>
                <w:sz w:val="24"/>
              </w:rPr>
              <w:t>3</w:t>
            </w:r>
            <w:r>
              <w:rPr>
                <w:rFonts w:ascii="宋体" w:hAnsi="宋体" w:cs="宋体"/>
                <w:sz w:val="24"/>
              </w:rPr>
              <w:t>4</w:t>
            </w:r>
          </w:p>
        </w:tc>
        <w:tc>
          <w:tcPr>
            <w:tcW w:w="870" w:type="dxa"/>
            <w:shd w:val="clear" w:color="000000" w:fill="FFFFFF"/>
            <w:noWrap w:val="0"/>
            <w:vAlign w:val="center"/>
          </w:tcPr>
          <w:p w14:paraId="69E67BB4">
            <w:pPr>
              <w:widowControl/>
              <w:suppressAutoHyphens/>
              <w:rPr>
                <w:rFonts w:ascii="宋体" w:hAnsi="宋体" w:cs="宋体"/>
                <w:sz w:val="24"/>
              </w:rPr>
            </w:pPr>
            <w:r>
              <w:rPr>
                <w:rFonts w:ascii="宋体" w:hAnsi="宋体" w:cs="宋体"/>
                <w:color w:val="000000"/>
                <w:sz w:val="24"/>
              </w:rPr>
              <w:t>12</w:t>
            </w:r>
            <w:r>
              <w:rPr>
                <w:rFonts w:hint="eastAsia" w:ascii="宋体" w:hAnsi="宋体" w:cs="宋体"/>
                <w:color w:val="000000"/>
                <w:sz w:val="24"/>
              </w:rPr>
              <w:t>个月</w:t>
            </w:r>
          </w:p>
        </w:tc>
      </w:tr>
      <w:tr w14:paraId="58B8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5" w:type="dxa"/>
            <w:vMerge w:val="continue"/>
            <w:shd w:val="clear" w:color="auto" w:fill="auto"/>
            <w:noWrap w:val="0"/>
            <w:vAlign w:val="center"/>
          </w:tcPr>
          <w:p w14:paraId="0BC7C1E7">
            <w:pPr>
              <w:widowControl/>
              <w:suppressAutoHyphens/>
              <w:jc w:val="center"/>
              <w:rPr>
                <w:rFonts w:ascii="宋体" w:hAnsi="宋体" w:cs="宋体"/>
                <w:sz w:val="24"/>
              </w:rPr>
            </w:pPr>
          </w:p>
        </w:tc>
        <w:tc>
          <w:tcPr>
            <w:tcW w:w="1211" w:type="dxa"/>
            <w:shd w:val="clear" w:color="000000" w:fill="FFFFFF"/>
            <w:noWrap w:val="0"/>
            <w:vAlign w:val="center"/>
          </w:tcPr>
          <w:p w14:paraId="05628091">
            <w:pPr>
              <w:widowControl/>
              <w:suppressAutoHyphens/>
              <w:jc w:val="center"/>
              <w:rPr>
                <w:rFonts w:ascii="宋体" w:hAnsi="宋体" w:cs="宋体"/>
                <w:sz w:val="24"/>
              </w:rPr>
            </w:pPr>
            <w:r>
              <w:rPr>
                <w:rFonts w:hint="eastAsia" w:ascii="宋体" w:hAnsi="宋体" w:cs="宋体"/>
                <w:sz w:val="24"/>
              </w:rPr>
              <w:t>商用数据库套餐</w:t>
            </w:r>
          </w:p>
        </w:tc>
        <w:tc>
          <w:tcPr>
            <w:tcW w:w="3501" w:type="dxa"/>
            <w:shd w:val="clear" w:color="000000" w:fill="FFFFFF"/>
            <w:noWrap w:val="0"/>
            <w:vAlign w:val="center"/>
          </w:tcPr>
          <w:p w14:paraId="546C4A35">
            <w:pPr>
              <w:widowControl/>
              <w:suppressAutoHyphens/>
              <w:rPr>
                <w:rFonts w:ascii="宋体" w:hAnsi="宋体" w:cs="宋体"/>
                <w:sz w:val="24"/>
              </w:rPr>
            </w:pPr>
            <w:r>
              <w:rPr>
                <w:rFonts w:hint="eastAsia" w:ascii="宋体" w:hAnsi="宋体" w:cs="宋体"/>
                <w:sz w:val="24"/>
              </w:rPr>
              <w:t>国产商用数据库租用、安装及维护（至少支持3种国产数据库）</w:t>
            </w:r>
          </w:p>
        </w:tc>
        <w:tc>
          <w:tcPr>
            <w:tcW w:w="813" w:type="dxa"/>
            <w:shd w:val="clear" w:color="000000" w:fill="FFFFFF"/>
            <w:noWrap w:val="0"/>
            <w:vAlign w:val="center"/>
          </w:tcPr>
          <w:p w14:paraId="6A4B734E">
            <w:pPr>
              <w:widowControl/>
              <w:suppressAutoHyphens/>
              <w:jc w:val="center"/>
              <w:rPr>
                <w:rFonts w:ascii="宋体" w:hAnsi="宋体" w:cs="宋体"/>
                <w:sz w:val="24"/>
              </w:rPr>
            </w:pPr>
            <w:r>
              <w:rPr>
                <w:rFonts w:hint="eastAsia" w:ascii="宋体" w:hAnsi="宋体" w:cs="宋体"/>
                <w:color w:val="000000"/>
                <w:sz w:val="24"/>
                <w:lang w:bidi="ar"/>
              </w:rPr>
              <w:t>1套</w:t>
            </w:r>
          </w:p>
        </w:tc>
        <w:tc>
          <w:tcPr>
            <w:tcW w:w="826" w:type="dxa"/>
            <w:shd w:val="clear" w:color="000000" w:fill="FFFFFF"/>
            <w:noWrap w:val="0"/>
            <w:vAlign w:val="center"/>
          </w:tcPr>
          <w:p w14:paraId="16A5B049">
            <w:pPr>
              <w:widowControl/>
              <w:suppressAutoHyphens/>
              <w:jc w:val="center"/>
              <w:rPr>
                <w:rFonts w:ascii="宋体" w:hAnsi="宋体" w:cs="宋体"/>
                <w:sz w:val="24"/>
              </w:rPr>
            </w:pPr>
            <w:r>
              <w:rPr>
                <w:rFonts w:hint="eastAsia" w:ascii="宋体" w:hAnsi="宋体" w:cs="宋体"/>
                <w:sz w:val="24"/>
                <w:lang w:bidi="ar"/>
              </w:rPr>
              <w:t>元/</w:t>
            </w:r>
            <w:r>
              <w:rPr>
                <w:rFonts w:hint="eastAsia" w:ascii="宋体" w:hAnsi="宋体" w:cs="宋体"/>
                <w:color w:val="000000"/>
                <w:sz w:val="24"/>
                <w:lang w:bidi="ar"/>
              </w:rPr>
              <w:t>月</w:t>
            </w:r>
          </w:p>
        </w:tc>
        <w:tc>
          <w:tcPr>
            <w:tcW w:w="915" w:type="dxa"/>
            <w:shd w:val="clear" w:color="000000" w:fill="FFFFFF"/>
            <w:noWrap w:val="0"/>
            <w:vAlign w:val="center"/>
          </w:tcPr>
          <w:p w14:paraId="1B4A558E">
            <w:pPr>
              <w:widowControl/>
              <w:suppressAutoHyphens/>
              <w:rPr>
                <w:rFonts w:ascii="宋体" w:hAnsi="宋体" w:cs="宋体"/>
                <w:sz w:val="24"/>
              </w:rPr>
            </w:pPr>
            <w:r>
              <w:rPr>
                <w:rFonts w:hint="eastAsia" w:ascii="宋体" w:hAnsi="宋体" w:cs="宋体"/>
                <w:sz w:val="24"/>
              </w:rPr>
              <w:t>2</w:t>
            </w:r>
          </w:p>
        </w:tc>
        <w:tc>
          <w:tcPr>
            <w:tcW w:w="870" w:type="dxa"/>
            <w:shd w:val="clear" w:color="000000" w:fill="FFFFFF"/>
            <w:noWrap w:val="0"/>
            <w:vAlign w:val="center"/>
          </w:tcPr>
          <w:p w14:paraId="5A46B66A">
            <w:pPr>
              <w:widowControl/>
              <w:suppressAutoHyphens/>
              <w:rPr>
                <w:rFonts w:ascii="宋体" w:hAnsi="宋体" w:cs="宋体"/>
                <w:sz w:val="24"/>
              </w:rPr>
            </w:pPr>
            <w:r>
              <w:rPr>
                <w:rFonts w:ascii="宋体" w:hAnsi="宋体" w:cs="宋体"/>
                <w:color w:val="000000"/>
                <w:sz w:val="24"/>
              </w:rPr>
              <w:t>12</w:t>
            </w:r>
            <w:r>
              <w:rPr>
                <w:rFonts w:hint="eastAsia" w:ascii="宋体" w:hAnsi="宋体" w:cs="宋体"/>
                <w:color w:val="000000"/>
                <w:sz w:val="24"/>
              </w:rPr>
              <w:t>个月</w:t>
            </w:r>
          </w:p>
        </w:tc>
      </w:tr>
      <w:tr w14:paraId="28A8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5" w:type="dxa"/>
            <w:vMerge w:val="continue"/>
            <w:shd w:val="clear" w:color="auto" w:fill="auto"/>
            <w:noWrap w:val="0"/>
            <w:vAlign w:val="center"/>
          </w:tcPr>
          <w:p w14:paraId="46E6FFCC">
            <w:pPr>
              <w:widowControl/>
              <w:suppressAutoHyphens/>
              <w:jc w:val="center"/>
              <w:rPr>
                <w:rFonts w:ascii="宋体" w:hAnsi="宋体" w:cs="宋体"/>
                <w:sz w:val="24"/>
              </w:rPr>
            </w:pPr>
          </w:p>
        </w:tc>
        <w:tc>
          <w:tcPr>
            <w:tcW w:w="1211" w:type="dxa"/>
            <w:shd w:val="clear" w:color="000000" w:fill="FFFFFF"/>
            <w:noWrap w:val="0"/>
            <w:vAlign w:val="center"/>
          </w:tcPr>
          <w:p w14:paraId="64F71DC9">
            <w:pPr>
              <w:widowControl/>
              <w:suppressAutoHyphens/>
              <w:jc w:val="center"/>
              <w:rPr>
                <w:rFonts w:ascii="宋体" w:hAnsi="宋体" w:cs="宋体"/>
                <w:sz w:val="24"/>
              </w:rPr>
            </w:pPr>
            <w:r>
              <w:rPr>
                <w:rFonts w:hint="eastAsia" w:ascii="宋体" w:hAnsi="宋体" w:cs="宋体"/>
                <w:sz w:val="24"/>
              </w:rPr>
              <w:t>开源数据库套餐</w:t>
            </w:r>
          </w:p>
        </w:tc>
        <w:tc>
          <w:tcPr>
            <w:tcW w:w="3501" w:type="dxa"/>
            <w:shd w:val="clear" w:color="000000" w:fill="FFFFFF"/>
            <w:noWrap w:val="0"/>
            <w:vAlign w:val="center"/>
          </w:tcPr>
          <w:p w14:paraId="5397BD4B">
            <w:pPr>
              <w:widowControl/>
              <w:suppressAutoHyphens/>
              <w:rPr>
                <w:rFonts w:ascii="宋体" w:hAnsi="宋体" w:cs="宋体"/>
                <w:sz w:val="24"/>
              </w:rPr>
            </w:pPr>
            <w:r>
              <w:rPr>
                <w:rFonts w:hint="eastAsia" w:ascii="宋体" w:hAnsi="宋体" w:cs="宋体"/>
                <w:sz w:val="24"/>
              </w:rPr>
              <w:t>开源数据库安装及维护服务</w:t>
            </w:r>
          </w:p>
        </w:tc>
        <w:tc>
          <w:tcPr>
            <w:tcW w:w="813" w:type="dxa"/>
            <w:shd w:val="clear" w:color="000000" w:fill="FFFFFF"/>
            <w:noWrap w:val="0"/>
            <w:vAlign w:val="center"/>
          </w:tcPr>
          <w:p w14:paraId="28D48C8D">
            <w:pPr>
              <w:widowControl/>
              <w:suppressAutoHyphens/>
              <w:jc w:val="center"/>
              <w:rPr>
                <w:rFonts w:ascii="宋体" w:hAnsi="宋体" w:cs="宋体"/>
                <w:sz w:val="24"/>
              </w:rPr>
            </w:pPr>
            <w:r>
              <w:rPr>
                <w:rFonts w:hint="eastAsia" w:ascii="宋体" w:hAnsi="宋体" w:cs="宋体"/>
                <w:color w:val="000000"/>
                <w:sz w:val="24"/>
                <w:lang w:bidi="ar"/>
              </w:rPr>
              <w:t>1套</w:t>
            </w:r>
          </w:p>
        </w:tc>
        <w:tc>
          <w:tcPr>
            <w:tcW w:w="826" w:type="dxa"/>
            <w:shd w:val="clear" w:color="000000" w:fill="FFFFFF"/>
            <w:noWrap w:val="0"/>
            <w:vAlign w:val="center"/>
          </w:tcPr>
          <w:p w14:paraId="3447B9FD">
            <w:pPr>
              <w:widowControl/>
              <w:suppressAutoHyphens/>
              <w:jc w:val="center"/>
              <w:rPr>
                <w:rFonts w:ascii="宋体" w:hAnsi="宋体" w:cs="宋体"/>
                <w:sz w:val="24"/>
              </w:rPr>
            </w:pPr>
            <w:r>
              <w:rPr>
                <w:rFonts w:hint="eastAsia" w:ascii="宋体" w:hAnsi="宋体" w:cs="宋体"/>
                <w:sz w:val="24"/>
                <w:lang w:bidi="ar"/>
              </w:rPr>
              <w:t>元/</w:t>
            </w:r>
            <w:r>
              <w:rPr>
                <w:rFonts w:hint="eastAsia" w:ascii="宋体" w:hAnsi="宋体" w:cs="宋体"/>
                <w:color w:val="000000"/>
                <w:sz w:val="24"/>
                <w:lang w:bidi="ar"/>
              </w:rPr>
              <w:t>月</w:t>
            </w:r>
          </w:p>
        </w:tc>
        <w:tc>
          <w:tcPr>
            <w:tcW w:w="915" w:type="dxa"/>
            <w:shd w:val="clear" w:color="000000" w:fill="FFFFFF"/>
            <w:noWrap w:val="0"/>
            <w:vAlign w:val="center"/>
          </w:tcPr>
          <w:p w14:paraId="29985348">
            <w:pPr>
              <w:widowControl/>
              <w:suppressAutoHyphens/>
              <w:rPr>
                <w:rFonts w:ascii="宋体" w:hAnsi="宋体" w:cs="宋体"/>
                <w:sz w:val="24"/>
              </w:rPr>
            </w:pPr>
            <w:r>
              <w:rPr>
                <w:rFonts w:hint="eastAsia" w:ascii="宋体" w:hAnsi="宋体" w:cs="宋体"/>
                <w:sz w:val="24"/>
              </w:rPr>
              <w:t>9</w:t>
            </w:r>
          </w:p>
        </w:tc>
        <w:tc>
          <w:tcPr>
            <w:tcW w:w="870" w:type="dxa"/>
            <w:shd w:val="clear" w:color="000000" w:fill="FFFFFF"/>
            <w:noWrap w:val="0"/>
            <w:vAlign w:val="center"/>
          </w:tcPr>
          <w:p w14:paraId="49124A50">
            <w:pPr>
              <w:widowControl/>
              <w:suppressAutoHyphens/>
              <w:rPr>
                <w:rFonts w:ascii="宋体" w:hAnsi="宋体" w:cs="宋体"/>
                <w:sz w:val="24"/>
              </w:rPr>
            </w:pPr>
            <w:r>
              <w:rPr>
                <w:rFonts w:ascii="宋体" w:hAnsi="宋体" w:cs="宋体"/>
                <w:color w:val="000000"/>
                <w:sz w:val="24"/>
              </w:rPr>
              <w:t>12</w:t>
            </w:r>
            <w:r>
              <w:rPr>
                <w:rFonts w:hint="eastAsia" w:ascii="宋体" w:hAnsi="宋体" w:cs="宋体"/>
                <w:color w:val="000000"/>
                <w:sz w:val="24"/>
              </w:rPr>
              <w:t>个月</w:t>
            </w:r>
          </w:p>
        </w:tc>
      </w:tr>
      <w:tr w14:paraId="5035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5" w:type="dxa"/>
            <w:vMerge w:val="continue"/>
            <w:shd w:val="clear" w:color="auto" w:fill="auto"/>
            <w:noWrap w:val="0"/>
            <w:vAlign w:val="center"/>
          </w:tcPr>
          <w:p w14:paraId="51F188C9">
            <w:pPr>
              <w:widowControl/>
              <w:suppressAutoHyphens/>
              <w:jc w:val="center"/>
              <w:rPr>
                <w:rFonts w:ascii="宋体" w:hAnsi="宋体" w:cs="宋体"/>
                <w:sz w:val="24"/>
              </w:rPr>
            </w:pPr>
          </w:p>
        </w:tc>
        <w:tc>
          <w:tcPr>
            <w:tcW w:w="1211" w:type="dxa"/>
            <w:shd w:val="clear" w:color="000000" w:fill="FFFFFF"/>
            <w:noWrap w:val="0"/>
            <w:vAlign w:val="center"/>
          </w:tcPr>
          <w:p w14:paraId="07906F4E">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办公软件服务</w:t>
            </w:r>
          </w:p>
        </w:tc>
        <w:tc>
          <w:tcPr>
            <w:tcW w:w="3501" w:type="dxa"/>
            <w:shd w:val="clear" w:color="000000" w:fill="FFFFFF"/>
            <w:noWrap w:val="0"/>
            <w:vAlign w:val="center"/>
          </w:tcPr>
          <w:p w14:paraId="5CBA5811">
            <w:pPr>
              <w:widowControl/>
              <w:suppressAutoHyphens/>
              <w:textAlignment w:val="center"/>
              <w:rPr>
                <w:rFonts w:ascii="宋体" w:hAnsi="宋体" w:cs="宋体"/>
                <w:color w:val="000000"/>
                <w:sz w:val="24"/>
              </w:rPr>
            </w:pPr>
            <w:r>
              <w:rPr>
                <w:rFonts w:hint="eastAsia" w:ascii="宋体" w:hAnsi="宋体" w:cs="宋体"/>
                <w:color w:val="000000"/>
                <w:sz w:val="24"/>
                <w:lang w:bidi="ar"/>
              </w:rPr>
              <w:t>全终端兼容的文档协作云平台服务</w:t>
            </w:r>
          </w:p>
        </w:tc>
        <w:tc>
          <w:tcPr>
            <w:tcW w:w="813" w:type="dxa"/>
            <w:shd w:val="clear" w:color="000000" w:fill="FFFFFF"/>
            <w:noWrap w:val="0"/>
            <w:vAlign w:val="center"/>
          </w:tcPr>
          <w:p w14:paraId="585CCC43">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1套</w:t>
            </w:r>
          </w:p>
        </w:tc>
        <w:tc>
          <w:tcPr>
            <w:tcW w:w="826" w:type="dxa"/>
            <w:shd w:val="clear" w:color="000000" w:fill="FFFFFF"/>
            <w:noWrap w:val="0"/>
            <w:vAlign w:val="center"/>
          </w:tcPr>
          <w:p w14:paraId="2F952F34">
            <w:pPr>
              <w:widowControl/>
              <w:suppressAutoHyphens/>
              <w:jc w:val="center"/>
              <w:textAlignment w:val="center"/>
              <w:rPr>
                <w:rFonts w:ascii="宋体" w:hAnsi="宋体" w:cs="宋体"/>
                <w:color w:val="000000"/>
                <w:sz w:val="24"/>
              </w:rPr>
            </w:pPr>
            <w:r>
              <w:rPr>
                <w:rFonts w:hint="eastAsia" w:ascii="宋体" w:hAnsi="宋体" w:cs="宋体"/>
                <w:color w:val="000000"/>
                <w:sz w:val="24"/>
                <w:lang w:bidi="ar"/>
              </w:rPr>
              <w:t>元/月</w:t>
            </w:r>
          </w:p>
        </w:tc>
        <w:tc>
          <w:tcPr>
            <w:tcW w:w="915" w:type="dxa"/>
            <w:shd w:val="clear" w:color="000000" w:fill="FFFFFF"/>
            <w:noWrap w:val="0"/>
            <w:vAlign w:val="center"/>
          </w:tcPr>
          <w:p w14:paraId="38D8AFD0">
            <w:pPr>
              <w:widowControl/>
              <w:suppressAutoHyphens/>
              <w:jc w:val="center"/>
              <w:textAlignment w:val="center"/>
              <w:rPr>
                <w:rFonts w:ascii="宋体" w:hAnsi="宋体" w:cs="宋体"/>
                <w:color w:val="000000"/>
                <w:sz w:val="24"/>
              </w:rPr>
            </w:pPr>
            <w:r>
              <w:rPr>
                <w:rFonts w:hint="eastAsia" w:ascii="宋体" w:hAnsi="宋体" w:cs="宋体"/>
                <w:color w:val="000000"/>
                <w:sz w:val="24"/>
              </w:rPr>
              <w:t>1</w:t>
            </w:r>
          </w:p>
        </w:tc>
        <w:tc>
          <w:tcPr>
            <w:tcW w:w="870" w:type="dxa"/>
            <w:shd w:val="clear" w:color="000000" w:fill="FFFFFF"/>
            <w:noWrap w:val="0"/>
            <w:vAlign w:val="center"/>
          </w:tcPr>
          <w:p w14:paraId="36CE73DF">
            <w:pPr>
              <w:widowControl/>
              <w:suppressAutoHyphens/>
              <w:jc w:val="center"/>
              <w:textAlignment w:val="center"/>
              <w:rPr>
                <w:rFonts w:ascii="宋体" w:hAnsi="宋体" w:cs="宋体"/>
                <w:color w:val="000000"/>
                <w:sz w:val="24"/>
              </w:rPr>
            </w:pPr>
            <w:r>
              <w:rPr>
                <w:rFonts w:ascii="宋体" w:hAnsi="宋体" w:cs="宋体"/>
                <w:color w:val="000000"/>
                <w:sz w:val="24"/>
              </w:rPr>
              <w:t>12</w:t>
            </w:r>
            <w:r>
              <w:rPr>
                <w:rFonts w:hint="eastAsia" w:ascii="宋体" w:hAnsi="宋体" w:cs="宋体"/>
                <w:color w:val="000000"/>
                <w:sz w:val="24"/>
              </w:rPr>
              <w:t>个月</w:t>
            </w:r>
          </w:p>
        </w:tc>
      </w:tr>
      <w:tr w14:paraId="747DC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5" w:type="dxa"/>
            <w:vMerge w:val="restart"/>
            <w:shd w:val="clear" w:color="000000" w:fill="FFFFFF"/>
            <w:noWrap w:val="0"/>
            <w:vAlign w:val="center"/>
          </w:tcPr>
          <w:p w14:paraId="19C64FCC">
            <w:pPr>
              <w:widowControl/>
              <w:suppressAutoHyphens/>
              <w:jc w:val="center"/>
              <w:rPr>
                <w:rFonts w:ascii="宋体" w:hAnsi="宋体" w:cs="宋体"/>
                <w:sz w:val="24"/>
              </w:rPr>
            </w:pPr>
          </w:p>
          <w:p w14:paraId="47777020">
            <w:pPr>
              <w:widowControl/>
              <w:suppressAutoHyphens/>
              <w:jc w:val="center"/>
              <w:rPr>
                <w:rFonts w:ascii="宋体" w:hAnsi="宋体" w:cs="宋体"/>
                <w:sz w:val="24"/>
              </w:rPr>
            </w:pPr>
          </w:p>
          <w:p w14:paraId="41791E9E">
            <w:pPr>
              <w:widowControl/>
              <w:suppressAutoHyphens/>
              <w:jc w:val="center"/>
              <w:rPr>
                <w:rFonts w:ascii="宋体" w:hAnsi="宋体" w:cs="宋体"/>
                <w:sz w:val="24"/>
              </w:rPr>
            </w:pPr>
          </w:p>
          <w:p w14:paraId="52BFB11C">
            <w:pPr>
              <w:widowControl/>
              <w:suppressAutoHyphens/>
              <w:jc w:val="center"/>
              <w:rPr>
                <w:rFonts w:ascii="宋体" w:hAnsi="宋体" w:cs="宋体"/>
                <w:sz w:val="24"/>
              </w:rPr>
            </w:pPr>
          </w:p>
          <w:p w14:paraId="08BA7AC7">
            <w:pPr>
              <w:widowControl/>
              <w:suppressAutoHyphens/>
              <w:jc w:val="center"/>
              <w:rPr>
                <w:rFonts w:ascii="宋体" w:hAnsi="宋体" w:cs="宋体"/>
                <w:sz w:val="24"/>
              </w:rPr>
            </w:pPr>
          </w:p>
          <w:p w14:paraId="3A5DA754">
            <w:pPr>
              <w:widowControl/>
              <w:suppressAutoHyphens/>
              <w:jc w:val="center"/>
              <w:rPr>
                <w:rFonts w:ascii="宋体" w:hAnsi="宋体" w:cs="宋体"/>
                <w:sz w:val="24"/>
              </w:rPr>
            </w:pPr>
            <w:r>
              <w:rPr>
                <w:rFonts w:hint="eastAsia" w:ascii="宋体" w:hAnsi="宋体" w:cs="宋体"/>
                <w:sz w:val="24"/>
              </w:rPr>
              <w:t>安全服务</w:t>
            </w:r>
          </w:p>
        </w:tc>
        <w:tc>
          <w:tcPr>
            <w:tcW w:w="1211" w:type="dxa"/>
            <w:noWrap w:val="0"/>
            <w:vAlign w:val="center"/>
          </w:tcPr>
          <w:p w14:paraId="78CAD5B7">
            <w:pPr>
              <w:widowControl/>
              <w:suppressAutoHyphens/>
              <w:jc w:val="center"/>
              <w:rPr>
                <w:rFonts w:ascii="宋体" w:hAnsi="宋体" w:cs="宋体"/>
                <w:sz w:val="24"/>
              </w:rPr>
            </w:pPr>
            <w:r>
              <w:rPr>
                <w:rFonts w:hint="eastAsia" w:ascii="宋体" w:hAnsi="宋体" w:cs="宋体"/>
                <w:sz w:val="24"/>
              </w:rPr>
              <w:t>云端抗</w:t>
            </w:r>
            <w:r>
              <w:rPr>
                <w:rFonts w:hint="eastAsia" w:ascii="宋体" w:hAnsi="宋体" w:cs="宋体"/>
                <w:sz w:val="24"/>
                <w:lang w:eastAsia="zh-CN"/>
              </w:rPr>
              <w:t>DDOS</w:t>
            </w:r>
            <w:r>
              <w:rPr>
                <w:rFonts w:hint="eastAsia" w:ascii="宋体" w:hAnsi="宋体" w:cs="宋体"/>
                <w:sz w:val="24"/>
              </w:rPr>
              <w:t>服务</w:t>
            </w:r>
          </w:p>
        </w:tc>
        <w:tc>
          <w:tcPr>
            <w:tcW w:w="3501" w:type="dxa"/>
            <w:noWrap w:val="0"/>
            <w:vAlign w:val="center"/>
          </w:tcPr>
          <w:p w14:paraId="2A732E9A">
            <w:pPr>
              <w:widowControl/>
              <w:suppressAutoHyphens/>
              <w:rPr>
                <w:rFonts w:ascii="宋体" w:hAnsi="宋体" w:cs="宋体"/>
                <w:sz w:val="24"/>
              </w:rPr>
            </w:pPr>
            <w:r>
              <w:rPr>
                <w:rFonts w:hint="eastAsia" w:ascii="宋体" w:hAnsi="宋体" w:cs="宋体"/>
                <w:sz w:val="24"/>
              </w:rPr>
              <w:t>云端抗</w:t>
            </w:r>
            <w:r>
              <w:rPr>
                <w:rFonts w:hint="eastAsia" w:ascii="宋体" w:hAnsi="宋体" w:cs="宋体"/>
                <w:sz w:val="24"/>
                <w:lang w:eastAsia="zh-CN"/>
              </w:rPr>
              <w:t>DDOS</w:t>
            </w:r>
            <w:r>
              <w:rPr>
                <w:rFonts w:hint="eastAsia" w:ascii="宋体" w:hAnsi="宋体" w:cs="宋体"/>
                <w:sz w:val="24"/>
              </w:rPr>
              <w:t>服务</w:t>
            </w:r>
          </w:p>
        </w:tc>
        <w:tc>
          <w:tcPr>
            <w:tcW w:w="813" w:type="dxa"/>
            <w:noWrap w:val="0"/>
            <w:vAlign w:val="center"/>
          </w:tcPr>
          <w:p w14:paraId="73563321">
            <w:pPr>
              <w:widowControl/>
              <w:suppressAutoHyphens/>
              <w:jc w:val="center"/>
              <w:rPr>
                <w:rFonts w:ascii="宋体" w:hAnsi="宋体" w:cs="宋体"/>
                <w:sz w:val="24"/>
              </w:rPr>
            </w:pPr>
            <w:r>
              <w:rPr>
                <w:rFonts w:hint="eastAsia" w:ascii="宋体" w:hAnsi="宋体" w:cs="宋体"/>
                <w:sz w:val="24"/>
              </w:rPr>
              <w:t>1 站点</w:t>
            </w:r>
          </w:p>
        </w:tc>
        <w:tc>
          <w:tcPr>
            <w:tcW w:w="826" w:type="dxa"/>
            <w:noWrap w:val="0"/>
            <w:vAlign w:val="center"/>
          </w:tcPr>
          <w:p w14:paraId="78F10E3D">
            <w:pPr>
              <w:widowControl/>
              <w:suppressAutoHyphens/>
              <w:jc w:val="center"/>
              <w:rPr>
                <w:rFonts w:ascii="宋体" w:hAnsi="宋体" w:cs="宋体"/>
                <w:sz w:val="24"/>
              </w:rPr>
            </w:pPr>
            <w:r>
              <w:rPr>
                <w:rFonts w:hint="eastAsia" w:ascii="宋体" w:hAnsi="宋体" w:cs="宋体"/>
                <w:sz w:val="24"/>
                <w:lang w:bidi="ar"/>
              </w:rPr>
              <w:t>元/</w:t>
            </w:r>
            <w:r>
              <w:rPr>
                <w:rFonts w:hint="eastAsia" w:ascii="宋体" w:hAnsi="宋体" w:cs="宋体"/>
                <w:color w:val="000000"/>
                <w:sz w:val="24"/>
                <w:lang w:bidi="ar"/>
              </w:rPr>
              <w:t>月</w:t>
            </w:r>
          </w:p>
        </w:tc>
        <w:tc>
          <w:tcPr>
            <w:tcW w:w="915" w:type="dxa"/>
            <w:noWrap w:val="0"/>
            <w:vAlign w:val="center"/>
          </w:tcPr>
          <w:p w14:paraId="44C7EDC8">
            <w:pPr>
              <w:widowControl/>
              <w:suppressAutoHyphens/>
              <w:rPr>
                <w:rFonts w:ascii="宋体" w:hAnsi="宋体" w:cs="宋体"/>
                <w:sz w:val="24"/>
              </w:rPr>
            </w:pPr>
            <w:r>
              <w:rPr>
                <w:rFonts w:hint="eastAsia" w:ascii="宋体" w:hAnsi="宋体" w:cs="宋体"/>
                <w:sz w:val="24"/>
              </w:rPr>
              <w:t>4</w:t>
            </w:r>
          </w:p>
        </w:tc>
        <w:tc>
          <w:tcPr>
            <w:tcW w:w="870" w:type="dxa"/>
            <w:noWrap w:val="0"/>
            <w:vAlign w:val="center"/>
          </w:tcPr>
          <w:p w14:paraId="515D36E6">
            <w:pPr>
              <w:widowControl/>
              <w:suppressAutoHyphens/>
              <w:rPr>
                <w:rFonts w:ascii="宋体" w:hAnsi="宋体" w:cs="宋体"/>
                <w:sz w:val="24"/>
              </w:rPr>
            </w:pPr>
            <w:r>
              <w:rPr>
                <w:rFonts w:ascii="宋体" w:hAnsi="宋体" w:cs="宋体"/>
                <w:color w:val="000000"/>
                <w:sz w:val="24"/>
              </w:rPr>
              <w:t>12</w:t>
            </w:r>
            <w:r>
              <w:rPr>
                <w:rFonts w:hint="eastAsia" w:ascii="宋体" w:hAnsi="宋体" w:cs="宋体"/>
                <w:color w:val="000000"/>
                <w:sz w:val="24"/>
              </w:rPr>
              <w:t>个月</w:t>
            </w:r>
          </w:p>
        </w:tc>
      </w:tr>
      <w:tr w14:paraId="3064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5" w:type="dxa"/>
            <w:vMerge w:val="continue"/>
            <w:shd w:val="clear" w:color="auto" w:fill="auto"/>
            <w:noWrap w:val="0"/>
            <w:vAlign w:val="center"/>
          </w:tcPr>
          <w:p w14:paraId="5B9AEDFB">
            <w:pPr>
              <w:widowControl/>
              <w:suppressAutoHyphens/>
              <w:jc w:val="center"/>
              <w:rPr>
                <w:rFonts w:ascii="宋体" w:hAnsi="宋体" w:cs="宋体"/>
                <w:sz w:val="24"/>
              </w:rPr>
            </w:pPr>
          </w:p>
        </w:tc>
        <w:tc>
          <w:tcPr>
            <w:tcW w:w="1211" w:type="dxa"/>
            <w:shd w:val="clear" w:color="000000" w:fill="FFFFFF"/>
            <w:noWrap w:val="0"/>
            <w:vAlign w:val="center"/>
          </w:tcPr>
          <w:p w14:paraId="61724A88">
            <w:pPr>
              <w:widowControl/>
              <w:suppressAutoHyphens/>
              <w:jc w:val="center"/>
              <w:rPr>
                <w:rFonts w:ascii="宋体" w:hAnsi="宋体" w:cs="宋体"/>
                <w:sz w:val="24"/>
              </w:rPr>
            </w:pPr>
            <w:r>
              <w:rPr>
                <w:rFonts w:hint="eastAsia" w:ascii="宋体" w:hAnsi="宋体" w:cs="宋体"/>
                <w:sz w:val="24"/>
              </w:rPr>
              <w:t>云端APT防护服务</w:t>
            </w:r>
          </w:p>
        </w:tc>
        <w:tc>
          <w:tcPr>
            <w:tcW w:w="3501" w:type="dxa"/>
            <w:shd w:val="clear" w:color="000000" w:fill="FFFFFF"/>
            <w:noWrap w:val="0"/>
            <w:vAlign w:val="center"/>
          </w:tcPr>
          <w:p w14:paraId="1699254B">
            <w:pPr>
              <w:widowControl/>
              <w:suppressAutoHyphens/>
              <w:rPr>
                <w:rFonts w:ascii="宋体" w:hAnsi="宋体" w:cs="宋体"/>
                <w:sz w:val="24"/>
              </w:rPr>
            </w:pPr>
            <w:r>
              <w:rPr>
                <w:rFonts w:hint="eastAsia" w:ascii="宋体" w:hAnsi="宋体" w:cs="宋体"/>
                <w:sz w:val="24"/>
              </w:rPr>
              <w:t>云端APT防护服务</w:t>
            </w:r>
          </w:p>
        </w:tc>
        <w:tc>
          <w:tcPr>
            <w:tcW w:w="813" w:type="dxa"/>
            <w:shd w:val="clear" w:color="000000" w:fill="FFFFFF"/>
            <w:noWrap w:val="0"/>
            <w:vAlign w:val="center"/>
          </w:tcPr>
          <w:p w14:paraId="18BE8088">
            <w:pPr>
              <w:widowControl/>
              <w:suppressAutoHyphens/>
              <w:jc w:val="center"/>
              <w:rPr>
                <w:rFonts w:ascii="宋体" w:hAnsi="宋体" w:cs="宋体"/>
                <w:sz w:val="24"/>
              </w:rPr>
            </w:pPr>
            <w:r>
              <w:rPr>
                <w:rFonts w:hint="eastAsia" w:ascii="宋体" w:hAnsi="宋体" w:cs="宋体"/>
                <w:sz w:val="24"/>
              </w:rPr>
              <w:t>1 套</w:t>
            </w:r>
          </w:p>
        </w:tc>
        <w:tc>
          <w:tcPr>
            <w:tcW w:w="826" w:type="dxa"/>
            <w:shd w:val="clear" w:color="000000" w:fill="FFFFFF"/>
            <w:noWrap w:val="0"/>
            <w:vAlign w:val="center"/>
          </w:tcPr>
          <w:p w14:paraId="27874C8B">
            <w:pPr>
              <w:widowControl/>
              <w:suppressAutoHyphens/>
              <w:jc w:val="center"/>
              <w:rPr>
                <w:rFonts w:ascii="宋体" w:hAnsi="宋体" w:cs="宋体"/>
                <w:sz w:val="24"/>
              </w:rPr>
            </w:pPr>
            <w:r>
              <w:rPr>
                <w:rFonts w:hint="eastAsia" w:ascii="宋体" w:hAnsi="宋体" w:cs="宋体"/>
                <w:sz w:val="24"/>
                <w:lang w:bidi="ar"/>
              </w:rPr>
              <w:t>元/</w:t>
            </w:r>
            <w:r>
              <w:rPr>
                <w:rFonts w:hint="eastAsia" w:ascii="宋体" w:hAnsi="宋体" w:cs="宋体"/>
                <w:color w:val="000000"/>
                <w:sz w:val="24"/>
                <w:lang w:bidi="ar"/>
              </w:rPr>
              <w:t>月</w:t>
            </w:r>
          </w:p>
        </w:tc>
        <w:tc>
          <w:tcPr>
            <w:tcW w:w="915" w:type="dxa"/>
            <w:shd w:val="clear" w:color="000000" w:fill="FFFFFF"/>
            <w:noWrap w:val="0"/>
            <w:vAlign w:val="center"/>
          </w:tcPr>
          <w:p w14:paraId="27708CD7">
            <w:pPr>
              <w:widowControl/>
              <w:suppressAutoHyphens/>
              <w:rPr>
                <w:rFonts w:ascii="宋体" w:hAnsi="宋体" w:cs="宋体"/>
                <w:sz w:val="24"/>
              </w:rPr>
            </w:pPr>
            <w:r>
              <w:rPr>
                <w:rFonts w:hint="eastAsia" w:ascii="宋体" w:hAnsi="宋体" w:cs="宋体"/>
                <w:sz w:val="24"/>
              </w:rPr>
              <w:t>4</w:t>
            </w:r>
          </w:p>
        </w:tc>
        <w:tc>
          <w:tcPr>
            <w:tcW w:w="870" w:type="dxa"/>
            <w:shd w:val="clear" w:color="000000" w:fill="FFFFFF"/>
            <w:noWrap w:val="0"/>
            <w:vAlign w:val="center"/>
          </w:tcPr>
          <w:p w14:paraId="5F2691C3">
            <w:pPr>
              <w:widowControl/>
              <w:suppressAutoHyphens/>
              <w:rPr>
                <w:rFonts w:ascii="宋体" w:hAnsi="宋体" w:cs="宋体"/>
                <w:sz w:val="24"/>
              </w:rPr>
            </w:pPr>
            <w:r>
              <w:rPr>
                <w:rFonts w:ascii="宋体" w:hAnsi="宋体" w:cs="宋体"/>
                <w:color w:val="000000"/>
                <w:sz w:val="24"/>
              </w:rPr>
              <w:t>12</w:t>
            </w:r>
            <w:r>
              <w:rPr>
                <w:rFonts w:hint="eastAsia" w:ascii="宋体" w:hAnsi="宋体" w:cs="宋体"/>
                <w:color w:val="000000"/>
                <w:sz w:val="24"/>
              </w:rPr>
              <w:t>个月</w:t>
            </w:r>
          </w:p>
        </w:tc>
      </w:tr>
      <w:tr w14:paraId="51CF2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5" w:type="dxa"/>
            <w:vMerge w:val="continue"/>
            <w:shd w:val="clear" w:color="auto" w:fill="auto"/>
            <w:noWrap w:val="0"/>
            <w:vAlign w:val="center"/>
          </w:tcPr>
          <w:p w14:paraId="43C20C4B">
            <w:pPr>
              <w:widowControl/>
              <w:suppressAutoHyphens/>
              <w:jc w:val="center"/>
              <w:rPr>
                <w:rFonts w:ascii="宋体" w:hAnsi="宋体" w:cs="宋体"/>
                <w:sz w:val="24"/>
              </w:rPr>
            </w:pPr>
          </w:p>
        </w:tc>
        <w:tc>
          <w:tcPr>
            <w:tcW w:w="1211" w:type="dxa"/>
            <w:shd w:val="clear" w:color="000000" w:fill="FFFFFF"/>
            <w:noWrap w:val="0"/>
            <w:vAlign w:val="center"/>
          </w:tcPr>
          <w:p w14:paraId="156A79F3">
            <w:pPr>
              <w:widowControl/>
              <w:suppressAutoHyphens/>
              <w:jc w:val="center"/>
              <w:rPr>
                <w:rFonts w:ascii="宋体" w:hAnsi="宋体" w:cs="宋体"/>
                <w:sz w:val="24"/>
              </w:rPr>
            </w:pPr>
            <w:r>
              <w:rPr>
                <w:rFonts w:hint="eastAsia" w:ascii="宋体" w:hAnsi="宋体" w:cs="宋体"/>
                <w:sz w:val="24"/>
              </w:rPr>
              <w:t>主机杀毒服务</w:t>
            </w:r>
          </w:p>
        </w:tc>
        <w:tc>
          <w:tcPr>
            <w:tcW w:w="3501" w:type="dxa"/>
            <w:shd w:val="clear" w:color="000000" w:fill="FFFFFF"/>
            <w:noWrap w:val="0"/>
            <w:vAlign w:val="center"/>
          </w:tcPr>
          <w:p w14:paraId="7F940825">
            <w:pPr>
              <w:widowControl/>
              <w:suppressAutoHyphens/>
              <w:rPr>
                <w:rFonts w:ascii="宋体" w:hAnsi="宋体" w:cs="宋体"/>
                <w:sz w:val="24"/>
              </w:rPr>
            </w:pPr>
            <w:r>
              <w:rPr>
                <w:rFonts w:hint="eastAsia" w:ascii="宋体" w:hAnsi="宋体" w:cs="宋体"/>
                <w:sz w:val="24"/>
              </w:rPr>
              <w:t>主机杀毒服务</w:t>
            </w:r>
          </w:p>
        </w:tc>
        <w:tc>
          <w:tcPr>
            <w:tcW w:w="813" w:type="dxa"/>
            <w:shd w:val="clear" w:color="000000" w:fill="FFFFFF"/>
            <w:noWrap w:val="0"/>
            <w:vAlign w:val="center"/>
          </w:tcPr>
          <w:p w14:paraId="4FE2FD26">
            <w:pPr>
              <w:widowControl/>
              <w:suppressAutoHyphens/>
              <w:jc w:val="center"/>
              <w:rPr>
                <w:rFonts w:ascii="宋体" w:hAnsi="宋体" w:cs="宋体"/>
                <w:sz w:val="24"/>
              </w:rPr>
            </w:pPr>
            <w:r>
              <w:rPr>
                <w:rFonts w:hint="eastAsia" w:ascii="宋体" w:hAnsi="宋体" w:cs="宋体"/>
                <w:sz w:val="24"/>
              </w:rPr>
              <w:t>1台</w:t>
            </w:r>
          </w:p>
        </w:tc>
        <w:tc>
          <w:tcPr>
            <w:tcW w:w="826" w:type="dxa"/>
            <w:shd w:val="clear" w:color="000000" w:fill="FFFFFF"/>
            <w:noWrap w:val="0"/>
            <w:vAlign w:val="center"/>
          </w:tcPr>
          <w:p w14:paraId="5E4BCB08">
            <w:pPr>
              <w:widowControl/>
              <w:suppressAutoHyphens/>
              <w:jc w:val="center"/>
              <w:rPr>
                <w:rFonts w:ascii="宋体" w:hAnsi="宋体" w:cs="宋体"/>
                <w:sz w:val="24"/>
              </w:rPr>
            </w:pPr>
            <w:r>
              <w:rPr>
                <w:rFonts w:hint="eastAsia" w:ascii="宋体" w:hAnsi="宋体" w:cs="宋体"/>
                <w:sz w:val="24"/>
                <w:lang w:bidi="ar"/>
              </w:rPr>
              <w:t>元/</w:t>
            </w:r>
            <w:r>
              <w:rPr>
                <w:rFonts w:hint="eastAsia" w:ascii="宋体" w:hAnsi="宋体" w:cs="宋体"/>
                <w:color w:val="000000"/>
                <w:sz w:val="24"/>
                <w:lang w:bidi="ar"/>
              </w:rPr>
              <w:t>月</w:t>
            </w:r>
          </w:p>
        </w:tc>
        <w:tc>
          <w:tcPr>
            <w:tcW w:w="915" w:type="dxa"/>
            <w:shd w:val="clear" w:color="000000" w:fill="FFFFFF"/>
            <w:noWrap w:val="0"/>
            <w:vAlign w:val="center"/>
          </w:tcPr>
          <w:p w14:paraId="499F2D35">
            <w:pPr>
              <w:widowControl/>
              <w:suppressAutoHyphens/>
              <w:rPr>
                <w:rFonts w:ascii="宋体" w:hAnsi="宋体" w:cs="宋体"/>
                <w:sz w:val="24"/>
              </w:rPr>
            </w:pPr>
            <w:r>
              <w:rPr>
                <w:rFonts w:hint="eastAsia" w:ascii="宋体" w:hAnsi="宋体" w:cs="宋体"/>
                <w:sz w:val="24"/>
              </w:rPr>
              <w:t>1</w:t>
            </w:r>
            <w:r>
              <w:rPr>
                <w:rFonts w:ascii="宋体" w:hAnsi="宋体" w:cs="宋体"/>
                <w:sz w:val="24"/>
              </w:rPr>
              <w:t>01</w:t>
            </w:r>
          </w:p>
        </w:tc>
        <w:tc>
          <w:tcPr>
            <w:tcW w:w="870" w:type="dxa"/>
            <w:shd w:val="clear" w:color="000000" w:fill="FFFFFF"/>
            <w:noWrap w:val="0"/>
            <w:vAlign w:val="center"/>
          </w:tcPr>
          <w:p w14:paraId="3D1D0CF5">
            <w:pPr>
              <w:widowControl/>
              <w:suppressAutoHyphens/>
              <w:rPr>
                <w:rFonts w:ascii="宋体" w:hAnsi="宋体" w:cs="宋体"/>
                <w:sz w:val="24"/>
              </w:rPr>
            </w:pPr>
            <w:r>
              <w:rPr>
                <w:rFonts w:ascii="宋体" w:hAnsi="宋体" w:cs="宋体"/>
                <w:color w:val="000000"/>
                <w:sz w:val="24"/>
              </w:rPr>
              <w:t>12</w:t>
            </w:r>
            <w:r>
              <w:rPr>
                <w:rFonts w:hint="eastAsia" w:ascii="宋体" w:hAnsi="宋体" w:cs="宋体"/>
                <w:color w:val="000000"/>
                <w:sz w:val="24"/>
              </w:rPr>
              <w:t>个月</w:t>
            </w:r>
          </w:p>
        </w:tc>
      </w:tr>
      <w:tr w14:paraId="0182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75" w:type="dxa"/>
            <w:vMerge w:val="restart"/>
            <w:shd w:val="clear" w:color="000000" w:fill="FFFFFF"/>
            <w:noWrap w:val="0"/>
            <w:vAlign w:val="center"/>
          </w:tcPr>
          <w:p w14:paraId="42785F9B">
            <w:pPr>
              <w:widowControl/>
              <w:suppressAutoHyphens/>
              <w:jc w:val="center"/>
              <w:rPr>
                <w:rFonts w:ascii="宋体" w:hAnsi="宋体" w:cs="宋体"/>
                <w:sz w:val="24"/>
              </w:rPr>
            </w:pPr>
            <w:r>
              <w:rPr>
                <w:rFonts w:hint="eastAsia" w:ascii="宋体" w:hAnsi="宋体" w:cs="宋体"/>
                <w:sz w:val="24"/>
              </w:rPr>
              <w:t>其他服务</w:t>
            </w:r>
          </w:p>
        </w:tc>
        <w:tc>
          <w:tcPr>
            <w:tcW w:w="1211" w:type="dxa"/>
            <w:shd w:val="clear" w:color="000000" w:fill="FFFFFF"/>
            <w:noWrap w:val="0"/>
            <w:vAlign w:val="center"/>
          </w:tcPr>
          <w:p w14:paraId="3A6B04BA">
            <w:pPr>
              <w:widowControl/>
              <w:suppressAutoHyphens/>
              <w:jc w:val="center"/>
              <w:rPr>
                <w:rFonts w:ascii="宋体" w:hAnsi="宋体" w:cs="宋体"/>
                <w:sz w:val="24"/>
              </w:rPr>
            </w:pPr>
            <w:r>
              <w:rPr>
                <w:rFonts w:hint="eastAsia" w:ascii="宋体" w:hAnsi="宋体" w:cs="宋体"/>
                <w:sz w:val="24"/>
              </w:rPr>
              <w:t>签名验证服务</w:t>
            </w:r>
          </w:p>
        </w:tc>
        <w:tc>
          <w:tcPr>
            <w:tcW w:w="3501" w:type="dxa"/>
            <w:shd w:val="clear" w:color="000000" w:fill="FFFFFF"/>
            <w:noWrap w:val="0"/>
            <w:vAlign w:val="center"/>
          </w:tcPr>
          <w:p w14:paraId="15C4EDEC">
            <w:pPr>
              <w:widowControl/>
              <w:suppressAutoHyphens/>
              <w:rPr>
                <w:rFonts w:ascii="宋体" w:hAnsi="宋体" w:cs="宋体"/>
                <w:sz w:val="24"/>
              </w:rPr>
            </w:pPr>
            <w:r>
              <w:rPr>
                <w:rFonts w:hint="eastAsia" w:ascii="宋体" w:hAnsi="宋体" w:cs="宋体"/>
                <w:sz w:val="24"/>
              </w:rPr>
              <w:t>签名验签、杂凑等密码运算服务</w:t>
            </w:r>
          </w:p>
        </w:tc>
        <w:tc>
          <w:tcPr>
            <w:tcW w:w="813" w:type="dxa"/>
            <w:shd w:val="clear" w:color="000000" w:fill="FFFFFF"/>
            <w:noWrap w:val="0"/>
            <w:vAlign w:val="center"/>
          </w:tcPr>
          <w:p w14:paraId="1968194C">
            <w:pPr>
              <w:widowControl/>
              <w:suppressAutoHyphens/>
              <w:jc w:val="center"/>
              <w:rPr>
                <w:rFonts w:ascii="宋体" w:hAnsi="宋体" w:cs="宋体"/>
                <w:sz w:val="24"/>
              </w:rPr>
            </w:pPr>
            <w:r>
              <w:rPr>
                <w:rFonts w:hint="eastAsia" w:ascii="宋体" w:hAnsi="宋体" w:cs="宋体"/>
                <w:sz w:val="24"/>
              </w:rPr>
              <w:t>1项</w:t>
            </w:r>
          </w:p>
        </w:tc>
        <w:tc>
          <w:tcPr>
            <w:tcW w:w="826" w:type="dxa"/>
            <w:shd w:val="clear" w:color="000000" w:fill="FFFFFF"/>
            <w:noWrap w:val="0"/>
            <w:vAlign w:val="center"/>
          </w:tcPr>
          <w:p w14:paraId="44EBC314">
            <w:pPr>
              <w:widowControl/>
              <w:suppressAutoHyphens/>
              <w:jc w:val="center"/>
              <w:rPr>
                <w:rFonts w:ascii="宋体" w:hAnsi="宋体" w:cs="宋体"/>
                <w:sz w:val="24"/>
              </w:rPr>
            </w:pPr>
            <w:r>
              <w:rPr>
                <w:rFonts w:hint="eastAsia" w:ascii="宋体" w:hAnsi="宋体" w:cs="宋体"/>
                <w:color w:val="000000"/>
                <w:sz w:val="24"/>
                <w:lang w:bidi="ar"/>
              </w:rPr>
              <w:t>元/月</w:t>
            </w:r>
          </w:p>
        </w:tc>
        <w:tc>
          <w:tcPr>
            <w:tcW w:w="915" w:type="dxa"/>
            <w:shd w:val="clear" w:color="000000" w:fill="FFFFFF"/>
            <w:noWrap w:val="0"/>
            <w:vAlign w:val="center"/>
          </w:tcPr>
          <w:p w14:paraId="4A28100C">
            <w:pPr>
              <w:widowControl/>
              <w:suppressAutoHyphens/>
              <w:rPr>
                <w:rFonts w:ascii="宋体" w:hAnsi="宋体" w:cs="宋体"/>
                <w:sz w:val="24"/>
              </w:rPr>
            </w:pPr>
            <w:r>
              <w:rPr>
                <w:rFonts w:hint="eastAsia" w:ascii="宋体" w:hAnsi="宋体" w:cs="宋体"/>
                <w:sz w:val="24"/>
              </w:rPr>
              <w:t>1</w:t>
            </w:r>
          </w:p>
        </w:tc>
        <w:tc>
          <w:tcPr>
            <w:tcW w:w="870" w:type="dxa"/>
            <w:shd w:val="clear" w:color="000000" w:fill="FFFFFF"/>
            <w:noWrap w:val="0"/>
            <w:vAlign w:val="center"/>
          </w:tcPr>
          <w:p w14:paraId="47D37A25">
            <w:pPr>
              <w:widowControl/>
              <w:suppressAutoHyphens/>
              <w:rPr>
                <w:rFonts w:ascii="宋体" w:hAnsi="宋体" w:cs="宋体"/>
                <w:sz w:val="24"/>
              </w:rPr>
            </w:pPr>
            <w:r>
              <w:rPr>
                <w:rFonts w:ascii="宋体" w:hAnsi="宋体" w:cs="宋体"/>
                <w:color w:val="000000"/>
                <w:sz w:val="24"/>
              </w:rPr>
              <w:t>12</w:t>
            </w:r>
            <w:r>
              <w:rPr>
                <w:rFonts w:hint="eastAsia" w:ascii="宋体" w:hAnsi="宋体" w:cs="宋体"/>
                <w:color w:val="000000"/>
                <w:sz w:val="24"/>
              </w:rPr>
              <w:t>个月</w:t>
            </w:r>
          </w:p>
        </w:tc>
      </w:tr>
      <w:tr w14:paraId="547D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575" w:type="dxa"/>
            <w:vMerge w:val="continue"/>
            <w:shd w:val="clear" w:color="auto" w:fill="auto"/>
            <w:noWrap w:val="0"/>
            <w:vAlign w:val="center"/>
          </w:tcPr>
          <w:p w14:paraId="77858690">
            <w:pPr>
              <w:widowControl/>
              <w:suppressAutoHyphens/>
              <w:jc w:val="center"/>
              <w:rPr>
                <w:rFonts w:ascii="宋体" w:hAnsi="宋体" w:cs="宋体"/>
                <w:sz w:val="24"/>
              </w:rPr>
            </w:pPr>
          </w:p>
        </w:tc>
        <w:tc>
          <w:tcPr>
            <w:tcW w:w="1211" w:type="dxa"/>
            <w:shd w:val="clear" w:color="000000" w:fill="FFFFFF"/>
            <w:noWrap w:val="0"/>
            <w:vAlign w:val="top"/>
          </w:tcPr>
          <w:p w14:paraId="6CA0D282">
            <w:pPr>
              <w:widowControl/>
              <w:suppressAutoHyphens/>
              <w:jc w:val="center"/>
              <w:rPr>
                <w:rFonts w:ascii="宋体" w:hAnsi="宋体" w:cs="宋体"/>
                <w:sz w:val="24"/>
              </w:rPr>
            </w:pPr>
            <w:r>
              <w:rPr>
                <w:rFonts w:hint="eastAsia" w:ascii="宋体" w:hAnsi="宋体" w:cs="宋体"/>
                <w:sz w:val="24"/>
              </w:rPr>
              <w:t>加解密服务</w:t>
            </w:r>
          </w:p>
        </w:tc>
        <w:tc>
          <w:tcPr>
            <w:tcW w:w="3501" w:type="dxa"/>
            <w:shd w:val="clear" w:color="000000" w:fill="FFFFFF"/>
            <w:noWrap w:val="0"/>
            <w:vAlign w:val="top"/>
          </w:tcPr>
          <w:p w14:paraId="7ED0D530">
            <w:pPr>
              <w:widowControl/>
              <w:suppressAutoHyphens/>
              <w:rPr>
                <w:rFonts w:ascii="宋体" w:hAnsi="宋体" w:cs="宋体"/>
                <w:sz w:val="24"/>
              </w:rPr>
            </w:pPr>
            <w:r>
              <w:rPr>
                <w:rFonts w:hint="eastAsia" w:ascii="宋体" w:hAnsi="宋体" w:cs="宋体"/>
                <w:sz w:val="24"/>
              </w:rPr>
              <w:t>为系统提供数据加解密服务</w:t>
            </w:r>
          </w:p>
        </w:tc>
        <w:tc>
          <w:tcPr>
            <w:tcW w:w="813" w:type="dxa"/>
            <w:shd w:val="clear" w:color="000000" w:fill="FFFFFF"/>
            <w:noWrap w:val="0"/>
            <w:vAlign w:val="top"/>
          </w:tcPr>
          <w:p w14:paraId="56B57BC2">
            <w:pPr>
              <w:widowControl/>
              <w:suppressAutoHyphens/>
              <w:jc w:val="center"/>
              <w:rPr>
                <w:rFonts w:ascii="宋体" w:hAnsi="宋体" w:cs="宋体"/>
                <w:sz w:val="24"/>
              </w:rPr>
            </w:pPr>
            <w:r>
              <w:rPr>
                <w:rFonts w:hint="eastAsia" w:ascii="宋体" w:hAnsi="宋体" w:cs="宋体"/>
                <w:sz w:val="24"/>
              </w:rPr>
              <w:t>1项</w:t>
            </w:r>
          </w:p>
        </w:tc>
        <w:tc>
          <w:tcPr>
            <w:tcW w:w="826" w:type="dxa"/>
            <w:shd w:val="clear" w:color="000000" w:fill="FFFFFF"/>
            <w:noWrap w:val="0"/>
            <w:vAlign w:val="top"/>
          </w:tcPr>
          <w:p w14:paraId="4C297B57">
            <w:pPr>
              <w:widowControl/>
              <w:suppressAutoHyphens/>
              <w:jc w:val="center"/>
              <w:rPr>
                <w:rFonts w:ascii="宋体" w:hAnsi="宋体" w:cs="宋体"/>
                <w:sz w:val="24"/>
              </w:rPr>
            </w:pPr>
            <w:r>
              <w:rPr>
                <w:rFonts w:hint="eastAsia" w:ascii="宋体" w:hAnsi="宋体" w:cs="宋体"/>
                <w:color w:val="000000"/>
                <w:sz w:val="24"/>
                <w:lang w:bidi="ar"/>
              </w:rPr>
              <w:t>元/月</w:t>
            </w:r>
          </w:p>
        </w:tc>
        <w:tc>
          <w:tcPr>
            <w:tcW w:w="915" w:type="dxa"/>
            <w:shd w:val="clear" w:color="000000" w:fill="FFFFFF"/>
            <w:noWrap w:val="0"/>
            <w:vAlign w:val="top"/>
          </w:tcPr>
          <w:p w14:paraId="0AD9B204">
            <w:pPr>
              <w:widowControl/>
              <w:suppressAutoHyphens/>
              <w:rPr>
                <w:rFonts w:ascii="宋体" w:hAnsi="宋体" w:cs="宋体"/>
                <w:sz w:val="24"/>
              </w:rPr>
            </w:pPr>
            <w:r>
              <w:rPr>
                <w:rFonts w:hint="eastAsia" w:ascii="宋体" w:hAnsi="宋体" w:cs="宋体"/>
                <w:sz w:val="24"/>
              </w:rPr>
              <w:t>1</w:t>
            </w:r>
          </w:p>
        </w:tc>
        <w:tc>
          <w:tcPr>
            <w:tcW w:w="870" w:type="dxa"/>
            <w:shd w:val="clear" w:color="000000" w:fill="FFFFFF"/>
            <w:noWrap w:val="0"/>
            <w:vAlign w:val="top"/>
          </w:tcPr>
          <w:p w14:paraId="42987EFF">
            <w:pPr>
              <w:widowControl/>
              <w:suppressAutoHyphens/>
              <w:rPr>
                <w:rFonts w:ascii="宋体" w:hAnsi="宋体" w:cs="宋体"/>
                <w:sz w:val="24"/>
              </w:rPr>
            </w:pPr>
            <w:r>
              <w:rPr>
                <w:rFonts w:ascii="宋体" w:hAnsi="宋体" w:cs="宋体"/>
                <w:color w:val="000000"/>
                <w:sz w:val="24"/>
              </w:rPr>
              <w:t>12</w:t>
            </w:r>
            <w:r>
              <w:rPr>
                <w:rFonts w:hint="eastAsia" w:ascii="宋体" w:hAnsi="宋体" w:cs="宋体"/>
                <w:color w:val="000000"/>
                <w:sz w:val="24"/>
              </w:rPr>
              <w:t>个月</w:t>
            </w:r>
          </w:p>
        </w:tc>
      </w:tr>
      <w:tr w14:paraId="0C2B2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575" w:type="dxa"/>
            <w:vMerge w:val="continue"/>
            <w:shd w:val="clear" w:color="auto" w:fill="auto"/>
            <w:noWrap w:val="0"/>
            <w:vAlign w:val="center"/>
          </w:tcPr>
          <w:p w14:paraId="1E2C5E2C">
            <w:pPr>
              <w:widowControl/>
              <w:suppressAutoHyphens/>
              <w:jc w:val="center"/>
              <w:rPr>
                <w:rFonts w:ascii="宋体" w:hAnsi="宋体" w:cs="宋体"/>
                <w:sz w:val="24"/>
              </w:rPr>
            </w:pPr>
          </w:p>
        </w:tc>
        <w:tc>
          <w:tcPr>
            <w:tcW w:w="1211" w:type="dxa"/>
            <w:shd w:val="clear" w:color="000000" w:fill="FFFFFF"/>
            <w:noWrap w:val="0"/>
            <w:vAlign w:val="top"/>
          </w:tcPr>
          <w:p w14:paraId="52D419BB">
            <w:pPr>
              <w:widowControl/>
              <w:suppressAutoHyphens/>
              <w:jc w:val="center"/>
              <w:rPr>
                <w:rFonts w:ascii="宋体" w:hAnsi="宋体" w:cs="宋体"/>
                <w:sz w:val="24"/>
              </w:rPr>
            </w:pPr>
            <w:r>
              <w:rPr>
                <w:rFonts w:hint="eastAsia" w:ascii="宋体" w:hAnsi="宋体" w:cs="宋体"/>
                <w:sz w:val="24"/>
              </w:rPr>
              <w:t>时间戳服务</w:t>
            </w:r>
          </w:p>
        </w:tc>
        <w:tc>
          <w:tcPr>
            <w:tcW w:w="3501" w:type="dxa"/>
            <w:shd w:val="clear" w:color="000000" w:fill="FFFFFF"/>
            <w:noWrap w:val="0"/>
            <w:vAlign w:val="top"/>
          </w:tcPr>
          <w:p w14:paraId="196E3E64">
            <w:pPr>
              <w:widowControl/>
              <w:suppressAutoHyphens/>
              <w:rPr>
                <w:rFonts w:ascii="宋体" w:hAnsi="宋体" w:cs="宋体"/>
                <w:sz w:val="24"/>
              </w:rPr>
            </w:pPr>
            <w:r>
              <w:rPr>
                <w:rFonts w:hint="eastAsia" w:ascii="宋体" w:hAnsi="宋体" w:cs="宋体"/>
                <w:sz w:val="24"/>
              </w:rPr>
              <w:t>为应用系统提供安全、可信的时间戳服务</w:t>
            </w:r>
          </w:p>
        </w:tc>
        <w:tc>
          <w:tcPr>
            <w:tcW w:w="813" w:type="dxa"/>
            <w:shd w:val="clear" w:color="000000" w:fill="FFFFFF"/>
            <w:noWrap w:val="0"/>
            <w:vAlign w:val="top"/>
          </w:tcPr>
          <w:p w14:paraId="0564D2B6">
            <w:pPr>
              <w:widowControl/>
              <w:suppressAutoHyphens/>
              <w:jc w:val="center"/>
              <w:rPr>
                <w:rFonts w:ascii="宋体" w:hAnsi="宋体" w:cs="宋体"/>
                <w:sz w:val="24"/>
              </w:rPr>
            </w:pPr>
            <w:r>
              <w:rPr>
                <w:rFonts w:hint="eastAsia" w:ascii="宋体" w:hAnsi="宋体" w:cs="宋体"/>
                <w:sz w:val="24"/>
              </w:rPr>
              <w:t>1项</w:t>
            </w:r>
          </w:p>
        </w:tc>
        <w:tc>
          <w:tcPr>
            <w:tcW w:w="826" w:type="dxa"/>
            <w:shd w:val="clear" w:color="000000" w:fill="FFFFFF"/>
            <w:noWrap w:val="0"/>
            <w:vAlign w:val="top"/>
          </w:tcPr>
          <w:p w14:paraId="341140B0">
            <w:pPr>
              <w:widowControl/>
              <w:suppressAutoHyphens/>
              <w:jc w:val="center"/>
              <w:rPr>
                <w:rFonts w:ascii="宋体" w:hAnsi="宋体" w:cs="宋体"/>
                <w:color w:val="000000"/>
                <w:sz w:val="24"/>
                <w:lang w:bidi="ar"/>
              </w:rPr>
            </w:pPr>
            <w:r>
              <w:rPr>
                <w:rFonts w:hint="eastAsia" w:ascii="宋体" w:hAnsi="宋体" w:cs="宋体"/>
                <w:color w:val="000000"/>
                <w:sz w:val="24"/>
                <w:lang w:bidi="ar"/>
              </w:rPr>
              <w:t>元/月</w:t>
            </w:r>
          </w:p>
        </w:tc>
        <w:tc>
          <w:tcPr>
            <w:tcW w:w="915" w:type="dxa"/>
            <w:shd w:val="clear" w:color="000000" w:fill="FFFFFF"/>
            <w:noWrap w:val="0"/>
            <w:vAlign w:val="top"/>
          </w:tcPr>
          <w:p w14:paraId="692415C5">
            <w:pPr>
              <w:widowControl/>
              <w:suppressAutoHyphens/>
              <w:rPr>
                <w:rFonts w:ascii="宋体" w:hAnsi="宋体" w:cs="宋体"/>
                <w:sz w:val="24"/>
              </w:rPr>
            </w:pPr>
            <w:r>
              <w:rPr>
                <w:rFonts w:hint="eastAsia" w:ascii="宋体" w:hAnsi="宋体" w:cs="宋体"/>
                <w:sz w:val="24"/>
              </w:rPr>
              <w:t>1</w:t>
            </w:r>
          </w:p>
        </w:tc>
        <w:tc>
          <w:tcPr>
            <w:tcW w:w="870" w:type="dxa"/>
            <w:shd w:val="clear" w:color="000000" w:fill="FFFFFF"/>
            <w:noWrap w:val="0"/>
            <w:vAlign w:val="top"/>
          </w:tcPr>
          <w:p w14:paraId="19063CB6">
            <w:pPr>
              <w:widowControl/>
              <w:suppressAutoHyphens/>
              <w:rPr>
                <w:rFonts w:ascii="宋体" w:hAnsi="宋体" w:cs="宋体"/>
                <w:sz w:val="24"/>
              </w:rPr>
            </w:pPr>
            <w:r>
              <w:rPr>
                <w:rFonts w:ascii="宋体" w:hAnsi="宋体" w:cs="宋体"/>
                <w:color w:val="000000"/>
                <w:sz w:val="24"/>
              </w:rPr>
              <w:t>12</w:t>
            </w:r>
            <w:r>
              <w:rPr>
                <w:rFonts w:hint="eastAsia" w:ascii="宋体" w:hAnsi="宋体" w:cs="宋体"/>
                <w:color w:val="000000"/>
                <w:sz w:val="24"/>
              </w:rPr>
              <w:t>个月</w:t>
            </w:r>
          </w:p>
        </w:tc>
      </w:tr>
      <w:tr w14:paraId="7D03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5" w:type="dxa"/>
            <w:vMerge w:val="continue"/>
            <w:shd w:val="clear" w:color="auto" w:fill="auto"/>
            <w:noWrap w:val="0"/>
            <w:vAlign w:val="center"/>
          </w:tcPr>
          <w:p w14:paraId="19C366F6">
            <w:pPr>
              <w:widowControl/>
              <w:suppressAutoHyphens/>
              <w:jc w:val="center"/>
              <w:rPr>
                <w:rFonts w:ascii="宋体" w:hAnsi="宋体" w:cs="宋体"/>
                <w:sz w:val="24"/>
              </w:rPr>
            </w:pPr>
          </w:p>
        </w:tc>
        <w:tc>
          <w:tcPr>
            <w:tcW w:w="1211" w:type="dxa"/>
            <w:shd w:val="clear" w:color="000000" w:fill="FFFFFF"/>
            <w:noWrap w:val="0"/>
            <w:vAlign w:val="center"/>
          </w:tcPr>
          <w:p w14:paraId="243F3A73">
            <w:pPr>
              <w:widowControl/>
              <w:suppressAutoHyphens/>
              <w:jc w:val="center"/>
              <w:rPr>
                <w:rFonts w:ascii="宋体" w:hAnsi="宋体" w:cs="宋体"/>
                <w:sz w:val="24"/>
              </w:rPr>
            </w:pPr>
            <w:r>
              <w:rPr>
                <w:rFonts w:hint="eastAsia" w:ascii="宋体" w:hAnsi="宋体" w:cs="宋体"/>
                <w:sz w:val="24"/>
              </w:rPr>
              <w:t>SSL安全服务（国密）</w:t>
            </w:r>
          </w:p>
        </w:tc>
        <w:tc>
          <w:tcPr>
            <w:tcW w:w="3501" w:type="dxa"/>
            <w:shd w:val="clear" w:color="000000" w:fill="FFFFFF"/>
            <w:noWrap w:val="0"/>
            <w:vAlign w:val="center"/>
          </w:tcPr>
          <w:p w14:paraId="0D1A500B">
            <w:pPr>
              <w:widowControl/>
              <w:suppressAutoHyphens/>
              <w:rPr>
                <w:rFonts w:ascii="宋体" w:hAnsi="宋体" w:cs="宋体"/>
                <w:sz w:val="24"/>
              </w:rPr>
            </w:pPr>
            <w:r>
              <w:rPr>
                <w:rFonts w:hint="eastAsia" w:ascii="宋体" w:hAnsi="宋体" w:cs="宋体"/>
                <w:sz w:val="24"/>
              </w:rPr>
              <w:t>提供基于SM2/3/4算法的SSL通信信道安全服务</w:t>
            </w:r>
          </w:p>
        </w:tc>
        <w:tc>
          <w:tcPr>
            <w:tcW w:w="813" w:type="dxa"/>
            <w:shd w:val="clear" w:color="000000" w:fill="FFFFFF"/>
            <w:noWrap w:val="0"/>
            <w:vAlign w:val="center"/>
          </w:tcPr>
          <w:p w14:paraId="7F48B54E">
            <w:pPr>
              <w:widowControl/>
              <w:suppressAutoHyphens/>
              <w:jc w:val="center"/>
              <w:rPr>
                <w:rFonts w:ascii="宋体" w:hAnsi="宋体" w:cs="宋体"/>
                <w:sz w:val="24"/>
              </w:rPr>
            </w:pPr>
            <w:r>
              <w:rPr>
                <w:rFonts w:hint="eastAsia" w:ascii="宋体" w:hAnsi="宋体" w:cs="宋体"/>
                <w:sz w:val="24"/>
              </w:rPr>
              <w:t>1项</w:t>
            </w:r>
          </w:p>
        </w:tc>
        <w:tc>
          <w:tcPr>
            <w:tcW w:w="826" w:type="dxa"/>
            <w:shd w:val="clear" w:color="000000" w:fill="FFFFFF"/>
            <w:noWrap w:val="0"/>
            <w:vAlign w:val="center"/>
          </w:tcPr>
          <w:p w14:paraId="03FBF257">
            <w:pPr>
              <w:widowControl/>
              <w:suppressAutoHyphens/>
              <w:jc w:val="center"/>
              <w:rPr>
                <w:rFonts w:ascii="宋体" w:hAnsi="宋体" w:cs="宋体"/>
                <w:sz w:val="24"/>
              </w:rPr>
            </w:pPr>
            <w:r>
              <w:rPr>
                <w:rFonts w:hint="eastAsia" w:ascii="宋体" w:hAnsi="宋体" w:cs="宋体"/>
                <w:color w:val="000000"/>
                <w:sz w:val="24"/>
                <w:lang w:bidi="ar"/>
              </w:rPr>
              <w:t>元/月</w:t>
            </w:r>
          </w:p>
        </w:tc>
        <w:tc>
          <w:tcPr>
            <w:tcW w:w="915" w:type="dxa"/>
            <w:shd w:val="clear" w:color="000000" w:fill="FFFFFF"/>
            <w:noWrap w:val="0"/>
            <w:vAlign w:val="center"/>
          </w:tcPr>
          <w:p w14:paraId="7945C2C2">
            <w:pPr>
              <w:widowControl/>
              <w:suppressAutoHyphens/>
              <w:rPr>
                <w:rFonts w:ascii="宋体" w:hAnsi="宋体" w:cs="宋体"/>
                <w:sz w:val="24"/>
              </w:rPr>
            </w:pPr>
            <w:r>
              <w:rPr>
                <w:rFonts w:hint="eastAsia" w:ascii="宋体" w:hAnsi="宋体" w:cs="宋体"/>
                <w:sz w:val="24"/>
              </w:rPr>
              <w:t>1</w:t>
            </w:r>
          </w:p>
        </w:tc>
        <w:tc>
          <w:tcPr>
            <w:tcW w:w="870" w:type="dxa"/>
            <w:shd w:val="clear" w:color="000000" w:fill="FFFFFF"/>
            <w:noWrap w:val="0"/>
            <w:vAlign w:val="center"/>
          </w:tcPr>
          <w:p w14:paraId="3366072F">
            <w:pPr>
              <w:widowControl/>
              <w:suppressAutoHyphens/>
              <w:rPr>
                <w:rFonts w:ascii="宋体" w:hAnsi="宋体" w:cs="宋体"/>
                <w:sz w:val="24"/>
              </w:rPr>
            </w:pPr>
            <w:r>
              <w:rPr>
                <w:rFonts w:ascii="宋体" w:hAnsi="宋体" w:cs="宋体"/>
                <w:color w:val="000000"/>
                <w:sz w:val="24"/>
              </w:rPr>
              <w:t>12</w:t>
            </w:r>
            <w:r>
              <w:rPr>
                <w:rFonts w:hint="eastAsia" w:ascii="宋体" w:hAnsi="宋体" w:cs="宋体"/>
                <w:color w:val="000000"/>
                <w:sz w:val="24"/>
              </w:rPr>
              <w:t>个月</w:t>
            </w:r>
          </w:p>
        </w:tc>
      </w:tr>
    </w:tbl>
    <w:p w14:paraId="04BECA5B">
      <w:pPr>
        <w:keepNext/>
        <w:keepLines/>
        <w:numPr>
          <w:ilvl w:val="0"/>
          <w:numId w:val="1"/>
        </w:numPr>
        <w:suppressAutoHyphens/>
        <w:spacing w:before="260" w:after="220"/>
        <w:outlineLvl w:val="0"/>
        <w:rPr>
          <w:rFonts w:ascii="黑体" w:hAnsi="黑体" w:eastAsia="黑体" w:cs="黑体"/>
          <w:b/>
          <w:kern w:val="44"/>
          <w:sz w:val="24"/>
        </w:rPr>
      </w:pPr>
      <w:bookmarkStart w:id="12" w:name="_Toc12042"/>
      <w:r>
        <w:rPr>
          <w:rFonts w:hint="eastAsia" w:ascii="黑体" w:hAnsi="黑体" w:eastAsia="黑体" w:cs="黑体"/>
          <w:b/>
          <w:kern w:val="44"/>
          <w:sz w:val="24"/>
        </w:rPr>
        <w:t>采购目标</w:t>
      </w:r>
      <w:bookmarkEnd w:id="12"/>
    </w:p>
    <w:p w14:paraId="24C7B460">
      <w:pPr>
        <w:suppressAutoHyphens/>
        <w:snapToGrid w:val="0"/>
        <w:spacing w:line="360" w:lineRule="auto"/>
        <w:ind w:firstLine="480" w:firstLineChars="200"/>
        <w:rPr>
          <w:rFonts w:ascii="宋体" w:hAnsi="宋体" w:cs="宋体"/>
          <w:bCs/>
          <w:sz w:val="24"/>
        </w:rPr>
      </w:pPr>
      <w:r>
        <w:rPr>
          <w:rFonts w:hint="eastAsia" w:ascii="宋体" w:hAnsi="宋体" w:cs="宋体"/>
          <w:bCs/>
          <w:sz w:val="24"/>
        </w:rPr>
        <w:t>本项目的总体目标是通过租用政务云平台基础服务，对总队信息化的运行环境进行持续支撑，提供可靠、稳定、安全的政务云基础服务，具体包括：</w:t>
      </w:r>
    </w:p>
    <w:p w14:paraId="0B9C5815">
      <w:pPr>
        <w:numPr>
          <w:ilvl w:val="0"/>
          <w:numId w:val="5"/>
        </w:numPr>
        <w:suppressAutoHyphens/>
        <w:snapToGrid w:val="0"/>
        <w:spacing w:line="360" w:lineRule="auto"/>
        <w:ind w:firstLine="480" w:firstLineChars="200"/>
        <w:rPr>
          <w:rFonts w:ascii="宋体" w:hAnsi="宋体" w:cs="宋体"/>
          <w:bCs/>
          <w:sz w:val="24"/>
        </w:rPr>
      </w:pPr>
      <w:r>
        <w:rPr>
          <w:rFonts w:hint="eastAsia" w:ascii="宋体" w:hAnsi="宋体" w:cs="宋体"/>
          <w:bCs/>
          <w:sz w:val="24"/>
        </w:rPr>
        <w:t>提供政务云基础服务，包括</w:t>
      </w:r>
      <w:r>
        <w:rPr>
          <w:rFonts w:hint="eastAsia" w:ascii="宋体" w:hAnsi="宋体" w:cs="宋体"/>
          <w:sz w:val="24"/>
        </w:rPr>
        <w:t>计算服务、存储服务和网络服务等基础环境日常维护、应急响应等工作。</w:t>
      </w:r>
    </w:p>
    <w:p w14:paraId="7F05F37A">
      <w:pPr>
        <w:numPr>
          <w:ilvl w:val="0"/>
          <w:numId w:val="5"/>
        </w:numPr>
        <w:suppressAutoHyphens/>
        <w:snapToGrid w:val="0"/>
        <w:spacing w:line="360" w:lineRule="auto"/>
        <w:ind w:firstLine="480" w:firstLineChars="200"/>
        <w:rPr>
          <w:rFonts w:ascii="宋体" w:hAnsi="宋体" w:cs="宋体"/>
          <w:sz w:val="24"/>
        </w:rPr>
      </w:pPr>
      <w:r>
        <w:rPr>
          <w:rFonts w:hint="eastAsia" w:ascii="宋体" w:hAnsi="宋体" w:cs="宋体"/>
          <w:bCs/>
          <w:sz w:val="24"/>
        </w:rPr>
        <w:t>提供7*24运维保障，</w:t>
      </w:r>
      <w:r>
        <w:rPr>
          <w:rFonts w:hint="eastAsia" w:ascii="宋体" w:hAnsi="宋体" w:cs="宋体"/>
          <w:sz w:val="24"/>
        </w:rPr>
        <w:t>做好重大活动和节假日应急值守保障服务，确保各系统在政务云环境中可靠稳定运行。</w:t>
      </w:r>
    </w:p>
    <w:p w14:paraId="29D68B8B">
      <w:pPr>
        <w:numPr>
          <w:ilvl w:val="0"/>
          <w:numId w:val="5"/>
        </w:numPr>
        <w:suppressAutoHyphens/>
        <w:snapToGrid w:val="0"/>
        <w:spacing w:line="360" w:lineRule="auto"/>
        <w:ind w:firstLine="480" w:firstLineChars="200"/>
        <w:rPr>
          <w:rFonts w:ascii="宋体" w:hAnsi="宋体" w:cs="宋体"/>
          <w:sz w:val="24"/>
        </w:rPr>
      </w:pPr>
      <w:r>
        <w:rPr>
          <w:rFonts w:hint="eastAsia" w:ascii="宋体" w:hAnsi="宋体" w:cs="宋体"/>
          <w:sz w:val="24"/>
        </w:rPr>
        <w:t>服务期内，投标人须完成信息系统的日常运维和安全运维服务工作（包括但不限于：云平台服务、日常技术支持、系统日常维护、服务规范、安全及保密要求、响应的及时性），确保入云系统安全、稳定的运行。</w:t>
      </w:r>
    </w:p>
    <w:p w14:paraId="4FF8C5FE">
      <w:pPr>
        <w:keepNext/>
        <w:keepLines/>
        <w:numPr>
          <w:ilvl w:val="0"/>
          <w:numId w:val="1"/>
        </w:numPr>
        <w:suppressAutoHyphens/>
        <w:spacing w:before="260" w:after="220"/>
        <w:outlineLvl w:val="0"/>
        <w:rPr>
          <w:rFonts w:ascii="黑体" w:hAnsi="黑体" w:eastAsia="黑体" w:cs="黑体"/>
          <w:b/>
          <w:kern w:val="44"/>
          <w:sz w:val="24"/>
        </w:rPr>
      </w:pPr>
      <w:bookmarkStart w:id="13" w:name="_Toc24198"/>
      <w:r>
        <w:rPr>
          <w:rFonts w:hint="eastAsia" w:ascii="黑体" w:hAnsi="黑体" w:eastAsia="黑体" w:cs="黑体"/>
          <w:b/>
          <w:kern w:val="44"/>
          <w:sz w:val="24"/>
        </w:rPr>
        <w:t>服务内容与服务标准</w:t>
      </w:r>
      <w:bookmarkEnd w:id="13"/>
    </w:p>
    <w:p w14:paraId="71129BB4">
      <w:pPr>
        <w:keepNext/>
        <w:keepLines/>
        <w:suppressAutoHyphens/>
        <w:spacing w:before="260" w:after="200"/>
        <w:ind w:left="210" w:leftChars="100"/>
        <w:outlineLvl w:val="1"/>
        <w:rPr>
          <w:rFonts w:ascii="楷体" w:hAnsi="楷体" w:eastAsia="楷体" w:cs="楷体"/>
          <w:b/>
          <w:sz w:val="24"/>
        </w:rPr>
      </w:pPr>
      <w:bookmarkStart w:id="14" w:name="_Toc14505"/>
      <w:r>
        <w:rPr>
          <w:rFonts w:hint="eastAsia" w:ascii="楷体" w:hAnsi="楷体" w:eastAsia="楷体" w:cs="楷体"/>
          <w:b/>
          <w:sz w:val="24"/>
        </w:rPr>
        <w:t>（一）云主机服务</w:t>
      </w:r>
      <w:bookmarkEnd w:id="14"/>
    </w:p>
    <w:p w14:paraId="239AF176">
      <w:pPr>
        <w:suppressAutoHyphens/>
        <w:ind w:firstLine="482" w:firstLineChars="200"/>
        <w:rPr>
          <w:rFonts w:ascii="宋体" w:hAnsi="宋体" w:cs="宋体"/>
          <w:b/>
          <w:bCs/>
          <w:sz w:val="24"/>
        </w:rPr>
      </w:pPr>
      <w:r>
        <w:rPr>
          <w:rFonts w:hint="eastAsia" w:ascii="宋体" w:hAnsi="宋体" w:cs="宋体"/>
          <w:b/>
          <w:bCs/>
          <w:sz w:val="24"/>
        </w:rPr>
        <w:t>1.1服务内容</w:t>
      </w:r>
    </w:p>
    <w:p w14:paraId="7A125410">
      <w:pPr>
        <w:suppressAutoHyphens/>
        <w:snapToGrid w:val="0"/>
        <w:spacing w:line="360" w:lineRule="auto"/>
        <w:ind w:firstLine="480" w:firstLineChars="200"/>
        <w:rPr>
          <w:rFonts w:ascii="宋体" w:hAnsi="宋体" w:cs="宋体"/>
          <w:bCs/>
          <w:sz w:val="24"/>
        </w:rPr>
      </w:pPr>
      <w:r>
        <w:rPr>
          <w:rFonts w:hint="eastAsia" w:ascii="宋体" w:hAnsi="宋体" w:cs="宋体"/>
          <w:bCs/>
          <w:sz w:val="24"/>
        </w:rPr>
        <w:t>按照采购人的具体需求，提供x86云主机服务，包括：</w:t>
      </w:r>
      <w:r>
        <w:rPr>
          <w:rFonts w:ascii="宋体" w:hAnsi="宋体" w:cs="宋体"/>
          <w:bCs/>
          <w:sz w:val="24"/>
        </w:rPr>
        <w:t>768</w:t>
      </w:r>
      <w:r>
        <w:rPr>
          <w:rFonts w:hint="eastAsia" w:ascii="宋体" w:hAnsi="宋体" w:cs="宋体"/>
          <w:bCs/>
          <w:sz w:val="24"/>
        </w:rPr>
        <w:t>核v</w:t>
      </w:r>
      <w:r>
        <w:rPr>
          <w:rFonts w:ascii="宋体" w:hAnsi="宋体" w:cs="宋体"/>
          <w:bCs/>
          <w:sz w:val="24"/>
        </w:rPr>
        <w:t>CPU</w:t>
      </w:r>
      <w:r>
        <w:rPr>
          <w:rFonts w:hint="eastAsia" w:ascii="宋体" w:hAnsi="宋体" w:cs="宋体"/>
          <w:bCs/>
          <w:sz w:val="24"/>
        </w:rPr>
        <w:t>和1888GB内存，按需求对CPU及内存进行动态调整，实现合理的计算资源配置。在提供政务云主机的服务过程中做好与采购人和对应项目应用开发厂商的协调沟通工作。</w:t>
      </w:r>
    </w:p>
    <w:p w14:paraId="4669359A">
      <w:pPr>
        <w:suppressAutoHyphens/>
        <w:ind w:firstLine="482" w:firstLineChars="200"/>
        <w:rPr>
          <w:rFonts w:ascii="宋体" w:hAnsi="宋体" w:cs="宋体"/>
          <w:b/>
          <w:bCs/>
          <w:sz w:val="24"/>
        </w:rPr>
      </w:pPr>
      <w:r>
        <w:rPr>
          <w:rFonts w:hint="eastAsia" w:ascii="宋体" w:hAnsi="宋体" w:cs="宋体"/>
          <w:b/>
          <w:bCs/>
          <w:sz w:val="24"/>
        </w:rPr>
        <w:t>1.2服务标准</w:t>
      </w:r>
    </w:p>
    <w:p w14:paraId="2B98246D">
      <w:pPr>
        <w:suppressAutoHyphens/>
        <w:snapToGrid w:val="0"/>
        <w:spacing w:line="360" w:lineRule="auto"/>
        <w:ind w:firstLine="480" w:firstLineChars="200"/>
        <w:rPr>
          <w:rFonts w:ascii="宋体" w:hAnsi="宋体" w:cs="宋体"/>
          <w:sz w:val="24"/>
        </w:rPr>
      </w:pPr>
      <w:r>
        <w:rPr>
          <w:rFonts w:hint="eastAsia" w:ascii="宋体" w:hAnsi="宋体" w:cs="宋体"/>
          <w:sz w:val="24"/>
        </w:rPr>
        <w:t>1.2.1云主机服务应按内存不复用方式分配资源，要求CPU主频≥2.4GHz,CPU核数可选范围1-16核，内存可选范围1-64G；</w:t>
      </w:r>
    </w:p>
    <w:p w14:paraId="6B4EC875">
      <w:pPr>
        <w:suppressAutoHyphens/>
        <w:snapToGrid w:val="0"/>
        <w:spacing w:line="360" w:lineRule="auto"/>
        <w:ind w:firstLine="480" w:firstLineChars="200"/>
        <w:rPr>
          <w:rFonts w:ascii="宋体" w:hAnsi="宋体" w:cs="宋体"/>
          <w:sz w:val="24"/>
        </w:rPr>
      </w:pPr>
      <w:r>
        <w:rPr>
          <w:rFonts w:hint="eastAsia" w:ascii="宋体" w:hAnsi="宋体" w:cs="宋体"/>
          <w:sz w:val="24"/>
        </w:rPr>
        <w:t>1.2.2云主机应支持主流操作系统，如windows server系列、Linux发行版、国产Linux等，需正版授权；</w:t>
      </w:r>
    </w:p>
    <w:p w14:paraId="036917D1">
      <w:pPr>
        <w:suppressAutoHyphens/>
        <w:snapToGrid w:val="0"/>
        <w:spacing w:line="360" w:lineRule="auto"/>
        <w:ind w:firstLine="480" w:firstLineChars="200"/>
        <w:rPr>
          <w:rFonts w:ascii="宋体" w:hAnsi="宋体" w:cs="宋体"/>
          <w:sz w:val="24"/>
        </w:rPr>
      </w:pPr>
      <w:r>
        <w:rPr>
          <w:rFonts w:hint="eastAsia" w:ascii="宋体" w:hAnsi="宋体" w:cs="宋体"/>
          <w:sz w:val="24"/>
        </w:rPr>
        <w:t>1.2.3 应具备扩展性，用户可以灵活调整云主机CPU、内存、硬盘规格；</w:t>
      </w:r>
    </w:p>
    <w:p w14:paraId="056F47FF">
      <w:pPr>
        <w:suppressAutoHyphens/>
        <w:snapToGrid w:val="0"/>
        <w:spacing w:line="360" w:lineRule="auto"/>
        <w:ind w:firstLine="480" w:firstLineChars="200"/>
        <w:rPr>
          <w:rFonts w:ascii="宋体" w:hAnsi="宋体" w:cs="宋体"/>
          <w:sz w:val="24"/>
        </w:rPr>
      </w:pPr>
      <w:r>
        <w:rPr>
          <w:rFonts w:hint="eastAsia" w:ascii="宋体" w:hAnsi="宋体" w:cs="宋体"/>
          <w:sz w:val="24"/>
        </w:rPr>
        <w:t>1.2.4对不同用户的虚拟主机提供安全组和VLAN级别的隔离，确保不同用户之间数据互不可见；云主机之间可以做到隔离保护，其中每一个云主机发生故障都不会影响同一个物理机上的其它云主机运行，每个云主机上的用户权限只限于本云主机之内，以保障系统平台的安全性；</w:t>
      </w:r>
    </w:p>
    <w:p w14:paraId="467A9243">
      <w:pPr>
        <w:suppressAutoHyphens/>
        <w:snapToGrid w:val="0"/>
        <w:spacing w:line="360" w:lineRule="auto"/>
        <w:ind w:firstLine="480" w:firstLineChars="200"/>
        <w:rPr>
          <w:rFonts w:ascii="宋体" w:hAnsi="宋体" w:cs="宋体"/>
          <w:sz w:val="24"/>
        </w:rPr>
      </w:pPr>
      <w:r>
        <w:rPr>
          <w:rFonts w:hint="eastAsia" w:ascii="宋体" w:hAnsi="宋体" w:cs="宋体"/>
          <w:sz w:val="24"/>
        </w:rPr>
        <w:t>1.2.5 用户对云主机有完全的控制权，具有管理员权限，使用方式与传统物理主机完全一致；</w:t>
      </w:r>
    </w:p>
    <w:p w14:paraId="0C8E5E36">
      <w:pPr>
        <w:suppressAutoHyphens/>
        <w:snapToGrid w:val="0"/>
        <w:spacing w:line="360" w:lineRule="auto"/>
        <w:ind w:firstLine="480" w:firstLineChars="200"/>
        <w:rPr>
          <w:rFonts w:ascii="宋体" w:hAnsi="宋体" w:cs="宋体"/>
          <w:sz w:val="24"/>
        </w:rPr>
      </w:pPr>
      <w:r>
        <w:rPr>
          <w:rFonts w:hint="eastAsia" w:ascii="宋体" w:hAnsi="宋体" w:cs="宋体"/>
          <w:sz w:val="24"/>
        </w:rPr>
        <w:t>1.2.6 虚拟化管理节点须支持双机热备，虚拟化管理系统支持虚拟机的HA功能，硬件设备出现故障时，云主机会自动进行HA切换；</w:t>
      </w:r>
    </w:p>
    <w:p w14:paraId="7FD952F6">
      <w:pPr>
        <w:suppressAutoHyphens/>
        <w:snapToGrid w:val="0"/>
        <w:spacing w:line="360" w:lineRule="auto"/>
        <w:ind w:firstLine="480" w:firstLineChars="200"/>
        <w:rPr>
          <w:rFonts w:ascii="宋体" w:hAnsi="宋体" w:cs="宋体"/>
          <w:sz w:val="24"/>
        </w:rPr>
      </w:pPr>
      <w:r>
        <w:rPr>
          <w:rFonts w:hint="eastAsia" w:ascii="宋体" w:hAnsi="宋体" w:cs="宋体"/>
          <w:sz w:val="24"/>
        </w:rPr>
        <w:t>1.2.7支持云主机备份功能，可以实现云主机的全量备份、增量备份，支持备份周期、备份策略的设定；</w:t>
      </w:r>
    </w:p>
    <w:p w14:paraId="70985814">
      <w:pPr>
        <w:suppressAutoHyphens/>
        <w:snapToGrid w:val="0"/>
        <w:spacing w:line="360" w:lineRule="auto"/>
        <w:ind w:firstLine="480" w:firstLineChars="200"/>
        <w:rPr>
          <w:rFonts w:ascii="宋体" w:hAnsi="宋体" w:cs="宋体"/>
          <w:sz w:val="24"/>
        </w:rPr>
      </w:pPr>
      <w:r>
        <w:rPr>
          <w:rFonts w:hint="eastAsia" w:ascii="宋体" w:hAnsi="宋体" w:cs="宋体"/>
          <w:sz w:val="24"/>
        </w:rPr>
        <w:t>1.2.8支持通过云管理平台，实现申请部署与使用；</w:t>
      </w:r>
    </w:p>
    <w:p w14:paraId="51F4F7BF">
      <w:pPr>
        <w:suppressAutoHyphens/>
        <w:snapToGrid w:val="0"/>
        <w:spacing w:line="360" w:lineRule="auto"/>
        <w:ind w:firstLine="480" w:firstLineChars="200"/>
        <w:rPr>
          <w:rFonts w:ascii="宋体" w:hAnsi="宋体" w:cs="宋体"/>
          <w:sz w:val="24"/>
        </w:rPr>
      </w:pPr>
      <w:r>
        <w:rPr>
          <w:rFonts w:hint="eastAsia" w:ascii="宋体" w:hAnsi="宋体" w:cs="宋体"/>
          <w:sz w:val="24"/>
        </w:rPr>
        <w:t>1.2.9 提供防ARP欺骗、自定义防火墙功能，支持防</w:t>
      </w:r>
      <w:r>
        <w:rPr>
          <w:rFonts w:hint="eastAsia" w:ascii="宋体" w:hAnsi="宋体" w:cs="宋体"/>
          <w:sz w:val="24"/>
          <w:lang w:eastAsia="zh-CN"/>
        </w:rPr>
        <w:t>DDOS</w:t>
      </w:r>
      <w:r>
        <w:rPr>
          <w:rFonts w:hint="eastAsia" w:ascii="宋体" w:hAnsi="宋体" w:cs="宋体"/>
          <w:sz w:val="24"/>
        </w:rPr>
        <w:t>攻击；</w:t>
      </w:r>
    </w:p>
    <w:p w14:paraId="035F7A5E">
      <w:pPr>
        <w:suppressAutoHyphens/>
        <w:snapToGrid w:val="0"/>
        <w:spacing w:line="360" w:lineRule="auto"/>
        <w:ind w:firstLine="480" w:firstLineChars="200"/>
        <w:rPr>
          <w:rFonts w:ascii="宋体" w:hAnsi="宋体" w:cs="宋体"/>
          <w:sz w:val="24"/>
        </w:rPr>
      </w:pPr>
      <w:r>
        <w:rPr>
          <w:rFonts w:hint="eastAsia" w:ascii="宋体" w:hAnsi="宋体" w:cs="宋体"/>
          <w:sz w:val="24"/>
        </w:rPr>
        <w:t>1.2.10支持虚拟路由、虚拟交换机和弹性IP，用户可自定义虚拟主机的网络拓扑和IP地址；</w:t>
      </w:r>
    </w:p>
    <w:p w14:paraId="53F80F69">
      <w:pPr>
        <w:suppressAutoHyphens/>
        <w:snapToGrid w:val="0"/>
        <w:spacing w:line="360" w:lineRule="auto"/>
        <w:ind w:firstLine="480" w:firstLineChars="200"/>
        <w:rPr>
          <w:rFonts w:ascii="宋体" w:hAnsi="宋体" w:cs="宋体"/>
          <w:sz w:val="24"/>
        </w:rPr>
      </w:pPr>
      <w:r>
        <w:rPr>
          <w:rFonts w:hint="eastAsia" w:ascii="宋体" w:hAnsi="宋体" w:cs="宋体"/>
          <w:sz w:val="24"/>
        </w:rPr>
        <w:t>1.2.11创建虚拟主机时，可指定用户预先配置好的镜像文件作为模板。虚拟主机支持增量快照备份功能，提高备份效率，减小备份占用空间，并支持公共镜像、私有镜像以及共享镜像等多种方式；</w:t>
      </w:r>
    </w:p>
    <w:p w14:paraId="4A76AF24">
      <w:pPr>
        <w:suppressAutoHyphens/>
        <w:snapToGrid w:val="0"/>
        <w:spacing w:line="360" w:lineRule="auto"/>
        <w:ind w:firstLine="480" w:firstLineChars="200"/>
        <w:rPr>
          <w:rFonts w:ascii="宋体" w:hAnsi="宋体" w:cs="宋体"/>
          <w:sz w:val="24"/>
        </w:rPr>
      </w:pPr>
      <w:r>
        <w:rPr>
          <w:rFonts w:hint="eastAsia" w:ascii="宋体" w:hAnsi="宋体" w:cs="宋体"/>
          <w:sz w:val="24"/>
        </w:rPr>
        <w:t>1.2.12虚拟主机底层采用分布式块存储，每个虚拟主机的镜像存储达到多副本可靠性，数据可靠性不低于99.9999%；</w:t>
      </w:r>
    </w:p>
    <w:p w14:paraId="092E4D37">
      <w:pPr>
        <w:suppressAutoHyphens/>
        <w:snapToGrid w:val="0"/>
        <w:spacing w:line="360" w:lineRule="auto"/>
        <w:ind w:firstLine="480" w:firstLineChars="200"/>
        <w:rPr>
          <w:rFonts w:ascii="宋体" w:hAnsi="宋体" w:cs="宋体"/>
          <w:sz w:val="24"/>
        </w:rPr>
      </w:pPr>
      <w:r>
        <w:rPr>
          <w:rFonts w:hint="eastAsia" w:ascii="宋体" w:hAnsi="宋体" w:cs="宋体"/>
          <w:sz w:val="24"/>
        </w:rPr>
        <w:t>1.2.13虚拟主机服务采用全冗余架构，无单点故障，平均可用性不低于99.99%；</w:t>
      </w:r>
    </w:p>
    <w:p w14:paraId="25421865">
      <w:pPr>
        <w:suppressAutoHyphens/>
        <w:snapToGrid w:val="0"/>
        <w:spacing w:line="360" w:lineRule="auto"/>
        <w:ind w:firstLine="480" w:firstLineChars="200"/>
        <w:rPr>
          <w:rFonts w:ascii="宋体" w:hAnsi="宋体" w:cs="宋体"/>
          <w:sz w:val="24"/>
        </w:rPr>
      </w:pPr>
      <w:r>
        <w:rPr>
          <w:rFonts w:hint="eastAsia" w:ascii="宋体" w:hAnsi="宋体" w:cs="宋体"/>
          <w:sz w:val="24"/>
        </w:rPr>
        <w:t>1.2.14支持计算能力的垂直伸缩，支持对CPU和内存的升级与降级操作，支持增加、减少磁盘和带宽；支持计算能力的水平伸缩，通过与负载均衡配合实现水平伸缩。</w:t>
      </w:r>
    </w:p>
    <w:p w14:paraId="67BDBCB2">
      <w:pPr>
        <w:keepNext/>
        <w:keepLines/>
        <w:suppressAutoHyphens/>
        <w:spacing w:before="260" w:after="200"/>
        <w:ind w:left="210" w:leftChars="100"/>
        <w:outlineLvl w:val="1"/>
        <w:rPr>
          <w:rFonts w:ascii="楷体" w:hAnsi="楷体" w:eastAsia="楷体" w:cs="楷体"/>
          <w:b/>
          <w:sz w:val="24"/>
        </w:rPr>
      </w:pPr>
      <w:bookmarkStart w:id="15" w:name="_Toc31277"/>
      <w:r>
        <w:rPr>
          <w:rFonts w:hint="eastAsia" w:ascii="楷体" w:hAnsi="楷体" w:eastAsia="楷体" w:cs="楷体"/>
          <w:b/>
          <w:sz w:val="24"/>
        </w:rPr>
        <w:t>（二）存储服务</w:t>
      </w:r>
      <w:bookmarkEnd w:id="15"/>
    </w:p>
    <w:p w14:paraId="7436D4B1">
      <w:pPr>
        <w:suppressAutoHyphens/>
        <w:ind w:firstLine="482" w:firstLineChars="200"/>
        <w:rPr>
          <w:rFonts w:ascii="宋体" w:hAnsi="宋体" w:cs="宋体"/>
          <w:b/>
          <w:bCs/>
          <w:sz w:val="24"/>
        </w:rPr>
      </w:pPr>
      <w:r>
        <w:rPr>
          <w:rFonts w:hint="eastAsia" w:ascii="宋体" w:hAnsi="宋体" w:cs="宋体"/>
          <w:b/>
          <w:bCs/>
          <w:sz w:val="24"/>
        </w:rPr>
        <w:t>2.1服务内容</w:t>
      </w:r>
    </w:p>
    <w:p w14:paraId="51E690A7">
      <w:pPr>
        <w:suppressAutoHyphens/>
        <w:snapToGrid w:val="0"/>
        <w:spacing w:line="360" w:lineRule="auto"/>
        <w:ind w:firstLine="480" w:firstLineChars="200"/>
        <w:rPr>
          <w:rFonts w:ascii="宋体" w:hAnsi="宋体" w:cs="宋体"/>
          <w:sz w:val="24"/>
        </w:rPr>
      </w:pPr>
      <w:r>
        <w:rPr>
          <w:rFonts w:hint="eastAsia" w:ascii="宋体" w:hAnsi="宋体" w:cs="宋体"/>
          <w:sz w:val="24"/>
        </w:rPr>
        <w:t>按照采购人的具体需求，提</w:t>
      </w:r>
      <w:r>
        <w:rPr>
          <w:rFonts w:hint="eastAsia" w:ascii="宋体" w:hAnsi="宋体" w:cs="宋体"/>
          <w:sz w:val="24"/>
          <w:highlight w:val="none"/>
        </w:rPr>
        <w:t>供</w:t>
      </w:r>
      <w:r>
        <w:rPr>
          <w:rFonts w:ascii="宋体" w:hAnsi="宋体" w:cs="宋体"/>
          <w:sz w:val="24"/>
          <w:highlight w:val="none"/>
        </w:rPr>
        <w:t>74560</w:t>
      </w:r>
      <w:r>
        <w:rPr>
          <w:rFonts w:hint="eastAsia" w:ascii="宋体" w:hAnsi="宋体" w:cs="宋体"/>
          <w:sz w:val="24"/>
          <w:highlight w:val="none"/>
        </w:rPr>
        <w:t>GB的</w:t>
      </w:r>
      <w:r>
        <w:rPr>
          <w:rFonts w:hint="eastAsia" w:ascii="宋体" w:hAnsi="宋体" w:cs="宋体"/>
          <w:sz w:val="24"/>
        </w:rPr>
        <w:t>高性能存储服务。在提供政务云存储的服务过程中需做好采购人和对应项目应用开发厂商的协调沟通工作。</w:t>
      </w:r>
    </w:p>
    <w:p w14:paraId="2D5ABFF1">
      <w:pPr>
        <w:suppressAutoHyphens/>
        <w:ind w:firstLine="482" w:firstLineChars="200"/>
        <w:rPr>
          <w:rFonts w:ascii="宋体" w:hAnsi="宋体" w:cs="宋体"/>
          <w:b/>
          <w:bCs/>
          <w:sz w:val="24"/>
        </w:rPr>
      </w:pPr>
      <w:r>
        <w:rPr>
          <w:rFonts w:hint="eastAsia" w:ascii="宋体" w:hAnsi="宋体" w:cs="宋体"/>
          <w:b/>
          <w:bCs/>
          <w:sz w:val="24"/>
        </w:rPr>
        <w:t>2.2服务标准</w:t>
      </w:r>
    </w:p>
    <w:p w14:paraId="1D9E54DF">
      <w:pPr>
        <w:suppressAutoHyphens/>
        <w:snapToGrid w:val="0"/>
        <w:spacing w:line="360" w:lineRule="auto"/>
        <w:ind w:firstLine="480" w:firstLineChars="200"/>
        <w:rPr>
          <w:rFonts w:ascii="宋体" w:hAnsi="宋体" w:cs="宋体"/>
          <w:sz w:val="24"/>
        </w:rPr>
      </w:pPr>
      <w:r>
        <w:rPr>
          <w:rFonts w:hint="eastAsia" w:ascii="宋体" w:hAnsi="宋体" w:cs="宋体"/>
          <w:sz w:val="24"/>
        </w:rPr>
        <w:t>2.2.1 要求稳定可靠，不会因单一部件故障、单一路径故障等原因导致业务停用、数据丢失，系统可靠性99.9999%；</w:t>
      </w:r>
    </w:p>
    <w:p w14:paraId="6AD99838">
      <w:pPr>
        <w:suppressAutoHyphens/>
        <w:snapToGrid w:val="0"/>
        <w:spacing w:line="360" w:lineRule="auto"/>
        <w:ind w:firstLine="480" w:firstLineChars="200"/>
        <w:rPr>
          <w:rFonts w:ascii="宋体" w:hAnsi="宋体" w:cs="宋体"/>
          <w:sz w:val="24"/>
        </w:rPr>
      </w:pPr>
      <w:r>
        <w:rPr>
          <w:rFonts w:hint="eastAsia" w:ascii="宋体" w:hAnsi="宋体" w:cs="宋体"/>
          <w:sz w:val="24"/>
        </w:rPr>
        <w:t>2.2.2 单盘技术指标满足IOPS 10000-25000；</w:t>
      </w:r>
    </w:p>
    <w:p w14:paraId="62B228E8">
      <w:pPr>
        <w:suppressAutoHyphens/>
        <w:snapToGrid w:val="0"/>
        <w:spacing w:line="360" w:lineRule="auto"/>
        <w:ind w:firstLine="480" w:firstLineChars="200"/>
        <w:rPr>
          <w:rFonts w:ascii="宋体" w:hAnsi="宋体" w:cs="宋体"/>
          <w:sz w:val="24"/>
        </w:rPr>
      </w:pPr>
      <w:r>
        <w:rPr>
          <w:rFonts w:hint="eastAsia" w:ascii="宋体" w:hAnsi="宋体" w:cs="宋体"/>
          <w:sz w:val="24"/>
        </w:rPr>
        <w:t>2.2.3 用户可以以1G为最小单位进行容量申请，并可以申请直接挂载给云主机使用，同时用户可以将申请到的磁盘空间分配给一台或者多台虚拟机/物理机使用；</w:t>
      </w:r>
    </w:p>
    <w:p w14:paraId="081AE010">
      <w:pPr>
        <w:suppressAutoHyphens/>
        <w:snapToGrid w:val="0"/>
        <w:spacing w:line="360" w:lineRule="auto"/>
        <w:ind w:firstLine="480" w:firstLineChars="200"/>
        <w:rPr>
          <w:rFonts w:ascii="宋体" w:hAnsi="宋体" w:cs="宋体"/>
          <w:sz w:val="24"/>
        </w:rPr>
      </w:pPr>
      <w:r>
        <w:rPr>
          <w:rFonts w:hint="eastAsia" w:ascii="宋体" w:hAnsi="宋体" w:cs="宋体"/>
          <w:sz w:val="24"/>
        </w:rPr>
        <w:t>2.2.4 系统整体架构无单点故障；</w:t>
      </w:r>
    </w:p>
    <w:p w14:paraId="04924757">
      <w:pPr>
        <w:suppressAutoHyphens/>
        <w:snapToGrid w:val="0"/>
        <w:spacing w:line="360" w:lineRule="auto"/>
        <w:ind w:firstLine="480" w:firstLineChars="200"/>
        <w:rPr>
          <w:rFonts w:ascii="宋体" w:hAnsi="宋体" w:cs="宋体"/>
          <w:sz w:val="24"/>
        </w:rPr>
      </w:pPr>
      <w:r>
        <w:rPr>
          <w:rFonts w:hint="eastAsia" w:ascii="宋体" w:hAnsi="宋体" w:cs="宋体"/>
          <w:sz w:val="24"/>
        </w:rPr>
        <w:t>2.2.5 支持通过云管理平台，实现申请部署与使用；</w:t>
      </w:r>
    </w:p>
    <w:p w14:paraId="6F8334C3">
      <w:pPr>
        <w:keepNext/>
        <w:keepLines/>
        <w:suppressAutoHyphens/>
        <w:spacing w:before="260" w:after="200"/>
        <w:ind w:firstLine="241" w:firstLineChars="100"/>
        <w:outlineLvl w:val="1"/>
        <w:rPr>
          <w:rFonts w:ascii="楷体" w:hAnsi="楷体" w:eastAsia="楷体" w:cs="楷体"/>
          <w:b/>
          <w:sz w:val="24"/>
        </w:rPr>
      </w:pPr>
      <w:bookmarkStart w:id="16" w:name="_Toc26829"/>
      <w:r>
        <w:rPr>
          <w:rFonts w:hint="eastAsia" w:ascii="楷体" w:hAnsi="楷体" w:eastAsia="楷体" w:cs="楷体"/>
          <w:b/>
          <w:sz w:val="24"/>
        </w:rPr>
        <w:t>（三）数据库服务</w:t>
      </w:r>
      <w:bookmarkEnd w:id="16"/>
    </w:p>
    <w:p w14:paraId="2CF20DC9">
      <w:pPr>
        <w:suppressAutoHyphens/>
        <w:snapToGrid w:val="0"/>
        <w:spacing w:line="360" w:lineRule="auto"/>
        <w:ind w:firstLine="480" w:firstLineChars="200"/>
        <w:rPr>
          <w:rFonts w:ascii="宋体" w:hAnsi="宋体" w:cs="宋体"/>
          <w:sz w:val="24"/>
        </w:rPr>
      </w:pPr>
      <w:r>
        <w:rPr>
          <w:rFonts w:hint="eastAsia" w:ascii="宋体" w:hAnsi="宋体" w:cs="宋体"/>
          <w:sz w:val="24"/>
        </w:rPr>
        <w:t>无</w:t>
      </w:r>
    </w:p>
    <w:p w14:paraId="2FCC8B28">
      <w:pPr>
        <w:keepNext/>
        <w:keepLines/>
        <w:suppressAutoHyphens/>
        <w:spacing w:before="260" w:after="200"/>
        <w:ind w:left="210" w:leftChars="100"/>
        <w:outlineLvl w:val="1"/>
        <w:rPr>
          <w:rFonts w:ascii="楷体" w:hAnsi="楷体" w:eastAsia="楷体" w:cs="楷体"/>
          <w:b/>
          <w:sz w:val="24"/>
        </w:rPr>
      </w:pPr>
      <w:bookmarkStart w:id="17" w:name="_Toc23192"/>
      <w:r>
        <w:rPr>
          <w:rFonts w:hint="eastAsia" w:ascii="楷体" w:hAnsi="楷体" w:eastAsia="楷体" w:cs="楷体"/>
          <w:b/>
          <w:sz w:val="24"/>
        </w:rPr>
        <w:t>（四）网络服务</w:t>
      </w:r>
      <w:bookmarkEnd w:id="17"/>
    </w:p>
    <w:p w14:paraId="5F095425">
      <w:pPr>
        <w:suppressAutoHyphens/>
        <w:ind w:firstLine="482" w:firstLineChars="200"/>
        <w:rPr>
          <w:rFonts w:ascii="宋体" w:hAnsi="宋体" w:cs="宋体"/>
          <w:b/>
          <w:bCs/>
          <w:sz w:val="24"/>
        </w:rPr>
      </w:pPr>
      <w:r>
        <w:rPr>
          <w:rFonts w:hint="eastAsia" w:ascii="宋体" w:hAnsi="宋体" w:cs="宋体"/>
          <w:b/>
          <w:bCs/>
          <w:sz w:val="24"/>
        </w:rPr>
        <w:t>4.1服务内容</w:t>
      </w:r>
    </w:p>
    <w:p w14:paraId="75F96E5A">
      <w:pPr>
        <w:suppressAutoHyphens/>
        <w:snapToGrid w:val="0"/>
        <w:spacing w:line="360" w:lineRule="auto"/>
        <w:ind w:firstLine="480" w:firstLineChars="200"/>
        <w:rPr>
          <w:rFonts w:ascii="宋体" w:hAnsi="宋体" w:cs="宋体"/>
          <w:sz w:val="24"/>
        </w:rPr>
      </w:pPr>
      <w:r>
        <w:rPr>
          <w:rFonts w:hint="eastAsia" w:ascii="宋体" w:hAnsi="宋体" w:cs="宋体"/>
          <w:sz w:val="24"/>
        </w:rPr>
        <w:t>4.1.1 提供220Mb的互联网链路带宽服务，提供15IP的地址租用服务，并提供相应的网络域名备案服务，配合应用开发厂商提供网络策略配置服务；</w:t>
      </w:r>
    </w:p>
    <w:p w14:paraId="122C7A5A">
      <w:pPr>
        <w:suppressAutoHyphens/>
        <w:snapToGrid w:val="0"/>
        <w:spacing w:line="360" w:lineRule="auto"/>
        <w:ind w:firstLine="480" w:firstLineChars="200"/>
        <w:rPr>
          <w:rFonts w:ascii="宋体" w:hAnsi="宋体" w:cs="宋体"/>
          <w:sz w:val="24"/>
        </w:rPr>
      </w:pPr>
      <w:r>
        <w:rPr>
          <w:rFonts w:hint="eastAsia" w:ascii="宋体" w:hAnsi="宋体" w:cs="宋体"/>
          <w:sz w:val="24"/>
        </w:rPr>
        <w:t>4.1.2 主机负载均衡服务，提供13IP的主机负载均衡服务，通过云管理平台实现针每租户按需自动分配负载均衡服务的能力；</w:t>
      </w:r>
    </w:p>
    <w:p w14:paraId="502FB905">
      <w:pPr>
        <w:suppressAutoHyphens/>
        <w:snapToGrid w:val="0"/>
        <w:spacing w:line="360" w:lineRule="auto"/>
        <w:ind w:firstLine="480" w:firstLineChars="200"/>
        <w:rPr>
          <w:rFonts w:ascii="宋体" w:hAnsi="宋体" w:cs="宋体"/>
          <w:sz w:val="24"/>
        </w:rPr>
      </w:pPr>
      <w:r>
        <w:rPr>
          <w:rFonts w:hint="eastAsia" w:ascii="宋体" w:hAnsi="宋体" w:cs="宋体"/>
          <w:sz w:val="24"/>
        </w:rPr>
        <w:t>4.1.3 远程接入服务，提供12账号的互联网远程接入服务，每个账号结合身份验证接入堡垒机维护应用系统；</w:t>
      </w:r>
    </w:p>
    <w:p w14:paraId="376F1758">
      <w:pPr>
        <w:suppressAutoHyphens/>
        <w:snapToGrid w:val="0"/>
        <w:spacing w:line="360" w:lineRule="auto"/>
        <w:ind w:firstLine="480" w:firstLineChars="200"/>
        <w:rPr>
          <w:rFonts w:ascii="宋体" w:hAnsi="宋体" w:cs="宋体"/>
          <w:sz w:val="24"/>
        </w:rPr>
      </w:pPr>
      <w:r>
        <w:rPr>
          <w:rFonts w:hint="eastAsia" w:ascii="宋体" w:hAnsi="宋体" w:cs="宋体"/>
          <w:sz w:val="24"/>
        </w:rPr>
        <w:t>4.1.4 VPN服务，提供14套SSL VPN接入服务；</w:t>
      </w:r>
    </w:p>
    <w:p w14:paraId="31AC99E4">
      <w:pPr>
        <w:suppressAutoHyphens/>
        <w:snapToGrid w:val="0"/>
        <w:spacing w:line="360" w:lineRule="auto"/>
        <w:ind w:firstLine="480" w:firstLineChars="200"/>
        <w:rPr>
          <w:rFonts w:ascii="宋体" w:hAnsi="宋体" w:cs="宋体"/>
          <w:sz w:val="24"/>
        </w:rPr>
      </w:pPr>
      <w:r>
        <w:rPr>
          <w:rFonts w:hint="eastAsia" w:ascii="宋体" w:hAnsi="宋体" w:cs="宋体"/>
          <w:sz w:val="24"/>
        </w:rPr>
        <w:t>4.1.5 WAF防护服务，提供10IP的WAF防护服务。</w:t>
      </w:r>
    </w:p>
    <w:p w14:paraId="3693B3A3">
      <w:pPr>
        <w:suppressAutoHyphens/>
        <w:ind w:firstLine="482" w:firstLineChars="200"/>
        <w:rPr>
          <w:rFonts w:ascii="宋体" w:hAnsi="宋体" w:cs="宋体"/>
          <w:b/>
          <w:bCs/>
          <w:sz w:val="24"/>
        </w:rPr>
      </w:pPr>
      <w:r>
        <w:rPr>
          <w:rFonts w:hint="eastAsia" w:ascii="宋体" w:hAnsi="宋体" w:cs="宋体"/>
          <w:b/>
          <w:bCs/>
          <w:sz w:val="24"/>
        </w:rPr>
        <w:t>4.2服务标准</w:t>
      </w:r>
    </w:p>
    <w:p w14:paraId="4D9CBE37">
      <w:pPr>
        <w:suppressAutoHyphens/>
        <w:snapToGrid w:val="0"/>
        <w:spacing w:line="360" w:lineRule="auto"/>
        <w:ind w:firstLine="480" w:firstLineChars="200"/>
        <w:rPr>
          <w:rFonts w:ascii="宋体" w:hAnsi="宋体" w:cs="宋体"/>
          <w:sz w:val="24"/>
        </w:rPr>
      </w:pPr>
      <w:r>
        <w:rPr>
          <w:rFonts w:hint="eastAsia" w:ascii="宋体" w:hAnsi="宋体" w:cs="宋体"/>
          <w:sz w:val="24"/>
        </w:rPr>
        <w:t>4.2.1 互联网链路服务应满足如下服务标准：</w:t>
      </w:r>
    </w:p>
    <w:p w14:paraId="4D14B45B">
      <w:pPr>
        <w:suppressAutoHyphens/>
        <w:snapToGrid w:val="0"/>
        <w:spacing w:line="360" w:lineRule="auto"/>
        <w:ind w:firstLine="480" w:firstLineChars="200"/>
        <w:rPr>
          <w:rFonts w:ascii="宋体" w:hAnsi="宋体" w:cs="宋体"/>
          <w:sz w:val="24"/>
        </w:rPr>
      </w:pPr>
      <w:r>
        <w:rPr>
          <w:rFonts w:hint="eastAsia" w:ascii="宋体" w:hAnsi="宋体" w:cs="宋体"/>
          <w:sz w:val="24"/>
        </w:rPr>
        <w:t>4.2.1.1具备多运营商网络接入服务的能力；</w:t>
      </w:r>
    </w:p>
    <w:p w14:paraId="2B81AF45">
      <w:pPr>
        <w:suppressAutoHyphens/>
        <w:snapToGrid w:val="0"/>
        <w:spacing w:line="360" w:lineRule="auto"/>
        <w:ind w:firstLine="480" w:firstLineChars="200"/>
        <w:rPr>
          <w:rFonts w:ascii="宋体" w:hAnsi="宋体" w:cs="宋体"/>
          <w:sz w:val="24"/>
        </w:rPr>
      </w:pPr>
      <w:r>
        <w:rPr>
          <w:rFonts w:hint="eastAsia" w:ascii="宋体" w:hAnsi="宋体" w:cs="宋体"/>
          <w:sz w:val="24"/>
        </w:rPr>
        <w:t>4.2.1.2 为平台业务系统提供互联网带宽租用服务；</w:t>
      </w:r>
    </w:p>
    <w:p w14:paraId="30B6A102">
      <w:pPr>
        <w:suppressAutoHyphens/>
        <w:snapToGrid w:val="0"/>
        <w:spacing w:line="360" w:lineRule="auto"/>
        <w:ind w:firstLine="480" w:firstLineChars="200"/>
        <w:rPr>
          <w:rFonts w:ascii="宋体" w:hAnsi="宋体" w:cs="宋体"/>
          <w:sz w:val="24"/>
        </w:rPr>
      </w:pPr>
      <w:r>
        <w:rPr>
          <w:rFonts w:hint="eastAsia" w:ascii="宋体" w:hAnsi="宋体" w:cs="宋体"/>
          <w:sz w:val="24"/>
        </w:rPr>
        <w:t>4.2.1.3 支持通过云管理平台，实现申请部署与使用；</w:t>
      </w:r>
    </w:p>
    <w:p w14:paraId="76D2C55F">
      <w:pPr>
        <w:suppressAutoHyphens/>
        <w:snapToGrid w:val="0"/>
        <w:spacing w:line="360" w:lineRule="auto"/>
        <w:ind w:firstLine="480" w:firstLineChars="200"/>
        <w:rPr>
          <w:rFonts w:ascii="宋体" w:hAnsi="宋体" w:cs="宋体"/>
          <w:sz w:val="24"/>
        </w:rPr>
      </w:pPr>
      <w:r>
        <w:rPr>
          <w:rFonts w:hint="eastAsia" w:ascii="宋体" w:hAnsi="宋体" w:cs="宋体"/>
          <w:sz w:val="24"/>
        </w:rPr>
        <w:t>4.2.1.4 可提供IPV4/IPV6互联网IP 地址租用服务；</w:t>
      </w:r>
    </w:p>
    <w:p w14:paraId="20290A67">
      <w:pPr>
        <w:suppressAutoHyphens/>
        <w:snapToGrid w:val="0"/>
        <w:spacing w:line="360" w:lineRule="auto"/>
        <w:ind w:firstLine="480" w:firstLineChars="200"/>
        <w:rPr>
          <w:rFonts w:ascii="宋体" w:hAnsi="宋体" w:cs="宋体"/>
          <w:sz w:val="24"/>
        </w:rPr>
      </w:pPr>
      <w:r>
        <w:rPr>
          <w:rFonts w:hint="eastAsia" w:ascii="宋体" w:hAnsi="宋体" w:cs="宋体"/>
          <w:sz w:val="24"/>
        </w:rPr>
        <w:t>4.2.1.5 配合使用单位完成网站域名备案；</w:t>
      </w:r>
    </w:p>
    <w:p w14:paraId="3840F1B6">
      <w:pPr>
        <w:suppressAutoHyphens/>
        <w:snapToGrid w:val="0"/>
        <w:spacing w:line="360" w:lineRule="auto"/>
        <w:ind w:firstLine="480" w:firstLineChars="200"/>
        <w:jc w:val="left"/>
        <w:rPr>
          <w:rFonts w:ascii="宋体" w:hAnsi="宋体" w:cs="宋体"/>
          <w:sz w:val="24"/>
        </w:rPr>
      </w:pPr>
      <w:r>
        <w:rPr>
          <w:rFonts w:hint="eastAsia" w:ascii="宋体" w:hAnsi="宋体" w:cs="宋体"/>
          <w:sz w:val="24"/>
        </w:rPr>
        <w:t>4.2.1.6 支持通过云管理平台，实现申请部署与使用。</w:t>
      </w:r>
    </w:p>
    <w:p w14:paraId="3F8D5633">
      <w:pPr>
        <w:suppressAutoHyphens/>
        <w:snapToGrid w:val="0"/>
        <w:spacing w:line="360" w:lineRule="auto"/>
        <w:ind w:firstLine="480" w:firstLineChars="200"/>
        <w:rPr>
          <w:rFonts w:ascii="宋体" w:hAnsi="宋体" w:cs="宋体"/>
          <w:sz w:val="24"/>
        </w:rPr>
      </w:pPr>
      <w:bookmarkStart w:id="18" w:name="_Hlk188006964"/>
      <w:r>
        <w:rPr>
          <w:rFonts w:hint="eastAsia" w:ascii="宋体" w:hAnsi="宋体" w:cs="宋体"/>
          <w:sz w:val="24"/>
        </w:rPr>
        <w:t>4.2.2 主机负载均衡服务应满足如下服务标准：</w:t>
      </w:r>
    </w:p>
    <w:bookmarkEnd w:id="18"/>
    <w:p w14:paraId="6AB1A4CC">
      <w:pPr>
        <w:suppressAutoHyphens/>
        <w:snapToGrid w:val="0"/>
        <w:spacing w:line="360" w:lineRule="auto"/>
        <w:ind w:firstLine="480" w:firstLineChars="200"/>
        <w:rPr>
          <w:rFonts w:ascii="宋体" w:hAnsi="宋体" w:cs="宋体"/>
          <w:sz w:val="24"/>
        </w:rPr>
      </w:pPr>
      <w:r>
        <w:rPr>
          <w:rFonts w:hint="eastAsia" w:ascii="宋体" w:hAnsi="宋体" w:cs="宋体"/>
          <w:sz w:val="24"/>
        </w:rPr>
        <w:t>4.2.2.1 通过云管理平台实现针每租户按需自动分配负载均衡服务的能力。总体峰值可支持每秒新建链接数不少于40万；</w:t>
      </w:r>
    </w:p>
    <w:p w14:paraId="203491BF">
      <w:pPr>
        <w:suppressAutoHyphens/>
        <w:snapToGrid w:val="0"/>
        <w:spacing w:line="360" w:lineRule="auto"/>
        <w:ind w:firstLine="480" w:firstLineChars="200"/>
        <w:jc w:val="left"/>
        <w:rPr>
          <w:rFonts w:ascii="宋体" w:hAnsi="宋体" w:cs="宋体"/>
          <w:sz w:val="24"/>
        </w:rPr>
      </w:pPr>
      <w:r>
        <w:rPr>
          <w:rFonts w:hint="eastAsia" w:ascii="宋体" w:hAnsi="宋体" w:cs="宋体"/>
          <w:sz w:val="24"/>
        </w:rPr>
        <w:t>4.2.2.2 支持加权轮询(Weighted Round Robin)、加权最小连接数调度(Weighted Least-Connection Scheduling)等流量分发策略；</w:t>
      </w:r>
    </w:p>
    <w:p w14:paraId="42B59D8C">
      <w:pPr>
        <w:suppressAutoHyphens/>
        <w:snapToGrid w:val="0"/>
        <w:spacing w:line="360" w:lineRule="auto"/>
        <w:ind w:firstLine="480" w:firstLineChars="200"/>
        <w:jc w:val="left"/>
        <w:rPr>
          <w:rFonts w:ascii="宋体" w:hAnsi="宋体" w:cs="宋体"/>
          <w:sz w:val="24"/>
        </w:rPr>
      </w:pPr>
      <w:r>
        <w:rPr>
          <w:rFonts w:hint="eastAsia" w:ascii="宋体" w:hAnsi="宋体" w:cs="宋体"/>
          <w:sz w:val="24"/>
        </w:rPr>
        <w:t>4.2.2.3 可以按照指定规则对配置的虚拟主机进行健康检查，自动隔离异常状态虚拟主机，确保可用性；</w:t>
      </w:r>
    </w:p>
    <w:p w14:paraId="1CF2A882">
      <w:pPr>
        <w:suppressAutoHyphens/>
        <w:snapToGrid w:val="0"/>
        <w:spacing w:line="360" w:lineRule="auto"/>
        <w:ind w:firstLine="480" w:firstLineChars="200"/>
        <w:jc w:val="left"/>
        <w:rPr>
          <w:rFonts w:ascii="宋体" w:hAnsi="宋体" w:cs="宋体"/>
          <w:sz w:val="24"/>
        </w:rPr>
      </w:pPr>
      <w:r>
        <w:rPr>
          <w:rFonts w:hint="eastAsia" w:ascii="宋体" w:hAnsi="宋体" w:cs="宋体"/>
          <w:sz w:val="24"/>
        </w:rPr>
        <w:t>4.2.2.4 可对虚拟主机提供TCP/HTTP协议的负载均衡服务，并提供会话保持功能，在会话生命周期内，将同一会话请求转发到同一台后端虚拟主机；</w:t>
      </w:r>
    </w:p>
    <w:p w14:paraId="037479CE">
      <w:pPr>
        <w:suppressAutoHyphens/>
        <w:snapToGrid w:val="0"/>
        <w:spacing w:line="360" w:lineRule="auto"/>
        <w:ind w:firstLine="480" w:firstLineChars="200"/>
        <w:jc w:val="left"/>
        <w:rPr>
          <w:rFonts w:ascii="宋体" w:hAnsi="宋体" w:cs="宋体"/>
          <w:sz w:val="24"/>
        </w:rPr>
      </w:pPr>
      <w:r>
        <w:rPr>
          <w:rFonts w:hint="eastAsia" w:ascii="宋体" w:hAnsi="宋体" w:cs="宋体"/>
          <w:sz w:val="24"/>
        </w:rPr>
        <w:t>4.2.2.5 采用全冗余或集群架构，无单点故障；平均可用性不低于99.99%；</w:t>
      </w:r>
    </w:p>
    <w:p w14:paraId="09445D15">
      <w:pPr>
        <w:suppressAutoHyphens/>
        <w:snapToGrid w:val="0"/>
        <w:spacing w:line="360" w:lineRule="auto"/>
        <w:ind w:firstLine="480" w:firstLineChars="200"/>
        <w:jc w:val="left"/>
        <w:rPr>
          <w:rFonts w:ascii="宋体" w:hAnsi="宋体" w:cs="宋体"/>
          <w:sz w:val="24"/>
        </w:rPr>
      </w:pPr>
      <w:r>
        <w:rPr>
          <w:rFonts w:hint="eastAsia" w:ascii="宋体" w:hAnsi="宋体" w:cs="宋体"/>
          <w:sz w:val="24"/>
        </w:rPr>
        <w:t>4.2.2.6 提供多种转发规则，满足不同业务场景的要求；</w:t>
      </w:r>
    </w:p>
    <w:p w14:paraId="31FDEA88">
      <w:pPr>
        <w:suppressAutoHyphens/>
        <w:snapToGrid w:val="0"/>
        <w:spacing w:line="360" w:lineRule="auto"/>
        <w:ind w:firstLine="480" w:firstLineChars="200"/>
        <w:jc w:val="left"/>
        <w:rPr>
          <w:rFonts w:ascii="宋体" w:hAnsi="宋体" w:cs="宋体"/>
          <w:sz w:val="24"/>
        </w:rPr>
      </w:pPr>
      <w:r>
        <w:rPr>
          <w:rFonts w:hint="eastAsia" w:ascii="宋体" w:hAnsi="宋体" w:cs="宋体"/>
          <w:sz w:val="24"/>
        </w:rPr>
        <w:t>4.2.2.7 支持在线平滑升级，承载能力和网络总带宽同步线性扩容；可与虚拟主机配合提供三层架构系统的弹性扩展；</w:t>
      </w:r>
    </w:p>
    <w:p w14:paraId="2821C67E">
      <w:pPr>
        <w:suppressAutoHyphens/>
        <w:snapToGrid w:val="0"/>
        <w:spacing w:line="360" w:lineRule="auto"/>
        <w:ind w:firstLine="480" w:firstLineChars="200"/>
        <w:jc w:val="left"/>
        <w:rPr>
          <w:rFonts w:ascii="宋体" w:hAnsi="宋体" w:cs="宋体"/>
          <w:sz w:val="24"/>
        </w:rPr>
      </w:pPr>
      <w:r>
        <w:rPr>
          <w:rFonts w:hint="eastAsia" w:ascii="宋体" w:hAnsi="宋体" w:cs="宋体"/>
          <w:sz w:val="24"/>
        </w:rPr>
        <w:t>4.2.2.8 支持通过云管理平台，实现申请部署与使用；</w:t>
      </w:r>
    </w:p>
    <w:p w14:paraId="3FA47BD5">
      <w:pPr>
        <w:suppressAutoHyphens/>
        <w:snapToGrid w:val="0"/>
        <w:spacing w:line="360" w:lineRule="auto"/>
        <w:ind w:firstLine="480" w:firstLineChars="200"/>
        <w:jc w:val="left"/>
        <w:rPr>
          <w:rFonts w:ascii="宋体" w:hAnsi="宋体" w:cs="宋体"/>
          <w:sz w:val="24"/>
        </w:rPr>
      </w:pPr>
      <w:r>
        <w:rPr>
          <w:rFonts w:hint="eastAsia" w:ascii="宋体" w:hAnsi="宋体" w:cs="宋体"/>
          <w:sz w:val="24"/>
        </w:rPr>
        <w:t>4.2.2.9 提供 4 层（TCP 协议）和 7 层（HTTP 和 HTTPS 协议）的负载均衡服务。</w:t>
      </w:r>
    </w:p>
    <w:p w14:paraId="5BF25290">
      <w:pPr>
        <w:suppressAutoHyphens/>
        <w:snapToGrid w:val="0"/>
        <w:spacing w:line="360" w:lineRule="auto"/>
        <w:ind w:firstLine="480" w:firstLineChars="200"/>
        <w:jc w:val="left"/>
        <w:rPr>
          <w:rFonts w:ascii="宋体" w:hAnsi="宋体" w:cs="宋体"/>
          <w:sz w:val="24"/>
        </w:rPr>
      </w:pPr>
      <w:r>
        <w:rPr>
          <w:rFonts w:hint="eastAsia" w:ascii="宋体" w:hAnsi="宋体" w:cs="宋体"/>
          <w:sz w:val="24"/>
        </w:rPr>
        <w:t>4.2.3 远程接入服务应提供堡垒机远程接入服务，提供字符操作审计、图形操作审计、文件操作审计服务，应支持基于IP/IP段、用户/用户组、资产/资产组、协议、危险级别等组合策略进行访问控制，对于不合法的行为予以阻断；可基于运维账号的登陆时间和资产登陆时间进行访问控制；可基于运维操作命令进行访问控制；可基于主机、用户、IP地址控制审计日志的访问权限；</w:t>
      </w:r>
    </w:p>
    <w:p w14:paraId="74F84AC8">
      <w:pPr>
        <w:suppressAutoHyphens/>
        <w:snapToGrid w:val="0"/>
        <w:spacing w:line="360" w:lineRule="auto"/>
        <w:ind w:firstLine="480" w:firstLineChars="200"/>
        <w:jc w:val="left"/>
        <w:rPr>
          <w:rFonts w:ascii="宋体" w:hAnsi="宋体" w:cs="宋体"/>
          <w:sz w:val="24"/>
        </w:rPr>
      </w:pPr>
      <w:r>
        <w:rPr>
          <w:rFonts w:hint="eastAsia" w:ascii="宋体" w:hAnsi="宋体" w:cs="宋体"/>
          <w:sz w:val="24"/>
        </w:rPr>
        <w:t>4.2.4 SSL VPN接入须实现Web接入，TCP接入，IP接入等多种方式，记录完整的用户访问日志；支持基于用户身份的管理，实现不同身份的用户拥有不同的命令执行权限，并且支持用户视图分级，对于不同级别的用户赋予不同的管理配置权限；可以根据请求报文的目的IP地址和目的端口号、源IP地址和源端口号进行过滤；采用通过商用密码产品认证的SSL VPN产品。</w:t>
      </w:r>
    </w:p>
    <w:p w14:paraId="30834BF3">
      <w:pPr>
        <w:suppressAutoHyphens/>
        <w:snapToGrid w:val="0"/>
        <w:spacing w:line="360" w:lineRule="auto"/>
        <w:ind w:firstLine="480" w:firstLineChars="200"/>
        <w:rPr>
          <w:rFonts w:ascii="宋体" w:hAnsi="宋体" w:cs="宋体"/>
          <w:sz w:val="24"/>
        </w:rPr>
      </w:pPr>
      <w:r>
        <w:rPr>
          <w:rFonts w:hint="eastAsia" w:ascii="宋体" w:hAnsi="宋体" w:cs="宋体"/>
          <w:sz w:val="24"/>
        </w:rPr>
        <w:t>4.2.5 远程接入服务支持基于IP/IP段、用户/用户组、资产/资产组、协议、危险级别等组合策略进行访问控制，对于不合法的行为予以阻断；可基于运维账号的登陆时间和资产登陆时间进行访问控制；可基于运维操作命令进行访问控制；可基于主机、用户、IP地址控制审计日志的访问权限。</w:t>
      </w:r>
    </w:p>
    <w:p w14:paraId="3D823BFE">
      <w:pPr>
        <w:suppressAutoHyphens/>
        <w:snapToGrid w:val="0"/>
        <w:spacing w:line="360" w:lineRule="auto"/>
        <w:ind w:firstLine="480" w:firstLineChars="200"/>
        <w:rPr>
          <w:rFonts w:ascii="宋体" w:hAnsi="宋体" w:cs="宋体"/>
          <w:sz w:val="24"/>
        </w:rPr>
      </w:pPr>
      <w:r>
        <w:rPr>
          <w:rFonts w:hint="eastAsia" w:ascii="宋体" w:hAnsi="宋体" w:cs="宋体"/>
          <w:sz w:val="24"/>
        </w:rPr>
        <w:t>4.2.6 WAF防护服务可精确识别包括注入、XSS等OWASP Top 10 WEB通用攻击，有效应对盗链、跨站请求伪造等WEB特殊攻击；可以通过透明串接或反向代理、路由模式等方式接入网络中，即可对应用层HTTP流量进行安全防护；通过预定义策略及自定义规则，进行规则匹配，阻断异常流量；支持通过云管理平台，实现申请部署与使用。</w:t>
      </w:r>
    </w:p>
    <w:p w14:paraId="49A47573">
      <w:pPr>
        <w:suppressAutoHyphens/>
        <w:snapToGrid w:val="0"/>
        <w:spacing w:line="360" w:lineRule="auto"/>
        <w:ind w:firstLine="480" w:firstLineChars="200"/>
        <w:rPr>
          <w:rFonts w:ascii="宋体" w:hAnsi="宋体" w:cs="宋体"/>
          <w:sz w:val="24"/>
        </w:rPr>
      </w:pPr>
      <w:r>
        <w:rPr>
          <w:rFonts w:hint="eastAsia" w:ascii="宋体" w:hAnsi="宋体" w:cs="宋体"/>
          <w:sz w:val="24"/>
        </w:rPr>
        <w:t>4.2.7供应商应强化远程运维管理，因业务确需通过互联网远程运维的，应当采取安全管控措施，向采购提供安全管控方案。重要保障时期避免通过互联网远程运维。</w:t>
      </w:r>
    </w:p>
    <w:p w14:paraId="7FCE551A">
      <w:pPr>
        <w:keepNext/>
        <w:keepLines/>
        <w:suppressAutoHyphens/>
        <w:spacing w:before="260" w:after="200"/>
        <w:ind w:left="210" w:leftChars="100"/>
        <w:outlineLvl w:val="1"/>
        <w:rPr>
          <w:rFonts w:ascii="楷体" w:hAnsi="楷体" w:eastAsia="楷体" w:cs="楷体"/>
          <w:b/>
          <w:sz w:val="24"/>
        </w:rPr>
      </w:pPr>
      <w:bookmarkStart w:id="19" w:name="_Toc1700"/>
      <w:r>
        <w:rPr>
          <w:rFonts w:hint="eastAsia" w:ascii="楷体" w:hAnsi="楷体" w:eastAsia="楷体" w:cs="楷体"/>
          <w:b/>
          <w:sz w:val="24"/>
        </w:rPr>
        <w:t>（五）基础软件支撑服务</w:t>
      </w:r>
      <w:bookmarkEnd w:id="19"/>
    </w:p>
    <w:p w14:paraId="5EBD9A86">
      <w:pPr>
        <w:suppressAutoHyphens/>
        <w:ind w:firstLine="482" w:firstLineChars="200"/>
        <w:rPr>
          <w:rFonts w:ascii="宋体" w:hAnsi="宋体" w:cs="宋体"/>
          <w:b/>
          <w:bCs/>
          <w:sz w:val="24"/>
        </w:rPr>
      </w:pPr>
      <w:r>
        <w:rPr>
          <w:rFonts w:hint="eastAsia" w:ascii="宋体" w:hAnsi="宋体" w:cs="宋体"/>
          <w:b/>
          <w:bCs/>
          <w:sz w:val="24"/>
        </w:rPr>
        <w:t>5.1服务内容</w:t>
      </w:r>
    </w:p>
    <w:p w14:paraId="4EA92DEB">
      <w:pPr>
        <w:suppressAutoHyphens/>
        <w:snapToGrid w:val="0"/>
        <w:spacing w:line="360" w:lineRule="auto"/>
        <w:ind w:firstLine="480" w:firstLineChars="200"/>
        <w:rPr>
          <w:rFonts w:ascii="宋体" w:hAnsi="宋体" w:cs="宋体"/>
          <w:sz w:val="24"/>
        </w:rPr>
      </w:pPr>
      <w:r>
        <w:rPr>
          <w:rFonts w:hint="eastAsia" w:ascii="宋体" w:hAnsi="宋体" w:cs="宋体"/>
          <w:sz w:val="24"/>
        </w:rPr>
        <w:t>按照采购人的有关管理规定及具体需求，提供18套商用操作系统、41套国产化操作系统、34套开源操作系统、2套国产商用数据库、9套开源数据库、1套办公软件服务。</w:t>
      </w:r>
    </w:p>
    <w:p w14:paraId="3B6CA191">
      <w:pPr>
        <w:suppressAutoHyphens/>
        <w:ind w:firstLine="482" w:firstLineChars="200"/>
        <w:rPr>
          <w:rFonts w:ascii="宋体" w:hAnsi="宋体" w:cs="宋体"/>
          <w:b/>
          <w:bCs/>
          <w:sz w:val="24"/>
        </w:rPr>
      </w:pPr>
      <w:r>
        <w:rPr>
          <w:rFonts w:hint="eastAsia" w:ascii="宋体" w:hAnsi="宋体" w:cs="宋体"/>
          <w:b/>
          <w:bCs/>
          <w:sz w:val="24"/>
        </w:rPr>
        <w:t>5.2服务标准</w:t>
      </w:r>
    </w:p>
    <w:p w14:paraId="59290F48">
      <w:pPr>
        <w:suppressAutoHyphens/>
        <w:snapToGrid w:val="0"/>
        <w:spacing w:line="360" w:lineRule="auto"/>
        <w:ind w:firstLine="480" w:firstLineChars="200"/>
        <w:rPr>
          <w:rFonts w:ascii="宋体" w:hAnsi="宋体" w:cs="宋体"/>
          <w:sz w:val="24"/>
        </w:rPr>
      </w:pPr>
      <w:r>
        <w:rPr>
          <w:rFonts w:hint="eastAsia" w:ascii="宋体" w:hAnsi="宋体" w:cs="宋体"/>
          <w:sz w:val="24"/>
        </w:rPr>
        <w:t>5.2.1商用操作系统套餐</w:t>
      </w:r>
    </w:p>
    <w:p w14:paraId="7A65688D">
      <w:pPr>
        <w:suppressAutoHyphens/>
        <w:snapToGrid w:val="0"/>
        <w:spacing w:line="360" w:lineRule="auto"/>
        <w:ind w:firstLine="480" w:firstLineChars="200"/>
        <w:rPr>
          <w:rFonts w:ascii="宋体" w:hAnsi="宋体" w:cs="宋体"/>
          <w:sz w:val="24"/>
        </w:rPr>
      </w:pPr>
      <w:bookmarkStart w:id="20" w:name="_Hlk188008484"/>
      <w:r>
        <w:rPr>
          <w:rFonts w:hint="eastAsia" w:ascii="宋体" w:hAnsi="宋体" w:cs="宋体"/>
          <w:sz w:val="24"/>
        </w:rPr>
        <w:t>提供主流商业操作系统服务，应支持Windows Server操作系统的各种主流版本，并提供操作系统的安装部署和各种故障处理。</w:t>
      </w:r>
    </w:p>
    <w:bookmarkEnd w:id="20"/>
    <w:p w14:paraId="71DE583F">
      <w:pPr>
        <w:suppressAutoHyphens/>
        <w:snapToGrid w:val="0"/>
        <w:spacing w:line="360" w:lineRule="auto"/>
        <w:ind w:firstLine="480" w:firstLineChars="200"/>
        <w:rPr>
          <w:rFonts w:ascii="宋体" w:hAnsi="宋体" w:cs="宋体"/>
          <w:sz w:val="24"/>
        </w:rPr>
      </w:pPr>
      <w:r>
        <w:rPr>
          <w:rFonts w:hint="eastAsia" w:ascii="宋体" w:hAnsi="宋体" w:cs="宋体"/>
          <w:sz w:val="24"/>
        </w:rPr>
        <w:t>5.2.2 国产化操作系统</w:t>
      </w:r>
    </w:p>
    <w:p w14:paraId="7FA5C104">
      <w:pPr>
        <w:suppressAutoHyphens/>
        <w:snapToGrid w:val="0"/>
        <w:spacing w:line="360" w:lineRule="auto"/>
        <w:ind w:firstLine="480" w:firstLineChars="200"/>
        <w:rPr>
          <w:rFonts w:ascii="宋体" w:hAnsi="宋体" w:cs="宋体"/>
          <w:sz w:val="24"/>
          <w:highlight w:val="none"/>
        </w:rPr>
      </w:pPr>
      <w:r>
        <w:rPr>
          <w:rFonts w:hint="eastAsia" w:ascii="宋体" w:hAnsi="宋体" w:cs="宋体"/>
          <w:sz w:val="24"/>
        </w:rPr>
        <w:t>提供主流国产化操作系统服务，应支持银</w:t>
      </w:r>
      <w:r>
        <w:rPr>
          <w:rFonts w:hint="eastAsia" w:ascii="宋体" w:hAnsi="宋体" w:cs="宋体"/>
          <w:sz w:val="24"/>
          <w:highlight w:val="none"/>
        </w:rPr>
        <w:t>河麒麟、中标麒麟、统信等主流操作系统的各种版本，并提供操作系统的安装部署和各种故障处理。</w:t>
      </w:r>
    </w:p>
    <w:p w14:paraId="06146895">
      <w:pPr>
        <w:suppressAutoHyphens/>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5.2.3 开源操作系统套餐</w:t>
      </w:r>
    </w:p>
    <w:p w14:paraId="05E2F938">
      <w:pPr>
        <w:suppressAutoHyphens/>
        <w:snapToGrid w:val="0"/>
        <w:spacing w:line="360" w:lineRule="auto"/>
        <w:ind w:firstLine="480" w:firstLineChars="200"/>
        <w:rPr>
          <w:rFonts w:ascii="宋体" w:hAnsi="宋体" w:cs="宋体"/>
          <w:sz w:val="24"/>
        </w:rPr>
      </w:pPr>
      <w:r>
        <w:rPr>
          <w:rFonts w:hint="eastAsia" w:ascii="宋体" w:hAnsi="宋体" w:cs="宋体"/>
          <w:sz w:val="24"/>
          <w:highlight w:val="none"/>
        </w:rPr>
        <w:t>提供主流开源操作系统服务，应支持Ubuntu等主流Linux</w:t>
      </w:r>
      <w:r>
        <w:rPr>
          <w:rFonts w:hint="eastAsia" w:ascii="宋体" w:hAnsi="宋体" w:cs="宋体"/>
          <w:sz w:val="24"/>
        </w:rPr>
        <w:t>操作系统的各种版本，并提供操作系统的安装部署和各种故障处理。</w:t>
      </w:r>
    </w:p>
    <w:p w14:paraId="4F9346E6">
      <w:pPr>
        <w:suppressAutoHyphens/>
        <w:snapToGrid w:val="0"/>
        <w:spacing w:line="360" w:lineRule="auto"/>
        <w:ind w:firstLine="480" w:firstLineChars="200"/>
        <w:rPr>
          <w:rFonts w:ascii="宋体" w:hAnsi="宋体" w:cs="宋体"/>
          <w:sz w:val="24"/>
        </w:rPr>
      </w:pPr>
      <w:r>
        <w:rPr>
          <w:rFonts w:hint="eastAsia" w:ascii="宋体" w:hAnsi="宋体" w:cs="宋体"/>
          <w:sz w:val="24"/>
        </w:rPr>
        <w:t>5.2.4 国产化数据库套餐</w:t>
      </w:r>
    </w:p>
    <w:p w14:paraId="49382813">
      <w:pPr>
        <w:suppressAutoHyphens/>
        <w:snapToGrid w:val="0"/>
        <w:spacing w:line="360" w:lineRule="auto"/>
        <w:ind w:firstLine="480" w:firstLineChars="200"/>
        <w:rPr>
          <w:rFonts w:ascii="宋体" w:hAnsi="宋体" w:cs="宋体"/>
          <w:sz w:val="24"/>
        </w:rPr>
      </w:pPr>
      <w:r>
        <w:rPr>
          <w:rFonts w:hint="eastAsia" w:ascii="宋体" w:hAnsi="宋体" w:cs="宋体"/>
          <w:sz w:val="24"/>
        </w:rPr>
        <w:t>提供主流国产商用数据库服务，应支持3种以上（达梦、人大金仓、K-DB）国产数据库单机、集群的主流版本，提供数据库的安装部署和各种故障处理及日常维护。</w:t>
      </w:r>
    </w:p>
    <w:p w14:paraId="7A2F55A3">
      <w:pPr>
        <w:suppressAutoHyphens/>
        <w:snapToGrid w:val="0"/>
        <w:spacing w:line="360" w:lineRule="auto"/>
        <w:ind w:firstLine="480" w:firstLineChars="200"/>
        <w:rPr>
          <w:rFonts w:ascii="宋体" w:hAnsi="宋体" w:cs="宋体"/>
          <w:sz w:val="24"/>
        </w:rPr>
      </w:pPr>
      <w:r>
        <w:rPr>
          <w:rFonts w:hint="eastAsia" w:ascii="宋体" w:hAnsi="宋体" w:cs="宋体"/>
          <w:sz w:val="24"/>
        </w:rPr>
        <w:t>5.2.5 开源数据库套餐</w:t>
      </w:r>
    </w:p>
    <w:p w14:paraId="22696D3D">
      <w:pPr>
        <w:suppressAutoHyphens/>
        <w:snapToGrid w:val="0"/>
        <w:spacing w:line="360" w:lineRule="auto"/>
        <w:ind w:firstLine="480" w:firstLineChars="200"/>
        <w:rPr>
          <w:rFonts w:ascii="宋体" w:hAnsi="宋体" w:cs="宋体"/>
          <w:sz w:val="24"/>
        </w:rPr>
      </w:pPr>
      <w:r>
        <w:rPr>
          <w:rFonts w:hint="eastAsia" w:ascii="宋体" w:hAnsi="宋体" w:cs="宋体"/>
          <w:sz w:val="24"/>
        </w:rPr>
        <w:t>提供主流开源数据库服务，应支持MYSQL数据库的主流版本，提供数据库的安装部署和各种故障处理及配置优化，提供数据库日常维护。</w:t>
      </w:r>
    </w:p>
    <w:p w14:paraId="61EF3A16">
      <w:pPr>
        <w:suppressAutoHyphens/>
        <w:snapToGrid w:val="0"/>
        <w:spacing w:line="360" w:lineRule="auto"/>
        <w:ind w:firstLine="480" w:firstLineChars="200"/>
        <w:rPr>
          <w:rFonts w:ascii="宋体" w:hAnsi="宋体" w:cs="宋体"/>
          <w:sz w:val="24"/>
        </w:rPr>
      </w:pPr>
      <w:r>
        <w:rPr>
          <w:rFonts w:hint="eastAsia" w:ascii="宋体" w:hAnsi="宋体" w:cs="宋体"/>
          <w:sz w:val="24"/>
        </w:rPr>
        <w:t>5</w:t>
      </w:r>
      <w:r>
        <w:rPr>
          <w:rFonts w:ascii="宋体" w:hAnsi="宋体" w:cs="宋体"/>
          <w:sz w:val="24"/>
        </w:rPr>
        <w:t>.2.6</w:t>
      </w:r>
      <w:r>
        <w:rPr>
          <w:rFonts w:hint="eastAsia" w:ascii="宋体" w:hAnsi="宋体" w:cs="宋体"/>
          <w:sz w:val="24"/>
        </w:rPr>
        <w:t>办公软件服务</w:t>
      </w:r>
    </w:p>
    <w:p w14:paraId="6F0D1BB0">
      <w:pPr>
        <w:suppressAutoHyphens/>
        <w:snapToGrid w:val="0"/>
        <w:spacing w:line="360" w:lineRule="auto"/>
        <w:ind w:firstLine="480" w:firstLineChars="200"/>
        <w:rPr>
          <w:rFonts w:ascii="宋体" w:hAnsi="宋体" w:cs="宋体"/>
          <w:sz w:val="24"/>
        </w:rPr>
      </w:pPr>
      <w:r>
        <w:rPr>
          <w:rFonts w:hint="eastAsia" w:ascii="宋体" w:hAnsi="宋体" w:cs="宋体"/>
          <w:sz w:val="24"/>
        </w:rPr>
        <w:t>提供全终端兼容的文档协作云平台服务，支持主流的办公软件服务，包括支持WPS文档在线预览、在线编辑、格式转换、内容处理等二次开发能力，如支持协同编辑、插入红头签章以及文档在线预览等能力，并兼容主流信创环境，让用户能够随时随地在云端进行文档协作，改善用户文档的操作体验。</w:t>
      </w:r>
    </w:p>
    <w:p w14:paraId="07674E85">
      <w:pPr>
        <w:keepNext/>
        <w:keepLines/>
        <w:suppressAutoHyphens/>
        <w:spacing w:before="260" w:after="200"/>
        <w:ind w:left="210" w:leftChars="100"/>
        <w:outlineLvl w:val="1"/>
        <w:rPr>
          <w:rFonts w:ascii="楷体" w:hAnsi="楷体" w:eastAsia="楷体" w:cs="楷体"/>
          <w:b/>
          <w:sz w:val="24"/>
        </w:rPr>
      </w:pPr>
      <w:bookmarkStart w:id="21" w:name="_Toc3818"/>
      <w:r>
        <w:rPr>
          <w:rFonts w:hint="eastAsia" w:ascii="楷体" w:hAnsi="楷体" w:eastAsia="楷体" w:cs="楷体"/>
          <w:b/>
          <w:sz w:val="24"/>
        </w:rPr>
        <w:t>（六）资源调度服务</w:t>
      </w:r>
      <w:bookmarkEnd w:id="21"/>
    </w:p>
    <w:p w14:paraId="259C8661">
      <w:pPr>
        <w:suppressAutoHyphens/>
        <w:snapToGrid w:val="0"/>
        <w:spacing w:line="360" w:lineRule="auto"/>
        <w:ind w:firstLine="482" w:firstLineChars="200"/>
        <w:rPr>
          <w:rFonts w:ascii="宋体" w:hAnsi="宋体" w:cs="宋体"/>
          <w:b/>
          <w:sz w:val="24"/>
        </w:rPr>
      </w:pPr>
      <w:r>
        <w:rPr>
          <w:rFonts w:hint="eastAsia" w:ascii="宋体" w:hAnsi="宋体" w:cs="宋体"/>
          <w:b/>
          <w:bCs/>
          <w:sz w:val="24"/>
        </w:rPr>
        <w:t>无</w:t>
      </w:r>
    </w:p>
    <w:p w14:paraId="2DCBA9EC">
      <w:pPr>
        <w:keepNext/>
        <w:keepLines/>
        <w:suppressAutoHyphens/>
        <w:spacing w:before="260" w:after="200"/>
        <w:ind w:left="210" w:leftChars="100"/>
        <w:outlineLvl w:val="1"/>
        <w:rPr>
          <w:rFonts w:ascii="楷体" w:hAnsi="楷体" w:eastAsia="楷体" w:cs="楷体"/>
          <w:b/>
          <w:sz w:val="24"/>
        </w:rPr>
      </w:pPr>
      <w:bookmarkStart w:id="22" w:name="_Toc24264"/>
      <w:r>
        <w:rPr>
          <w:rFonts w:hint="eastAsia" w:ascii="楷体" w:hAnsi="楷体" w:eastAsia="楷体" w:cs="楷体"/>
          <w:b/>
          <w:sz w:val="24"/>
        </w:rPr>
        <w:t>（七）安全服务</w:t>
      </w:r>
      <w:bookmarkEnd w:id="22"/>
    </w:p>
    <w:p w14:paraId="3026CB15">
      <w:pPr>
        <w:suppressAutoHyphens/>
        <w:ind w:firstLine="482" w:firstLineChars="200"/>
        <w:rPr>
          <w:rFonts w:ascii="宋体" w:hAnsi="宋体" w:cs="宋体"/>
          <w:b/>
          <w:bCs/>
          <w:sz w:val="24"/>
        </w:rPr>
      </w:pPr>
      <w:r>
        <w:rPr>
          <w:rFonts w:hint="eastAsia" w:ascii="宋体" w:hAnsi="宋体" w:cs="宋体"/>
          <w:b/>
          <w:bCs/>
          <w:sz w:val="24"/>
        </w:rPr>
        <w:t>7.1服务内容</w:t>
      </w:r>
    </w:p>
    <w:p w14:paraId="65379A76">
      <w:pPr>
        <w:suppressAutoHyphens/>
        <w:snapToGrid w:val="0"/>
        <w:spacing w:line="360" w:lineRule="auto"/>
        <w:ind w:firstLine="480" w:firstLineChars="200"/>
        <w:rPr>
          <w:rFonts w:ascii="宋体" w:hAnsi="宋体" w:cs="宋体"/>
          <w:sz w:val="24"/>
        </w:rPr>
      </w:pPr>
      <w:r>
        <w:rPr>
          <w:rFonts w:hint="eastAsia" w:ascii="宋体" w:hAnsi="宋体" w:cs="宋体"/>
          <w:sz w:val="24"/>
        </w:rPr>
        <w:t>安全是政务云的红线，应按照网络安全等级保护、关键信息基础设施保护、个人信息保护及数据安全保护等要求建设安全技术防护体系和安全管理体系，加强数据的安全管理，采用分级方式进行重点数据保护，防止重要或敏感数据泄露或被滥用，并建立应急处置体系，强化各领域平台安全管控，在深化数据融合应用的同时保障安全。须提供安全服务包含：4站点的云端抗</w:t>
      </w:r>
      <w:r>
        <w:rPr>
          <w:rFonts w:hint="eastAsia" w:ascii="宋体" w:hAnsi="宋体" w:cs="宋体"/>
          <w:sz w:val="24"/>
          <w:lang w:eastAsia="zh-CN"/>
        </w:rPr>
        <w:t>DDOS</w:t>
      </w:r>
      <w:r>
        <w:rPr>
          <w:rFonts w:hint="eastAsia" w:ascii="宋体" w:hAnsi="宋体" w:cs="宋体"/>
          <w:sz w:val="24"/>
        </w:rPr>
        <w:t>服务、4套云端APT防护服务、101台主机杀毒服务。具体如下：</w:t>
      </w:r>
    </w:p>
    <w:p w14:paraId="150963F0">
      <w:pPr>
        <w:suppressAutoHyphens/>
        <w:snapToGrid w:val="0"/>
        <w:spacing w:line="360" w:lineRule="auto"/>
        <w:ind w:firstLine="480" w:firstLineChars="200"/>
        <w:rPr>
          <w:rFonts w:ascii="宋体" w:hAnsi="宋体" w:cs="宋体"/>
          <w:sz w:val="24"/>
        </w:rPr>
      </w:pPr>
      <w:r>
        <w:rPr>
          <w:rFonts w:hint="eastAsia" w:ascii="宋体" w:hAnsi="宋体" w:cs="宋体"/>
          <w:sz w:val="24"/>
        </w:rPr>
        <w:t>7.1.2云端抗</w:t>
      </w:r>
      <w:r>
        <w:rPr>
          <w:rFonts w:hint="eastAsia" w:ascii="宋体" w:hAnsi="宋体" w:cs="宋体"/>
          <w:sz w:val="24"/>
          <w:lang w:eastAsia="zh-CN"/>
        </w:rPr>
        <w:t>DDOS</w:t>
      </w:r>
      <w:r>
        <w:rPr>
          <w:rFonts w:hint="eastAsia" w:ascii="宋体" w:hAnsi="宋体" w:cs="宋体"/>
          <w:sz w:val="24"/>
        </w:rPr>
        <w:t>服务</w:t>
      </w:r>
    </w:p>
    <w:p w14:paraId="34CE6DBD">
      <w:pPr>
        <w:suppressAutoHyphens/>
        <w:snapToGrid w:val="0"/>
        <w:spacing w:line="360" w:lineRule="auto"/>
        <w:ind w:firstLine="480" w:firstLineChars="200"/>
        <w:rPr>
          <w:rFonts w:ascii="宋体" w:hAnsi="宋体" w:cs="宋体"/>
          <w:sz w:val="24"/>
        </w:rPr>
      </w:pPr>
      <w:r>
        <w:rPr>
          <w:rFonts w:hint="eastAsia" w:ascii="宋体" w:hAnsi="宋体" w:cs="宋体"/>
          <w:sz w:val="24"/>
        </w:rPr>
        <w:t>按照采购人的具体需求，根据流量提供云端抗</w:t>
      </w:r>
      <w:r>
        <w:rPr>
          <w:rFonts w:hint="eastAsia" w:ascii="宋体" w:hAnsi="宋体" w:cs="宋体"/>
          <w:sz w:val="24"/>
          <w:lang w:eastAsia="zh-CN"/>
        </w:rPr>
        <w:t>DDOS</w:t>
      </w:r>
      <w:r>
        <w:rPr>
          <w:rFonts w:hint="eastAsia" w:ascii="宋体" w:hAnsi="宋体" w:cs="宋体"/>
          <w:sz w:val="24"/>
        </w:rPr>
        <w:t>服务，为云内应用系统抵御大流量分布式拒绝服务攻击。在提供服务的过程中需做好与采购人和对应项目的应用开发厂商的协调沟通工作。</w:t>
      </w:r>
    </w:p>
    <w:p w14:paraId="0A63CC9A">
      <w:pPr>
        <w:suppressAutoHyphens/>
        <w:snapToGrid w:val="0"/>
        <w:spacing w:line="360" w:lineRule="auto"/>
        <w:ind w:firstLine="480" w:firstLineChars="200"/>
        <w:rPr>
          <w:rFonts w:ascii="宋体" w:hAnsi="宋体" w:cs="宋体"/>
          <w:sz w:val="24"/>
        </w:rPr>
      </w:pPr>
      <w:r>
        <w:rPr>
          <w:rFonts w:hint="eastAsia" w:ascii="宋体" w:hAnsi="宋体" w:cs="宋体"/>
          <w:sz w:val="24"/>
        </w:rPr>
        <w:t>7.1.3 云端APT防护服务</w:t>
      </w:r>
    </w:p>
    <w:p w14:paraId="2E6EA1E0">
      <w:pPr>
        <w:suppressAutoHyphens/>
        <w:snapToGrid w:val="0"/>
        <w:spacing w:line="360" w:lineRule="auto"/>
        <w:ind w:firstLine="480" w:firstLineChars="200"/>
        <w:rPr>
          <w:rFonts w:ascii="宋体" w:hAnsi="宋体" w:cs="宋体"/>
          <w:sz w:val="24"/>
        </w:rPr>
      </w:pPr>
      <w:r>
        <w:rPr>
          <w:rFonts w:hint="eastAsia" w:ascii="宋体" w:hAnsi="宋体" w:cs="宋体"/>
          <w:sz w:val="24"/>
        </w:rPr>
        <w:t>按照采购人的具体需求，提供云端APT防护服务，对未知攻击威胁进行检测和防护，发现隐蔽威胁、木马后门等异常威胁。通过APT防护服务，实现恶意代码检测、恶意软件检测及攻击溯源。</w:t>
      </w:r>
    </w:p>
    <w:p w14:paraId="01474BEB">
      <w:pPr>
        <w:suppressAutoHyphens/>
        <w:snapToGrid w:val="0"/>
        <w:spacing w:line="360" w:lineRule="auto"/>
        <w:ind w:firstLine="480" w:firstLineChars="200"/>
        <w:rPr>
          <w:rFonts w:ascii="宋体" w:hAnsi="宋体" w:cs="宋体"/>
          <w:sz w:val="24"/>
        </w:rPr>
      </w:pPr>
      <w:r>
        <w:rPr>
          <w:rFonts w:hint="eastAsia" w:ascii="宋体" w:hAnsi="宋体" w:cs="宋体"/>
          <w:sz w:val="24"/>
        </w:rPr>
        <w:t>7.1.4 SSL安全服务（国密）</w:t>
      </w:r>
    </w:p>
    <w:p w14:paraId="034395CB">
      <w:pPr>
        <w:suppressAutoHyphens/>
        <w:snapToGrid w:val="0"/>
        <w:spacing w:line="360" w:lineRule="auto"/>
        <w:ind w:firstLine="480" w:firstLineChars="200"/>
        <w:rPr>
          <w:rFonts w:ascii="宋体" w:hAnsi="宋体" w:cs="宋体"/>
          <w:sz w:val="24"/>
        </w:rPr>
      </w:pPr>
      <w:r>
        <w:rPr>
          <w:rFonts w:hint="eastAsia" w:ascii="宋体" w:hAnsi="宋体" w:cs="宋体"/>
          <w:sz w:val="24"/>
        </w:rPr>
        <w:t>提供基于SM2/3/4算法的SSL通信信道安全服务，保证用户访问系统以及重要数据传输过程中的机密性和完整性。</w:t>
      </w:r>
    </w:p>
    <w:p w14:paraId="3BE837CD">
      <w:pPr>
        <w:suppressAutoHyphens/>
        <w:snapToGrid w:val="0"/>
        <w:spacing w:line="360" w:lineRule="auto"/>
        <w:ind w:firstLine="480" w:firstLineChars="200"/>
        <w:rPr>
          <w:rFonts w:ascii="宋体" w:hAnsi="宋体" w:cs="宋体"/>
          <w:sz w:val="24"/>
        </w:rPr>
      </w:pPr>
      <w:r>
        <w:rPr>
          <w:rFonts w:hint="eastAsia" w:ascii="宋体" w:hAnsi="宋体" w:cs="宋体"/>
          <w:sz w:val="24"/>
        </w:rPr>
        <w:t>7.1.5 主机杀毒服务</w:t>
      </w:r>
    </w:p>
    <w:p w14:paraId="31E087C7">
      <w:pPr>
        <w:suppressAutoHyphens/>
        <w:snapToGrid w:val="0"/>
        <w:spacing w:line="360" w:lineRule="auto"/>
        <w:ind w:firstLine="480" w:firstLineChars="200"/>
        <w:rPr>
          <w:rFonts w:ascii="宋体" w:hAnsi="宋体" w:cs="宋体"/>
          <w:sz w:val="24"/>
        </w:rPr>
      </w:pPr>
      <w:r>
        <w:rPr>
          <w:rFonts w:hint="eastAsia" w:ascii="宋体" w:hAnsi="宋体" w:cs="宋体"/>
          <w:sz w:val="24"/>
        </w:rPr>
        <w:t>提供主机杀毒服务，通过杀毒软件，对云主机进行定期的病毒查杀，杀毒软件集中控制。</w:t>
      </w:r>
    </w:p>
    <w:p w14:paraId="674707FD">
      <w:pPr>
        <w:suppressAutoHyphens/>
        <w:ind w:firstLine="482" w:firstLineChars="200"/>
        <w:rPr>
          <w:rFonts w:ascii="宋体" w:hAnsi="宋体" w:cs="宋体"/>
          <w:b/>
          <w:bCs/>
          <w:sz w:val="24"/>
        </w:rPr>
      </w:pPr>
      <w:r>
        <w:rPr>
          <w:rFonts w:hint="eastAsia" w:ascii="宋体" w:hAnsi="宋体" w:cs="宋体"/>
          <w:b/>
          <w:bCs/>
          <w:sz w:val="24"/>
        </w:rPr>
        <w:t>7.2服务标准</w:t>
      </w:r>
    </w:p>
    <w:p w14:paraId="41BACFED">
      <w:pPr>
        <w:suppressAutoHyphens/>
        <w:snapToGrid w:val="0"/>
        <w:spacing w:line="360" w:lineRule="auto"/>
        <w:ind w:firstLine="480" w:firstLineChars="200"/>
        <w:rPr>
          <w:rFonts w:ascii="宋体" w:hAnsi="宋体" w:cs="宋体"/>
          <w:sz w:val="24"/>
        </w:rPr>
      </w:pPr>
      <w:r>
        <w:rPr>
          <w:rFonts w:hint="eastAsia" w:ascii="宋体" w:hAnsi="宋体" w:cs="宋体"/>
          <w:sz w:val="24"/>
        </w:rPr>
        <w:t>7.2.1 投标人所提供云平台应符合国家及行业标准、规范。政务云平台应参照《信息安全技术 网络安全等级保护基本要求》（GB/T22239-2019）第三级安全要求进行建设。</w:t>
      </w:r>
    </w:p>
    <w:p w14:paraId="37B21A98">
      <w:pPr>
        <w:suppressAutoHyphens/>
        <w:snapToGrid w:val="0"/>
        <w:spacing w:line="360" w:lineRule="auto"/>
        <w:ind w:firstLine="480" w:firstLineChars="200"/>
        <w:rPr>
          <w:rFonts w:ascii="宋体" w:hAnsi="宋体" w:cs="宋体"/>
          <w:sz w:val="24"/>
        </w:rPr>
      </w:pPr>
      <w:r>
        <w:rPr>
          <w:rFonts w:hint="eastAsia" w:ascii="宋体" w:hAnsi="宋体" w:cs="宋体"/>
          <w:sz w:val="24"/>
        </w:rPr>
        <w:t>7.2.2 在单一云平台内部，政务投标人需要实现不同用户间业务应用系统及数据的安全隔离。</w:t>
      </w:r>
    </w:p>
    <w:p w14:paraId="5851A422">
      <w:pPr>
        <w:suppressAutoHyphens/>
        <w:snapToGrid w:val="0"/>
        <w:spacing w:line="360" w:lineRule="auto"/>
        <w:ind w:firstLine="480" w:firstLineChars="200"/>
        <w:rPr>
          <w:rFonts w:ascii="宋体" w:hAnsi="宋体" w:cs="宋体"/>
          <w:sz w:val="24"/>
        </w:rPr>
      </w:pPr>
      <w:r>
        <w:rPr>
          <w:rFonts w:hint="eastAsia" w:ascii="宋体" w:hAnsi="宋体" w:cs="宋体"/>
          <w:sz w:val="24"/>
        </w:rPr>
        <w:t>7.2.3 投标人应建立政务云平台应急管理体系，定期开展应急演练工作，保障灾难发生时，及时协助市文化市场执法总队开展系统应急工作，恢复系统及数据。</w:t>
      </w:r>
    </w:p>
    <w:p w14:paraId="38AFB0C2">
      <w:pPr>
        <w:suppressAutoHyphens/>
        <w:snapToGrid w:val="0"/>
        <w:spacing w:line="360" w:lineRule="auto"/>
        <w:ind w:firstLine="480" w:firstLineChars="200"/>
        <w:rPr>
          <w:rFonts w:ascii="宋体" w:hAnsi="宋体" w:cs="宋体"/>
          <w:sz w:val="24"/>
        </w:rPr>
      </w:pPr>
      <w:r>
        <w:rPr>
          <w:rFonts w:hint="eastAsia" w:ascii="宋体" w:hAnsi="宋体" w:cs="宋体"/>
          <w:sz w:val="24"/>
        </w:rPr>
        <w:t>7.2.4 投标人应建立政务云平台重要时期安全保障体系，保障市文化市场执法总队政务信息系统在重要时期安全、稳定运行。</w:t>
      </w:r>
    </w:p>
    <w:p w14:paraId="5F240A1D">
      <w:pPr>
        <w:suppressAutoHyphens/>
        <w:snapToGrid w:val="0"/>
        <w:spacing w:line="360" w:lineRule="auto"/>
        <w:ind w:firstLine="480" w:firstLineChars="200"/>
        <w:rPr>
          <w:rFonts w:ascii="宋体" w:hAnsi="宋体" w:cs="宋体"/>
          <w:b/>
          <w:sz w:val="24"/>
        </w:rPr>
      </w:pPr>
      <w:r>
        <w:rPr>
          <w:rFonts w:hint="eastAsia" w:ascii="宋体" w:hAnsi="宋体" w:cs="宋体"/>
          <w:sz w:val="24"/>
        </w:rPr>
        <w:t>7.2.5 投标人应遵守市文化市场执法总队关于个人数据、敏感数据、重要数据保护、隐私保护相关规定，未经允许不得对云平台上的任何数据进行非法截取、加工、分析处理，严禁信息泄露给任何单位和个人。</w:t>
      </w:r>
    </w:p>
    <w:p w14:paraId="0CEBEB69">
      <w:pPr>
        <w:keepNext/>
        <w:keepLines/>
        <w:suppressAutoHyphens/>
        <w:spacing w:before="260" w:after="200"/>
        <w:ind w:left="210" w:leftChars="100"/>
        <w:outlineLvl w:val="1"/>
        <w:rPr>
          <w:rFonts w:ascii="楷体" w:hAnsi="楷体" w:eastAsia="楷体" w:cs="楷体"/>
          <w:b/>
          <w:sz w:val="24"/>
        </w:rPr>
      </w:pPr>
      <w:bookmarkStart w:id="23" w:name="_Toc19279"/>
      <w:r>
        <w:rPr>
          <w:rFonts w:hint="eastAsia" w:ascii="楷体" w:hAnsi="楷体" w:eastAsia="楷体" w:cs="楷体"/>
          <w:b/>
          <w:sz w:val="24"/>
        </w:rPr>
        <w:t>（八）运维服务</w:t>
      </w:r>
      <w:bookmarkEnd w:id="23"/>
    </w:p>
    <w:p w14:paraId="5D359F15">
      <w:pPr>
        <w:suppressAutoHyphens/>
        <w:ind w:firstLine="482" w:firstLineChars="200"/>
        <w:rPr>
          <w:rFonts w:ascii="宋体" w:hAnsi="宋体" w:cs="宋体"/>
          <w:b/>
          <w:bCs/>
          <w:sz w:val="24"/>
        </w:rPr>
      </w:pPr>
      <w:r>
        <w:rPr>
          <w:rFonts w:hint="eastAsia" w:ascii="宋体" w:hAnsi="宋体" w:cs="宋体"/>
          <w:b/>
          <w:bCs/>
          <w:sz w:val="24"/>
        </w:rPr>
        <w:t>8.1服务内容</w:t>
      </w:r>
    </w:p>
    <w:p w14:paraId="5F0F2272">
      <w:pPr>
        <w:suppressAutoHyphens/>
        <w:snapToGrid w:val="0"/>
        <w:spacing w:line="360" w:lineRule="auto"/>
        <w:ind w:firstLine="480" w:firstLineChars="200"/>
        <w:rPr>
          <w:rFonts w:ascii="宋体" w:hAnsi="宋体" w:cs="宋体"/>
          <w:sz w:val="24"/>
        </w:rPr>
      </w:pPr>
      <w:r>
        <w:rPr>
          <w:rFonts w:hint="eastAsia" w:ascii="宋体" w:hAnsi="宋体" w:cs="宋体"/>
          <w:sz w:val="24"/>
        </w:rPr>
        <w:t>8.1.1 负责机房环境资源、云平台硬件资产、虚拟化资产的管理工作；</w:t>
      </w:r>
    </w:p>
    <w:p w14:paraId="3A3C77E8">
      <w:pPr>
        <w:suppressAutoHyphens/>
        <w:snapToGrid w:val="0"/>
        <w:spacing w:line="360" w:lineRule="auto"/>
        <w:ind w:firstLine="480" w:firstLineChars="200"/>
        <w:rPr>
          <w:rFonts w:ascii="宋体" w:hAnsi="宋体" w:cs="宋体"/>
          <w:sz w:val="24"/>
        </w:rPr>
      </w:pPr>
      <w:r>
        <w:rPr>
          <w:rFonts w:hint="eastAsia" w:ascii="宋体" w:hAnsi="宋体" w:cs="宋体"/>
          <w:sz w:val="24"/>
        </w:rPr>
        <w:t>8.1.2 信息系统入云、上线、变更、退出等各阶段的备案与信息变更等工作；</w:t>
      </w:r>
    </w:p>
    <w:p w14:paraId="7A63464A">
      <w:pPr>
        <w:suppressAutoHyphens/>
        <w:snapToGrid w:val="0"/>
        <w:spacing w:line="360" w:lineRule="auto"/>
        <w:ind w:firstLine="480" w:firstLineChars="200"/>
        <w:rPr>
          <w:rFonts w:ascii="宋体" w:hAnsi="宋体" w:cs="宋体"/>
          <w:sz w:val="24"/>
        </w:rPr>
      </w:pPr>
      <w:r>
        <w:rPr>
          <w:rFonts w:hint="eastAsia" w:ascii="宋体" w:hAnsi="宋体" w:cs="宋体"/>
          <w:sz w:val="24"/>
        </w:rPr>
        <w:t>8.1.3 执行云平台变更申请、审批流程；</w:t>
      </w:r>
    </w:p>
    <w:p w14:paraId="5EA7556A">
      <w:pPr>
        <w:suppressAutoHyphens/>
        <w:snapToGrid w:val="0"/>
        <w:spacing w:line="360" w:lineRule="auto"/>
        <w:ind w:firstLine="480" w:firstLineChars="200"/>
        <w:rPr>
          <w:rFonts w:ascii="宋体" w:hAnsi="宋体" w:cs="宋体"/>
          <w:sz w:val="24"/>
        </w:rPr>
      </w:pPr>
      <w:r>
        <w:rPr>
          <w:rFonts w:hint="eastAsia" w:ascii="宋体" w:hAnsi="宋体" w:cs="宋体"/>
          <w:sz w:val="24"/>
        </w:rPr>
        <w:t>8.1.4 云平台网络资源管理，针对内部地址使用情况、云平台专线接入情况、政务外网资源使用情况等做好统计工作；</w:t>
      </w:r>
    </w:p>
    <w:p w14:paraId="6E6DEA21">
      <w:pPr>
        <w:suppressAutoHyphens/>
        <w:snapToGrid w:val="0"/>
        <w:spacing w:line="360" w:lineRule="auto"/>
        <w:ind w:firstLine="480" w:firstLineChars="200"/>
        <w:rPr>
          <w:rFonts w:ascii="宋体" w:hAnsi="宋体" w:cs="宋体"/>
          <w:sz w:val="24"/>
        </w:rPr>
      </w:pPr>
      <w:r>
        <w:rPr>
          <w:rFonts w:hint="eastAsia" w:ascii="宋体" w:hAnsi="宋体" w:cs="宋体"/>
          <w:sz w:val="24"/>
        </w:rPr>
        <w:t>8.1.5 服务期内，投标人须配备运维团队，提供可靠的售后服务保障。投标人针对采购人要求的云平台运维服务相关内容，需指定专业技术能力较强的工程师，根据采购人要求配合开展相关维护服务。</w:t>
      </w:r>
    </w:p>
    <w:p w14:paraId="6E37C54D">
      <w:pPr>
        <w:suppressAutoHyphens/>
        <w:ind w:firstLine="482" w:firstLineChars="200"/>
        <w:rPr>
          <w:rFonts w:ascii="宋体" w:hAnsi="宋体" w:cs="宋体"/>
          <w:b/>
          <w:bCs/>
          <w:sz w:val="24"/>
        </w:rPr>
      </w:pPr>
      <w:r>
        <w:rPr>
          <w:rFonts w:hint="eastAsia" w:ascii="宋体" w:hAnsi="宋体" w:cs="宋体"/>
          <w:b/>
          <w:bCs/>
          <w:sz w:val="24"/>
        </w:rPr>
        <w:t>8.2服务标准</w:t>
      </w:r>
    </w:p>
    <w:p w14:paraId="46B6CE22">
      <w:pPr>
        <w:suppressAutoHyphens/>
        <w:snapToGrid w:val="0"/>
        <w:spacing w:line="360" w:lineRule="auto"/>
        <w:ind w:firstLine="480" w:firstLineChars="200"/>
        <w:rPr>
          <w:rFonts w:ascii="宋体" w:hAnsi="宋体" w:cs="宋体"/>
          <w:sz w:val="24"/>
        </w:rPr>
      </w:pPr>
      <w:r>
        <w:rPr>
          <w:rFonts w:hint="eastAsia" w:ascii="宋体" w:hAnsi="宋体" w:cs="宋体"/>
          <w:sz w:val="24"/>
        </w:rPr>
        <w:t>8.2.1 提供技术服务热线(7*24小时) 负责解答政务云平台使用中遇到的问题，并及时提出解决问题的建议和操作方法，方式应包括邮件、电话、即时通讯工具等；在服务期内，提供7*24小时的现场和技术支持服务，对故障15分钟内响应；4小时内到达云机房；</w:t>
      </w:r>
    </w:p>
    <w:p w14:paraId="3889B2C9">
      <w:pPr>
        <w:suppressAutoHyphens/>
        <w:snapToGrid w:val="0"/>
        <w:spacing w:line="360" w:lineRule="auto"/>
        <w:ind w:firstLine="480" w:firstLineChars="200"/>
        <w:rPr>
          <w:rFonts w:ascii="宋体" w:hAnsi="宋体" w:cs="宋体"/>
          <w:sz w:val="24"/>
        </w:rPr>
      </w:pPr>
      <w:r>
        <w:rPr>
          <w:rFonts w:hint="eastAsia" w:ascii="宋体" w:hAnsi="宋体" w:cs="宋体"/>
          <w:sz w:val="24"/>
        </w:rPr>
        <w:t>8.2.2 建立全面、及时的监控和预警体系，实现对市文化市场执法总队云资源的统一管理、统计和展示，具备支撑云资源的绩效情况统计能力。能够快速发现和展示网络、主机、存储、应用、虚拟化等资源故障，并能够及时通知相关运维管理人员；</w:t>
      </w:r>
    </w:p>
    <w:p w14:paraId="014F366A">
      <w:pPr>
        <w:suppressAutoHyphens/>
        <w:snapToGrid w:val="0"/>
        <w:spacing w:line="360" w:lineRule="auto"/>
        <w:ind w:firstLine="480" w:firstLineChars="200"/>
        <w:rPr>
          <w:rFonts w:ascii="宋体" w:hAnsi="宋体" w:cs="宋体"/>
          <w:sz w:val="24"/>
        </w:rPr>
      </w:pPr>
      <w:r>
        <w:rPr>
          <w:rFonts w:hint="eastAsia" w:ascii="宋体" w:hAnsi="宋体" w:cs="宋体"/>
          <w:sz w:val="24"/>
        </w:rPr>
        <w:t>8.2.</w:t>
      </w:r>
      <w:r>
        <w:rPr>
          <w:rFonts w:ascii="宋体" w:hAnsi="宋体" w:cs="宋体"/>
          <w:sz w:val="24"/>
        </w:rPr>
        <w:t>3</w:t>
      </w:r>
      <w:r>
        <w:rPr>
          <w:rFonts w:hint="eastAsia" w:ascii="宋体" w:hAnsi="宋体" w:cs="宋体"/>
          <w:sz w:val="24"/>
        </w:rPr>
        <w:t xml:space="preserve"> 需要保障基础设施资源可扩展性，应具备资源动态调整机制，根据业务系统运行情况进行资源的动态调整；</w:t>
      </w:r>
    </w:p>
    <w:p w14:paraId="25DCB5B6">
      <w:pPr>
        <w:suppressAutoHyphens/>
        <w:snapToGrid w:val="0"/>
        <w:spacing w:line="360" w:lineRule="auto"/>
        <w:ind w:firstLine="480" w:firstLineChars="200"/>
        <w:rPr>
          <w:rFonts w:ascii="宋体" w:hAnsi="宋体" w:cs="宋体"/>
          <w:sz w:val="24"/>
        </w:rPr>
      </w:pPr>
      <w:r>
        <w:rPr>
          <w:rFonts w:hint="eastAsia" w:ascii="宋体" w:hAnsi="宋体" w:cs="宋体"/>
          <w:sz w:val="24"/>
        </w:rPr>
        <w:t>8.2.</w:t>
      </w:r>
      <w:r>
        <w:rPr>
          <w:rFonts w:ascii="宋体" w:hAnsi="宋体" w:cs="宋体"/>
          <w:sz w:val="24"/>
        </w:rPr>
        <w:t>4</w:t>
      </w:r>
      <w:r>
        <w:rPr>
          <w:rFonts w:hint="eastAsia" w:ascii="宋体" w:hAnsi="宋体" w:cs="宋体"/>
          <w:sz w:val="24"/>
        </w:rPr>
        <w:t xml:space="preserve"> 应为总队建立政务云平台云主机、网络配置策略等信息化技术资料资产档案，为云主机管理和维护提供依据，并于每月月底根据云主机的资源的变更进行档案的更新；</w:t>
      </w:r>
    </w:p>
    <w:p w14:paraId="0C8BA38E">
      <w:pPr>
        <w:suppressAutoHyphens/>
        <w:snapToGrid w:val="0"/>
        <w:spacing w:line="360" w:lineRule="auto"/>
        <w:ind w:firstLine="480" w:firstLineChars="200"/>
        <w:rPr>
          <w:rFonts w:ascii="宋体" w:hAnsi="宋体" w:cs="宋体"/>
          <w:sz w:val="24"/>
        </w:rPr>
      </w:pPr>
      <w:r>
        <w:rPr>
          <w:rFonts w:hint="eastAsia" w:ascii="宋体" w:hAnsi="宋体" w:cs="宋体"/>
          <w:sz w:val="24"/>
        </w:rPr>
        <w:t>8.2.</w:t>
      </w:r>
      <w:r>
        <w:rPr>
          <w:rFonts w:ascii="宋体" w:hAnsi="宋体" w:cs="宋体"/>
          <w:sz w:val="24"/>
        </w:rPr>
        <w:t>5</w:t>
      </w:r>
      <w:r>
        <w:rPr>
          <w:rFonts w:hint="eastAsia" w:ascii="宋体" w:hAnsi="宋体" w:cs="宋体"/>
          <w:sz w:val="24"/>
        </w:rPr>
        <w:t xml:space="preserve"> 有接受总队政务云平台安全管理相关工作义务，在运维服务期间应按时参加运维监理工作会议，落实监理会议工作要求；</w:t>
      </w:r>
    </w:p>
    <w:p w14:paraId="6A114211">
      <w:pPr>
        <w:suppressAutoHyphens/>
        <w:snapToGrid w:val="0"/>
        <w:spacing w:line="360" w:lineRule="auto"/>
        <w:ind w:firstLine="480" w:firstLineChars="200"/>
        <w:rPr>
          <w:rFonts w:ascii="宋体" w:hAnsi="宋体" w:cs="宋体"/>
          <w:sz w:val="24"/>
        </w:rPr>
      </w:pPr>
      <w:r>
        <w:rPr>
          <w:rFonts w:hint="eastAsia" w:ascii="宋体" w:hAnsi="宋体" w:cs="宋体"/>
          <w:sz w:val="24"/>
        </w:rPr>
        <w:t>8.2.</w:t>
      </w:r>
      <w:r>
        <w:rPr>
          <w:rFonts w:ascii="宋体" w:hAnsi="宋体" w:cs="宋体"/>
          <w:sz w:val="24"/>
        </w:rPr>
        <w:t>6</w:t>
      </w:r>
      <w:r>
        <w:rPr>
          <w:rFonts w:hint="eastAsia" w:ascii="宋体" w:hAnsi="宋体" w:cs="宋体"/>
          <w:sz w:val="24"/>
        </w:rPr>
        <w:t xml:space="preserve"> 有技术统计与汇报的义务，需每月记录、收集云资源变化情况、云主机杀毒、ATP防护、抗</w:t>
      </w:r>
      <w:r>
        <w:rPr>
          <w:rFonts w:hint="eastAsia" w:ascii="宋体" w:hAnsi="宋体" w:cs="宋体"/>
          <w:sz w:val="24"/>
          <w:lang w:eastAsia="zh-CN"/>
        </w:rPr>
        <w:t>DDOS</w:t>
      </w:r>
      <w:r>
        <w:rPr>
          <w:rFonts w:hint="eastAsia" w:ascii="宋体" w:hAnsi="宋体" w:cs="宋体"/>
          <w:sz w:val="24"/>
        </w:rPr>
        <w:t>服务系统安全运行工作情况，并按总队信息化运维工作要求，向总队相关人员汇报工作情况及提交每月运行巡检报告；</w:t>
      </w:r>
    </w:p>
    <w:p w14:paraId="75DCAAC2">
      <w:pPr>
        <w:suppressAutoHyphens/>
        <w:snapToGrid w:val="0"/>
        <w:spacing w:line="360" w:lineRule="auto"/>
        <w:ind w:firstLine="480" w:firstLineChars="200"/>
        <w:rPr>
          <w:rFonts w:ascii="宋体" w:hAnsi="宋体" w:cs="宋体"/>
          <w:sz w:val="24"/>
        </w:rPr>
      </w:pPr>
      <w:r>
        <w:rPr>
          <w:rFonts w:hint="eastAsia" w:ascii="宋体" w:hAnsi="宋体" w:cs="宋体"/>
          <w:sz w:val="24"/>
        </w:rPr>
        <w:t>8.2.</w:t>
      </w:r>
      <w:r>
        <w:rPr>
          <w:rFonts w:ascii="宋体" w:hAnsi="宋体" w:cs="宋体"/>
          <w:sz w:val="24"/>
        </w:rPr>
        <w:t>7</w:t>
      </w:r>
      <w:r>
        <w:rPr>
          <w:rFonts w:hint="eastAsia" w:ascii="宋体" w:hAnsi="宋体" w:cs="宋体"/>
          <w:sz w:val="24"/>
        </w:rPr>
        <w:t xml:space="preserve"> 应就本项目提出明确的实施方案，并以此作为项目实施过程管理依据；</w:t>
      </w:r>
    </w:p>
    <w:p w14:paraId="1DE507D5">
      <w:pPr>
        <w:suppressAutoHyphens/>
        <w:snapToGrid w:val="0"/>
        <w:spacing w:line="360" w:lineRule="auto"/>
        <w:ind w:firstLine="480" w:firstLineChars="200"/>
        <w:rPr>
          <w:rFonts w:ascii="宋体" w:hAnsi="宋体" w:cs="宋体"/>
          <w:sz w:val="24"/>
        </w:rPr>
      </w:pPr>
      <w:r>
        <w:rPr>
          <w:rFonts w:hint="eastAsia" w:ascii="宋体" w:hAnsi="宋体" w:cs="宋体"/>
          <w:sz w:val="24"/>
        </w:rPr>
        <w:t>8.2.</w:t>
      </w:r>
      <w:r>
        <w:rPr>
          <w:rFonts w:ascii="宋体" w:hAnsi="宋体" w:cs="宋体"/>
          <w:sz w:val="24"/>
        </w:rPr>
        <w:t>8</w:t>
      </w:r>
      <w:r>
        <w:rPr>
          <w:rFonts w:hint="eastAsia" w:ascii="宋体" w:hAnsi="宋体" w:cs="宋体"/>
          <w:sz w:val="24"/>
        </w:rPr>
        <w:t xml:space="preserve"> 应按照质量管理和质量保证体系，提出具体措施，确保项目质量。</w:t>
      </w:r>
    </w:p>
    <w:p w14:paraId="341025D0">
      <w:pPr>
        <w:suppressAutoHyphens/>
        <w:snapToGrid w:val="0"/>
        <w:spacing w:line="360" w:lineRule="auto"/>
        <w:ind w:firstLine="480" w:firstLineChars="200"/>
        <w:rPr>
          <w:rFonts w:ascii="宋体" w:hAnsi="宋体" w:cs="宋体"/>
          <w:sz w:val="24"/>
        </w:rPr>
      </w:pPr>
      <w:r>
        <w:rPr>
          <w:rFonts w:hint="eastAsia" w:ascii="宋体" w:hAnsi="宋体" w:cs="宋体"/>
          <w:sz w:val="24"/>
        </w:rPr>
        <w:t>8.2.9 应充分认识到项目风险管理的重要性，在投标文件中必须分析识别项目中的各类风险因素，并采取相应的对策。</w:t>
      </w:r>
    </w:p>
    <w:p w14:paraId="38FF70E7">
      <w:pPr>
        <w:suppressAutoHyphens/>
        <w:snapToGrid w:val="0"/>
        <w:spacing w:line="360" w:lineRule="auto"/>
        <w:ind w:firstLine="480" w:firstLineChars="200"/>
        <w:rPr>
          <w:rFonts w:ascii="宋体" w:hAnsi="宋体" w:cs="宋体"/>
          <w:b/>
          <w:sz w:val="24"/>
        </w:rPr>
      </w:pPr>
      <w:r>
        <w:rPr>
          <w:rFonts w:hint="eastAsia" w:ascii="宋体" w:hAnsi="宋体" w:cs="宋体"/>
          <w:sz w:val="24"/>
        </w:rPr>
        <w:t>8.2.10提供的运维服务须满足采购人要求，用户满意率达到90%以上，故障响应率达到100%以上，故障排除率达到95%以上，维护响应时间少于30分钟，业务恢复时间少于2小时，并确保全年无重大安全事件。</w:t>
      </w:r>
    </w:p>
    <w:p w14:paraId="71AE3F37">
      <w:pPr>
        <w:keepNext/>
        <w:keepLines/>
        <w:suppressAutoHyphens/>
        <w:spacing w:before="260" w:after="200"/>
        <w:ind w:left="210" w:leftChars="100"/>
        <w:outlineLvl w:val="1"/>
        <w:rPr>
          <w:rFonts w:ascii="楷体" w:hAnsi="楷体" w:eastAsia="楷体" w:cs="楷体"/>
          <w:b/>
          <w:sz w:val="24"/>
        </w:rPr>
      </w:pPr>
      <w:bookmarkStart w:id="24" w:name="_Toc28361"/>
      <w:r>
        <w:rPr>
          <w:rFonts w:hint="eastAsia" w:ascii="楷体" w:hAnsi="楷体" w:eastAsia="楷体" w:cs="楷体"/>
          <w:b/>
          <w:sz w:val="24"/>
        </w:rPr>
        <w:t>（九）备份服务</w:t>
      </w:r>
      <w:bookmarkEnd w:id="24"/>
    </w:p>
    <w:p w14:paraId="3B907DE2">
      <w:pPr>
        <w:suppressAutoHyphens/>
        <w:ind w:firstLine="482" w:firstLineChars="200"/>
        <w:rPr>
          <w:rFonts w:ascii="宋体" w:hAnsi="宋体" w:cs="宋体"/>
          <w:b/>
          <w:bCs/>
          <w:sz w:val="24"/>
        </w:rPr>
      </w:pPr>
      <w:r>
        <w:rPr>
          <w:rFonts w:hint="eastAsia" w:ascii="宋体" w:hAnsi="宋体" w:cs="宋体"/>
          <w:b/>
          <w:bCs/>
          <w:sz w:val="24"/>
        </w:rPr>
        <w:t>9.1服务内容</w:t>
      </w:r>
    </w:p>
    <w:p w14:paraId="500D78A5">
      <w:pPr>
        <w:suppressAutoHyphens/>
        <w:snapToGrid w:val="0"/>
        <w:spacing w:line="360" w:lineRule="auto"/>
        <w:ind w:firstLine="480" w:firstLineChars="200"/>
        <w:rPr>
          <w:rFonts w:ascii="宋体" w:hAnsi="宋体" w:cs="宋体"/>
          <w:sz w:val="24"/>
        </w:rPr>
      </w:pPr>
      <w:r>
        <w:rPr>
          <w:rFonts w:hint="eastAsia" w:ascii="宋体" w:hAnsi="宋体" w:cs="宋体"/>
          <w:sz w:val="24"/>
        </w:rPr>
        <w:t>投标人需提供6930GB的租用快照备份服务。</w:t>
      </w:r>
    </w:p>
    <w:p w14:paraId="09823C00">
      <w:pPr>
        <w:suppressAutoHyphens/>
        <w:ind w:firstLine="482" w:firstLineChars="200"/>
        <w:rPr>
          <w:rFonts w:ascii="宋体" w:hAnsi="宋体" w:cs="宋体"/>
          <w:b/>
          <w:bCs/>
          <w:sz w:val="24"/>
        </w:rPr>
      </w:pPr>
      <w:r>
        <w:rPr>
          <w:rFonts w:hint="eastAsia" w:ascii="宋体" w:hAnsi="宋体" w:cs="宋体"/>
          <w:b/>
          <w:bCs/>
          <w:sz w:val="24"/>
        </w:rPr>
        <w:t>9.2服务标准</w:t>
      </w:r>
    </w:p>
    <w:p w14:paraId="335DC427">
      <w:pPr>
        <w:suppressAutoHyphens/>
        <w:snapToGrid w:val="0"/>
        <w:spacing w:line="360" w:lineRule="auto"/>
        <w:ind w:firstLine="480" w:firstLineChars="200"/>
        <w:rPr>
          <w:rFonts w:ascii="宋体" w:hAnsi="宋体" w:cs="宋体"/>
          <w:b/>
          <w:sz w:val="24"/>
        </w:rPr>
      </w:pPr>
      <w:r>
        <w:rPr>
          <w:rFonts w:hint="eastAsia" w:ascii="宋体" w:hAnsi="宋体" w:cs="宋体"/>
          <w:sz w:val="24"/>
        </w:rPr>
        <w:t>需利用快照备份云主机设置和磁盘数据，当云主机系统崩溃或软件运行异常时，可以通过快照快速的恢复云主机及磁盘数据。</w:t>
      </w:r>
    </w:p>
    <w:p w14:paraId="76FAD77D">
      <w:pPr>
        <w:keepNext/>
        <w:keepLines/>
        <w:suppressAutoHyphens/>
        <w:spacing w:before="260" w:after="200"/>
        <w:ind w:left="210" w:leftChars="100"/>
        <w:outlineLvl w:val="1"/>
        <w:rPr>
          <w:rFonts w:ascii="楷体" w:hAnsi="楷体" w:eastAsia="楷体" w:cs="楷体"/>
          <w:b/>
          <w:sz w:val="24"/>
        </w:rPr>
      </w:pPr>
      <w:bookmarkStart w:id="25" w:name="_Toc4320"/>
      <w:r>
        <w:rPr>
          <w:rFonts w:hint="eastAsia" w:ascii="楷体" w:hAnsi="楷体" w:eastAsia="楷体" w:cs="楷体"/>
          <w:b/>
          <w:sz w:val="24"/>
        </w:rPr>
        <w:t>（十）日志服务</w:t>
      </w:r>
      <w:bookmarkEnd w:id="25"/>
    </w:p>
    <w:p w14:paraId="23C90229">
      <w:pPr>
        <w:suppressAutoHyphens/>
        <w:snapToGrid w:val="0"/>
        <w:spacing w:line="360" w:lineRule="auto"/>
        <w:ind w:firstLine="482" w:firstLineChars="200"/>
        <w:rPr>
          <w:rFonts w:ascii="宋体" w:hAnsi="宋体" w:cs="宋体"/>
          <w:b/>
          <w:sz w:val="24"/>
        </w:rPr>
      </w:pPr>
      <w:r>
        <w:rPr>
          <w:rFonts w:hint="eastAsia" w:ascii="宋体" w:hAnsi="宋体" w:cs="宋体"/>
          <w:b/>
          <w:bCs/>
          <w:sz w:val="24"/>
        </w:rPr>
        <w:t>无</w:t>
      </w:r>
    </w:p>
    <w:p w14:paraId="1128714F">
      <w:pPr>
        <w:keepNext/>
        <w:keepLines/>
        <w:suppressAutoHyphens/>
        <w:spacing w:before="260" w:after="200"/>
        <w:ind w:left="210" w:leftChars="100"/>
        <w:outlineLvl w:val="1"/>
        <w:rPr>
          <w:rFonts w:ascii="楷体" w:hAnsi="楷体" w:eastAsia="楷体" w:cs="楷体"/>
          <w:b/>
          <w:sz w:val="24"/>
        </w:rPr>
      </w:pPr>
      <w:bookmarkStart w:id="26" w:name="_Toc28153"/>
      <w:r>
        <w:rPr>
          <w:rFonts w:hint="eastAsia" w:ascii="楷体" w:hAnsi="楷体" w:eastAsia="楷体" w:cs="楷体"/>
          <w:b/>
          <w:sz w:val="24"/>
        </w:rPr>
        <w:t>（十一）迁移服务</w:t>
      </w:r>
      <w:bookmarkEnd w:id="26"/>
    </w:p>
    <w:p w14:paraId="6E1E405E">
      <w:pPr>
        <w:suppressAutoHyphens/>
        <w:rPr>
          <w:rFonts w:ascii="Calibri" w:hAnsi="Calibri"/>
        </w:rPr>
      </w:pPr>
      <w:r>
        <w:rPr>
          <w:rFonts w:hint="eastAsia" w:ascii="宋体" w:hAnsi="宋体" w:cs="宋体"/>
          <w:b/>
          <w:bCs/>
          <w:sz w:val="24"/>
        </w:rPr>
        <w:t>11.1服务内容</w:t>
      </w:r>
    </w:p>
    <w:p w14:paraId="3BBCF2F0">
      <w:pPr>
        <w:suppressAutoHyphens/>
        <w:snapToGrid w:val="0"/>
        <w:spacing w:line="360" w:lineRule="auto"/>
        <w:ind w:firstLine="480" w:firstLineChars="200"/>
        <w:rPr>
          <w:rFonts w:ascii="宋体" w:hAnsi="宋体" w:cs="宋体"/>
          <w:sz w:val="24"/>
        </w:rPr>
      </w:pPr>
      <w:r>
        <w:rPr>
          <w:rFonts w:hint="eastAsia" w:ascii="宋体" w:hAnsi="宋体" w:cs="宋体"/>
          <w:sz w:val="24"/>
        </w:rPr>
        <w:t>投标人需提供整体的业务上云迁移服务，应支持X86云主机迁移、X86物理主机迁移、单机数据库迁移、高可用数据库迁移等迁移场景。负责需求调研、架构规划设计、应用迁移部署等工作。</w:t>
      </w:r>
    </w:p>
    <w:p w14:paraId="14282E44">
      <w:pPr>
        <w:suppressAutoHyphens/>
        <w:ind w:firstLine="482" w:firstLineChars="200"/>
        <w:rPr>
          <w:rFonts w:ascii="宋体" w:hAnsi="宋体" w:cs="宋体"/>
          <w:bCs/>
          <w:color w:val="000000"/>
          <w:sz w:val="24"/>
          <w:lang w:bidi="ar"/>
        </w:rPr>
      </w:pPr>
      <w:r>
        <w:rPr>
          <w:rFonts w:hint="eastAsia" w:ascii="宋体" w:hAnsi="宋体" w:cs="宋体"/>
          <w:b/>
          <w:bCs/>
          <w:sz w:val="24"/>
        </w:rPr>
        <w:t>11.2服务标准</w:t>
      </w:r>
    </w:p>
    <w:p w14:paraId="0D188F53">
      <w:pPr>
        <w:suppressAutoHyphens/>
        <w:snapToGrid w:val="0"/>
        <w:spacing w:line="360" w:lineRule="auto"/>
        <w:ind w:firstLine="480" w:firstLineChars="200"/>
        <w:rPr>
          <w:rFonts w:ascii="宋体" w:hAnsi="宋体" w:cs="宋体"/>
          <w:sz w:val="24"/>
        </w:rPr>
      </w:pPr>
      <w:r>
        <w:rPr>
          <w:rFonts w:hint="eastAsia" w:ascii="宋体" w:hAnsi="宋体" w:cs="宋体"/>
          <w:sz w:val="24"/>
        </w:rPr>
        <w:t>在本项目服务期内，投标人须承诺不因采购人信息系统在市级政务云平台运行环境发生变化（如现有政务云基础服务供应商资质有效期等客观因素导致的政务云技术环境变化，系统政务云基础服务供应商调整而导致的入云迁移等）而中断提供政务云服务、减少服务内容或降低服务质量；如涉及迁移工作，需提供切实可行的系统迁移方案, 并明确迁移时间，保证现有业务系统在不中断业务的情况下平滑迁移至中标人云平台，确保上述变化所涉及的系统入云迁移、适配等各项工作中，投标人应始终具备必需的技术条件和必要的资源，用以保证采购人信息系统能够始终在市级政务云下保持安全稳定运行，并继续为采购人提供有效的政务云服务，由此产生的全部费用（包括但不限于中标人迁移测试阶段的云资源费用，第三方对业务系统的部署、调试费用等）均由中标人承担。</w:t>
      </w:r>
    </w:p>
    <w:p w14:paraId="18842402">
      <w:pPr>
        <w:suppressAutoHyphens/>
        <w:rPr>
          <w:rFonts w:ascii="宋体" w:hAnsi="宋体" w:cs="宋体"/>
          <w:sz w:val="24"/>
        </w:rPr>
      </w:pPr>
      <w:r>
        <w:rPr>
          <w:rFonts w:hint="eastAsia" w:ascii="宋体" w:hAnsi="宋体" w:cs="宋体"/>
          <w:sz w:val="24"/>
        </w:rPr>
        <w:t>投标人根据采购人需求完成系统迁移工作，并且不能改变和影响原有系统的功能、技术状态以及采购人的使用习惯。未按时完成系统迁移工作的，采购人有权解除合同并有权要求投标人按合同首付款双倍支付违约金。</w:t>
      </w:r>
      <w:r>
        <w:rPr>
          <w:rFonts w:hint="eastAsia" w:ascii="宋体" w:hAnsi="宋体" w:cs="宋体"/>
          <w:sz w:val="24"/>
        </w:rPr>
        <w:br w:type="page"/>
      </w:r>
    </w:p>
    <w:p w14:paraId="0864693E">
      <w:pPr>
        <w:keepNext/>
        <w:keepLines/>
        <w:suppressAutoHyphens/>
        <w:spacing w:before="260" w:after="200"/>
        <w:ind w:left="210" w:leftChars="100"/>
        <w:outlineLvl w:val="1"/>
        <w:rPr>
          <w:rFonts w:ascii="楷体" w:hAnsi="楷体" w:eastAsia="楷体" w:cs="楷体"/>
          <w:b/>
          <w:sz w:val="24"/>
        </w:rPr>
      </w:pPr>
      <w:bookmarkStart w:id="27" w:name="_Toc4542"/>
      <w:r>
        <w:rPr>
          <w:rFonts w:hint="eastAsia" w:ascii="楷体" w:hAnsi="楷体" w:eastAsia="楷体" w:cs="楷体"/>
          <w:b/>
          <w:sz w:val="24"/>
        </w:rPr>
        <w:t>（十二）培训服务</w:t>
      </w:r>
      <w:bookmarkEnd w:id="27"/>
    </w:p>
    <w:p w14:paraId="513AB9D7">
      <w:pPr>
        <w:suppressAutoHyphens/>
        <w:rPr>
          <w:rFonts w:ascii="Calibri" w:hAnsi="Calibri"/>
        </w:rPr>
      </w:pPr>
      <w:r>
        <w:rPr>
          <w:rFonts w:hint="eastAsia" w:ascii="Calibri" w:hAnsi="Calibri"/>
        </w:rPr>
        <w:t>无</w:t>
      </w:r>
    </w:p>
    <w:p w14:paraId="5D006DD6">
      <w:pPr>
        <w:keepNext/>
        <w:keepLines/>
        <w:suppressAutoHyphens/>
        <w:spacing w:before="260" w:after="200"/>
        <w:ind w:left="210" w:leftChars="100"/>
        <w:outlineLvl w:val="1"/>
        <w:rPr>
          <w:rFonts w:ascii="楷体" w:hAnsi="楷体" w:eastAsia="楷体" w:cs="楷体"/>
          <w:b/>
          <w:sz w:val="24"/>
        </w:rPr>
      </w:pPr>
      <w:bookmarkStart w:id="28" w:name="_Toc9644"/>
      <w:r>
        <w:rPr>
          <w:rFonts w:hint="eastAsia" w:ascii="楷体" w:hAnsi="楷体" w:eastAsia="楷体" w:cs="楷体"/>
          <w:b/>
          <w:sz w:val="24"/>
        </w:rPr>
        <w:t>（十三）其他服务</w:t>
      </w:r>
      <w:bookmarkEnd w:id="28"/>
    </w:p>
    <w:p w14:paraId="033340F5">
      <w:pPr>
        <w:suppressAutoHyphens/>
        <w:snapToGrid w:val="0"/>
        <w:spacing w:line="360" w:lineRule="auto"/>
        <w:ind w:firstLine="480" w:firstLineChars="200"/>
        <w:rPr>
          <w:rFonts w:ascii="宋体" w:hAnsi="宋体" w:cs="宋体"/>
          <w:b/>
          <w:sz w:val="24"/>
        </w:rPr>
      </w:pPr>
      <w:r>
        <w:rPr>
          <w:rFonts w:hint="eastAsia" w:ascii="宋体" w:hAnsi="宋体" w:cs="宋体"/>
          <w:sz w:val="24"/>
        </w:rPr>
        <w:t>根据采购人需求，需提供SSL安全服务（国密）、1项签名验证服务、1项加解密服务、1项时间戳服务。</w:t>
      </w:r>
    </w:p>
    <w:p w14:paraId="1088FDEF">
      <w:pPr>
        <w:suppressAutoHyphens/>
        <w:snapToGrid w:val="0"/>
        <w:spacing w:line="360" w:lineRule="auto"/>
        <w:ind w:firstLine="480" w:firstLineChars="200"/>
        <w:rPr>
          <w:rFonts w:ascii="宋体" w:hAnsi="宋体" w:cs="宋体"/>
          <w:sz w:val="24"/>
        </w:rPr>
      </w:pPr>
      <w:r>
        <w:rPr>
          <w:rFonts w:ascii="宋体" w:hAnsi="宋体" w:cs="宋体"/>
          <w:sz w:val="24"/>
        </w:rPr>
        <w:t>13</w:t>
      </w:r>
      <w:r>
        <w:rPr>
          <w:rFonts w:hint="eastAsia" w:ascii="宋体" w:hAnsi="宋体" w:cs="宋体"/>
          <w:sz w:val="24"/>
        </w:rPr>
        <w:t>.1.</w:t>
      </w:r>
      <w:r>
        <w:rPr>
          <w:rFonts w:ascii="宋体" w:hAnsi="宋体" w:cs="宋体"/>
          <w:sz w:val="24"/>
        </w:rPr>
        <w:t>1</w:t>
      </w:r>
      <w:r>
        <w:rPr>
          <w:rFonts w:hint="eastAsia" w:ascii="宋体" w:hAnsi="宋体" w:cs="宋体"/>
          <w:sz w:val="24"/>
        </w:rPr>
        <w:t xml:space="preserve"> SSL安全服务（国密）</w:t>
      </w:r>
    </w:p>
    <w:p w14:paraId="57D1E214">
      <w:pPr>
        <w:suppressAutoHyphens/>
        <w:snapToGrid w:val="0"/>
        <w:spacing w:line="360" w:lineRule="auto"/>
        <w:ind w:firstLine="480" w:firstLineChars="200"/>
        <w:rPr>
          <w:rFonts w:ascii="宋体" w:hAnsi="宋体" w:cs="宋体"/>
          <w:sz w:val="24"/>
        </w:rPr>
      </w:pPr>
      <w:r>
        <w:rPr>
          <w:rFonts w:hint="eastAsia" w:ascii="宋体" w:hAnsi="宋体" w:cs="宋体"/>
          <w:sz w:val="24"/>
        </w:rPr>
        <w:t>提供基于SM2/3/4算法的SSL通信信道安全服务，保证用户访问系统以及重要数据传输过程中的机密性和完整性。</w:t>
      </w:r>
    </w:p>
    <w:p w14:paraId="4CFC8108">
      <w:pPr>
        <w:suppressAutoHyphens/>
        <w:snapToGrid w:val="0"/>
        <w:spacing w:line="360" w:lineRule="auto"/>
        <w:ind w:firstLine="480" w:firstLineChars="200"/>
        <w:rPr>
          <w:rFonts w:ascii="宋体" w:hAnsi="宋体" w:cs="宋体"/>
          <w:sz w:val="24"/>
        </w:rPr>
      </w:pPr>
      <w:r>
        <w:rPr>
          <w:rFonts w:ascii="宋体" w:hAnsi="宋体" w:cs="宋体"/>
          <w:sz w:val="24"/>
        </w:rPr>
        <w:t>13</w:t>
      </w:r>
      <w:r>
        <w:rPr>
          <w:rFonts w:hint="eastAsia" w:ascii="宋体" w:hAnsi="宋体" w:cs="宋体"/>
          <w:sz w:val="24"/>
        </w:rPr>
        <w:t>.1.</w:t>
      </w:r>
      <w:r>
        <w:rPr>
          <w:rFonts w:ascii="宋体" w:hAnsi="宋体" w:cs="宋体"/>
          <w:sz w:val="24"/>
        </w:rPr>
        <w:t>2</w:t>
      </w:r>
      <w:r>
        <w:rPr>
          <w:rFonts w:hint="eastAsia" w:ascii="宋体" w:hAnsi="宋体" w:cs="宋体"/>
          <w:sz w:val="24"/>
        </w:rPr>
        <w:t>签名验签服务</w:t>
      </w:r>
    </w:p>
    <w:p w14:paraId="6B893894">
      <w:pPr>
        <w:suppressAutoHyphens/>
        <w:snapToGrid w:val="0"/>
        <w:spacing w:line="360" w:lineRule="auto"/>
        <w:ind w:firstLine="480" w:firstLineChars="200"/>
        <w:rPr>
          <w:rFonts w:ascii="宋体" w:hAnsi="宋体" w:cs="宋体"/>
          <w:sz w:val="24"/>
        </w:rPr>
      </w:pPr>
      <w:r>
        <w:rPr>
          <w:rFonts w:hint="eastAsia" w:ascii="宋体" w:hAnsi="宋体" w:cs="宋体"/>
          <w:sz w:val="24"/>
        </w:rPr>
        <w:t>为系统提供签名验签、杂凑等密码运算服务，保证重要数据的完整性。</w:t>
      </w:r>
    </w:p>
    <w:p w14:paraId="44674FAA">
      <w:pPr>
        <w:suppressAutoHyphens/>
        <w:snapToGrid w:val="0"/>
        <w:spacing w:line="360" w:lineRule="auto"/>
        <w:ind w:firstLine="480" w:firstLineChars="200"/>
        <w:rPr>
          <w:rFonts w:ascii="宋体" w:hAnsi="宋体" w:cs="宋体"/>
          <w:sz w:val="24"/>
        </w:rPr>
      </w:pPr>
      <w:r>
        <w:rPr>
          <w:rFonts w:ascii="宋体" w:hAnsi="宋体" w:cs="宋体"/>
          <w:sz w:val="24"/>
        </w:rPr>
        <w:t>13</w:t>
      </w:r>
      <w:r>
        <w:rPr>
          <w:rFonts w:hint="eastAsia" w:ascii="宋体" w:hAnsi="宋体" w:cs="宋体"/>
          <w:sz w:val="24"/>
        </w:rPr>
        <w:t>.1.</w:t>
      </w:r>
      <w:r>
        <w:rPr>
          <w:rFonts w:ascii="宋体" w:hAnsi="宋体" w:cs="宋体"/>
          <w:sz w:val="24"/>
        </w:rPr>
        <w:t>3</w:t>
      </w:r>
      <w:r>
        <w:rPr>
          <w:rFonts w:hint="eastAsia" w:ascii="宋体" w:hAnsi="宋体" w:cs="宋体"/>
          <w:sz w:val="24"/>
        </w:rPr>
        <w:t>加解密服务</w:t>
      </w:r>
    </w:p>
    <w:p w14:paraId="462AE522">
      <w:pPr>
        <w:suppressAutoHyphens/>
        <w:snapToGrid w:val="0"/>
        <w:spacing w:line="360" w:lineRule="auto"/>
        <w:ind w:firstLine="480" w:firstLineChars="200"/>
        <w:rPr>
          <w:rFonts w:ascii="宋体" w:hAnsi="宋体" w:cs="宋体"/>
          <w:sz w:val="24"/>
        </w:rPr>
      </w:pPr>
      <w:r>
        <w:rPr>
          <w:rFonts w:hint="eastAsia" w:ascii="宋体" w:hAnsi="宋体" w:cs="宋体"/>
          <w:sz w:val="24"/>
        </w:rPr>
        <w:t>实现对称密钥、非对称密钥全生命周期管理，为系统提供数据加解密服务，确保平台中重要数据存储的机密性。</w:t>
      </w:r>
    </w:p>
    <w:p w14:paraId="043E0253">
      <w:pPr>
        <w:suppressAutoHyphens/>
        <w:snapToGrid w:val="0"/>
        <w:spacing w:line="360" w:lineRule="auto"/>
        <w:ind w:firstLine="480" w:firstLineChars="200"/>
        <w:rPr>
          <w:rFonts w:ascii="宋体" w:hAnsi="宋体" w:cs="宋体"/>
          <w:sz w:val="24"/>
        </w:rPr>
      </w:pPr>
      <w:r>
        <w:rPr>
          <w:rFonts w:ascii="宋体" w:hAnsi="宋体" w:cs="宋体"/>
          <w:sz w:val="24"/>
        </w:rPr>
        <w:t>13</w:t>
      </w:r>
      <w:r>
        <w:rPr>
          <w:rFonts w:hint="eastAsia" w:ascii="宋体" w:hAnsi="宋体" w:cs="宋体"/>
          <w:sz w:val="24"/>
        </w:rPr>
        <w:t>.1.</w:t>
      </w:r>
      <w:r>
        <w:rPr>
          <w:rFonts w:ascii="宋体" w:hAnsi="宋体" w:cs="宋体"/>
          <w:sz w:val="24"/>
        </w:rPr>
        <w:t>4</w:t>
      </w:r>
      <w:r>
        <w:rPr>
          <w:rFonts w:hint="eastAsia" w:ascii="宋体" w:hAnsi="宋体" w:cs="宋体"/>
          <w:sz w:val="24"/>
        </w:rPr>
        <w:t>时间戳服务</w:t>
      </w:r>
    </w:p>
    <w:p w14:paraId="29C62471">
      <w:pPr>
        <w:suppressAutoHyphens/>
        <w:snapToGrid w:val="0"/>
        <w:spacing w:line="360" w:lineRule="auto"/>
        <w:ind w:firstLine="480" w:firstLineChars="200"/>
        <w:rPr>
          <w:rFonts w:ascii="宋体" w:hAnsi="宋体" w:cs="宋体"/>
          <w:sz w:val="24"/>
        </w:rPr>
      </w:pPr>
      <w:r>
        <w:rPr>
          <w:rFonts w:hint="eastAsia" w:ascii="宋体" w:hAnsi="宋体" w:cs="宋体"/>
          <w:sz w:val="24"/>
        </w:rPr>
        <w:t>基于国家标准时间源，通过PKI技术为应用系统提供安全、可信的时间戳服务。</w:t>
      </w:r>
    </w:p>
    <w:p w14:paraId="6035B866">
      <w:pPr>
        <w:keepNext/>
        <w:keepLines/>
        <w:numPr>
          <w:ilvl w:val="0"/>
          <w:numId w:val="1"/>
        </w:numPr>
        <w:suppressAutoHyphens/>
        <w:spacing w:before="260" w:after="220"/>
        <w:outlineLvl w:val="0"/>
        <w:rPr>
          <w:rFonts w:ascii="黑体" w:hAnsi="黑体" w:eastAsia="黑体" w:cs="黑体"/>
          <w:b/>
          <w:kern w:val="44"/>
          <w:sz w:val="24"/>
        </w:rPr>
      </w:pPr>
      <w:bookmarkStart w:id="29" w:name="_Toc6880"/>
      <w:r>
        <w:rPr>
          <w:rFonts w:hint="eastAsia" w:ascii="黑体" w:hAnsi="黑体" w:eastAsia="黑体" w:cs="黑体"/>
          <w:b/>
          <w:kern w:val="44"/>
          <w:sz w:val="24"/>
        </w:rPr>
        <w:t>运维团队要求</w:t>
      </w:r>
      <w:bookmarkEnd w:id="29"/>
    </w:p>
    <w:p w14:paraId="2064991E">
      <w:pPr>
        <w:suppressAutoHyphens/>
        <w:snapToGrid w:val="0"/>
        <w:spacing w:line="360" w:lineRule="auto"/>
        <w:ind w:firstLine="480" w:firstLineChars="200"/>
        <w:rPr>
          <w:rFonts w:ascii="宋体" w:hAnsi="宋体" w:cs="宋体"/>
          <w:sz w:val="24"/>
        </w:rPr>
      </w:pPr>
      <w:r>
        <w:rPr>
          <w:rFonts w:hint="eastAsia" w:ascii="宋体" w:hAnsi="宋体" w:cs="宋体"/>
          <w:sz w:val="24"/>
        </w:rPr>
        <w:t>投标人针对本项目提供专业性强，高效稳定的项目服务保障团队，为本项目扩展服务提供稳定支撑。应分别配备经验丰富的项目经理、技术负责人。</w:t>
      </w:r>
    </w:p>
    <w:p w14:paraId="075BFEB2">
      <w:pPr>
        <w:suppressAutoHyphens/>
        <w:snapToGrid w:val="0"/>
        <w:spacing w:line="360" w:lineRule="auto"/>
        <w:ind w:firstLine="480" w:firstLineChars="200"/>
        <w:rPr>
          <w:rFonts w:ascii="宋体" w:hAnsi="宋体" w:cs="宋体"/>
          <w:sz w:val="24"/>
        </w:rPr>
      </w:pPr>
      <w:r>
        <w:rPr>
          <w:rFonts w:hint="eastAsia" w:ascii="宋体" w:hAnsi="宋体" w:cs="宋体"/>
          <w:sz w:val="24"/>
        </w:rPr>
        <w:t>项目经理需具有五年以上类似工作经验，需具备信息系统项目管理师证书（高级）、信息安全保障人员认证证书（安全运维专业级及以上）、具备信息安全保障人员认证证书（应急服务专业级及以上）、具备信创集成项目管理师证书。</w:t>
      </w:r>
    </w:p>
    <w:p w14:paraId="315B643A">
      <w:pPr>
        <w:suppressAutoHyphens/>
        <w:snapToGrid w:val="0"/>
        <w:spacing w:line="360" w:lineRule="auto"/>
        <w:ind w:firstLine="480" w:firstLineChars="200"/>
        <w:rPr>
          <w:rFonts w:ascii="宋体" w:hAnsi="宋体" w:cs="宋体"/>
          <w:sz w:val="24"/>
        </w:rPr>
      </w:pPr>
      <w:r>
        <w:rPr>
          <w:rFonts w:hint="eastAsia" w:ascii="宋体" w:hAnsi="宋体" w:cs="宋体"/>
          <w:sz w:val="24"/>
        </w:rPr>
        <w:t>技术负责人需具有五年及以上类似项目工作经验，需具备信息安全保障人员认证证书（安全集成专业级及以上）、信息安全保障人员认证证书（应急服务专业级及以上）、注册信息安全工程师（CISE）认证证书。</w:t>
      </w:r>
    </w:p>
    <w:p w14:paraId="39E41177">
      <w:pPr>
        <w:suppressAutoHyphens/>
        <w:snapToGrid w:val="0"/>
        <w:spacing w:line="360" w:lineRule="auto"/>
        <w:ind w:firstLine="480" w:firstLineChars="200"/>
        <w:rPr>
          <w:rFonts w:ascii="宋体" w:hAnsi="宋体" w:cs="宋体"/>
          <w:sz w:val="24"/>
        </w:rPr>
      </w:pPr>
      <w:r>
        <w:rPr>
          <w:rFonts w:hint="eastAsia" w:ascii="宋体" w:hAnsi="宋体" w:cs="宋体"/>
          <w:sz w:val="24"/>
        </w:rPr>
        <w:t>投标人需设立专业的项目团队，团队在项目经理和技术负责人之外，至少还应配备相关技术人员，并取得有关技术资格认定证书，包括：具有系统规划与管理师资质证书（高级）1人、系统分析师资质证书（高级）1人，系统架构设计师认证证书1人，注册信息安全工程师（CISE）认证1人。</w:t>
      </w:r>
    </w:p>
    <w:p w14:paraId="0FA32185">
      <w:pPr>
        <w:snapToGrid w:val="0"/>
        <w:ind w:firstLine="480"/>
        <w:rPr>
          <w:rFonts w:ascii="宋体" w:hAnsi="宋体" w:cs="宋体"/>
          <w:b/>
          <w:bCs/>
          <w:sz w:val="24"/>
        </w:rPr>
        <w:sectPr>
          <w:headerReference r:id="rId3" w:type="default"/>
          <w:footerReference r:id="rId4" w:type="default"/>
          <w:pgSz w:w="11906" w:h="16838"/>
          <w:pgMar w:top="1701" w:right="1417" w:bottom="1701" w:left="1417" w:header="851" w:footer="992" w:gutter="0"/>
          <w:cols w:space="720" w:num="1"/>
          <w:docGrid w:type="lines" w:linePitch="395" w:charSpace="0"/>
        </w:sectPr>
      </w:pPr>
      <w:r>
        <w:rPr>
          <w:rFonts w:hint="eastAsia" w:ascii="宋体" w:hAnsi="宋体" w:cs="宋体"/>
          <w:sz w:val="24"/>
        </w:rPr>
        <w:t>投标人应详细说明实施本项目拟采用的团队组织方法和具体组织机构，保证在此项目实施期间足够的人力投入，并提交与计划相符的项目组人员名单、核心团队相关证书。</w:t>
      </w:r>
    </w:p>
    <w:p w14:paraId="12A0D07C">
      <w:pPr>
        <w:keepNext/>
        <w:keepLines/>
        <w:numPr>
          <w:ilvl w:val="0"/>
          <w:numId w:val="1"/>
        </w:numPr>
        <w:suppressAutoHyphens/>
        <w:spacing w:before="260" w:after="220"/>
        <w:outlineLvl w:val="0"/>
        <w:rPr>
          <w:rFonts w:ascii="黑体" w:hAnsi="黑体" w:eastAsia="黑体" w:cs="黑体"/>
          <w:b/>
          <w:kern w:val="44"/>
          <w:sz w:val="24"/>
        </w:rPr>
      </w:pPr>
      <w:bookmarkStart w:id="30" w:name="_Toc23614"/>
      <w:r>
        <w:rPr>
          <w:rFonts w:hint="eastAsia" w:ascii="黑体" w:hAnsi="黑体" w:eastAsia="黑体" w:cs="黑体"/>
          <w:b/>
          <w:kern w:val="44"/>
          <w:sz w:val="24"/>
        </w:rPr>
        <w:t>商务要求</w:t>
      </w:r>
      <w:bookmarkEnd w:id="30"/>
    </w:p>
    <w:p w14:paraId="4E90D1F7">
      <w:pPr>
        <w:keepNext/>
        <w:keepLines/>
        <w:suppressAutoHyphens/>
        <w:spacing w:before="260" w:after="200"/>
        <w:ind w:left="210" w:leftChars="100"/>
        <w:outlineLvl w:val="1"/>
        <w:rPr>
          <w:rFonts w:ascii="楷体" w:hAnsi="楷体" w:eastAsia="楷体" w:cs="楷体"/>
          <w:b/>
          <w:sz w:val="24"/>
        </w:rPr>
      </w:pPr>
      <w:bookmarkStart w:id="31" w:name="_Toc22883"/>
      <w:r>
        <w:rPr>
          <w:rFonts w:hint="eastAsia" w:ascii="楷体" w:hAnsi="楷体" w:eastAsia="楷体" w:cs="楷体"/>
          <w:b/>
          <w:sz w:val="24"/>
        </w:rPr>
        <w:t>（一）服务地点</w:t>
      </w:r>
      <w:bookmarkEnd w:id="31"/>
    </w:p>
    <w:p w14:paraId="4F91B890">
      <w:pPr>
        <w:suppressAutoHyphens/>
        <w:spacing w:line="360" w:lineRule="auto"/>
        <w:ind w:firstLine="960" w:firstLineChars="400"/>
        <w:rPr>
          <w:rFonts w:ascii="宋体" w:hAnsi="宋体" w:cs="宋体"/>
          <w:bCs/>
          <w:sz w:val="24"/>
        </w:rPr>
      </w:pPr>
      <w:r>
        <w:rPr>
          <w:rFonts w:hint="eastAsia" w:ascii="宋体" w:hAnsi="宋体" w:cs="宋体"/>
          <w:bCs/>
          <w:sz w:val="24"/>
        </w:rPr>
        <w:t>采购人指定</w:t>
      </w:r>
    </w:p>
    <w:p w14:paraId="57AD177B">
      <w:pPr>
        <w:keepNext/>
        <w:keepLines/>
        <w:suppressAutoHyphens/>
        <w:spacing w:before="260" w:after="200"/>
        <w:ind w:left="210" w:leftChars="100"/>
        <w:outlineLvl w:val="1"/>
        <w:rPr>
          <w:rFonts w:ascii="楷体" w:hAnsi="楷体" w:eastAsia="楷体" w:cs="楷体"/>
          <w:b/>
          <w:sz w:val="24"/>
        </w:rPr>
      </w:pPr>
      <w:bookmarkStart w:id="32" w:name="_Toc29097"/>
      <w:r>
        <w:rPr>
          <w:rFonts w:hint="eastAsia" w:ascii="楷体" w:hAnsi="楷体" w:eastAsia="楷体" w:cs="楷体"/>
          <w:b/>
          <w:sz w:val="24"/>
        </w:rPr>
        <w:t>（二）服务期限</w:t>
      </w:r>
      <w:bookmarkEnd w:id="32"/>
    </w:p>
    <w:p w14:paraId="2DBE2822">
      <w:pPr>
        <w:suppressAutoHyphens/>
        <w:spacing w:line="360" w:lineRule="auto"/>
        <w:ind w:firstLine="960" w:firstLineChars="400"/>
        <w:rPr>
          <w:rFonts w:ascii="宋体" w:hAnsi="宋体" w:cs="宋体"/>
          <w:bCs/>
          <w:sz w:val="24"/>
          <w:highlight w:val="none"/>
        </w:rPr>
      </w:pPr>
      <w:r>
        <w:rPr>
          <w:rFonts w:hint="eastAsia" w:ascii="宋体" w:hAnsi="宋体" w:cs="宋体"/>
          <w:bCs/>
          <w:sz w:val="24"/>
          <w:highlight w:val="none"/>
        </w:rPr>
        <w:t>12个月，从202</w:t>
      </w:r>
      <w:r>
        <w:rPr>
          <w:rFonts w:ascii="宋体" w:hAnsi="宋体" w:cs="宋体"/>
          <w:bCs/>
          <w:sz w:val="24"/>
          <w:highlight w:val="none"/>
        </w:rPr>
        <w:t>5</w:t>
      </w:r>
      <w:r>
        <w:rPr>
          <w:rFonts w:hint="eastAsia" w:ascii="宋体" w:hAnsi="宋体" w:cs="宋体"/>
          <w:bCs/>
          <w:sz w:val="24"/>
          <w:highlight w:val="none"/>
        </w:rPr>
        <w:t>年3月10日至202</w:t>
      </w:r>
      <w:r>
        <w:rPr>
          <w:rFonts w:ascii="宋体" w:hAnsi="宋体" w:cs="宋体"/>
          <w:bCs/>
          <w:sz w:val="24"/>
          <w:highlight w:val="none"/>
        </w:rPr>
        <w:t>6</w:t>
      </w:r>
      <w:r>
        <w:rPr>
          <w:rFonts w:hint="eastAsia" w:ascii="宋体" w:hAnsi="宋体" w:cs="宋体"/>
          <w:bCs/>
          <w:sz w:val="24"/>
          <w:highlight w:val="none"/>
        </w:rPr>
        <w:t>年3月9日。</w:t>
      </w:r>
    </w:p>
    <w:p w14:paraId="0C813819">
      <w:pPr>
        <w:keepNext/>
        <w:keepLines/>
        <w:suppressAutoHyphens/>
        <w:spacing w:before="260" w:after="200"/>
        <w:ind w:left="210" w:leftChars="100"/>
        <w:outlineLvl w:val="1"/>
        <w:rPr>
          <w:rFonts w:ascii="楷体" w:hAnsi="楷体" w:eastAsia="楷体" w:cs="楷体"/>
          <w:b/>
          <w:sz w:val="24"/>
          <w:highlight w:val="none"/>
        </w:rPr>
      </w:pPr>
      <w:bookmarkStart w:id="33" w:name="_Toc16230"/>
      <w:r>
        <w:rPr>
          <w:rFonts w:hint="eastAsia" w:ascii="楷体" w:hAnsi="楷体" w:eastAsia="楷体" w:cs="楷体"/>
          <w:b/>
          <w:sz w:val="24"/>
          <w:highlight w:val="none"/>
        </w:rPr>
        <w:t>（三）支付方式</w:t>
      </w:r>
      <w:bookmarkEnd w:id="33"/>
    </w:p>
    <w:p w14:paraId="41151D08">
      <w:pPr>
        <w:suppressAutoHyphens/>
        <w:snapToGrid w:val="0"/>
        <w:spacing w:after="140" w:line="276" w:lineRule="auto"/>
        <w:ind w:firstLine="480"/>
        <w:rPr>
          <w:rFonts w:hint="eastAsia" w:ascii="宋体" w:hAnsi="宋体" w:cs="宋体"/>
          <w:sz w:val="24"/>
          <w:highlight w:val="none"/>
          <w:lang w:eastAsia="zh-CN"/>
        </w:rPr>
      </w:pPr>
      <w:r>
        <w:rPr>
          <w:rFonts w:hint="eastAsia" w:ascii="宋体" w:hAnsi="宋体" w:cs="宋体"/>
          <w:sz w:val="24"/>
          <w:highlight w:val="none"/>
        </w:rPr>
        <w:t>202</w:t>
      </w:r>
      <w:r>
        <w:rPr>
          <w:rFonts w:ascii="宋体" w:hAnsi="宋体" w:cs="宋体"/>
          <w:sz w:val="24"/>
          <w:highlight w:val="none"/>
        </w:rPr>
        <w:t>5</w:t>
      </w:r>
      <w:r>
        <w:rPr>
          <w:rFonts w:hint="eastAsia" w:ascii="宋体" w:hAnsi="宋体" w:cs="宋体"/>
          <w:sz w:val="24"/>
          <w:highlight w:val="none"/>
        </w:rPr>
        <w:t>年预算批复到账后15个工作日</w:t>
      </w:r>
      <w:r>
        <w:rPr>
          <w:rFonts w:hint="eastAsia" w:ascii="宋体" w:hAnsi="宋体" w:cs="宋体"/>
          <w:sz w:val="24"/>
          <w:highlight w:val="none"/>
          <w:lang w:val="en-US" w:eastAsia="zh-CN"/>
        </w:rPr>
        <w:t>内支付</w:t>
      </w:r>
      <w:r>
        <w:rPr>
          <w:rFonts w:hint="eastAsia" w:ascii="宋体" w:hAnsi="宋体" w:cs="宋体"/>
          <w:sz w:val="24"/>
          <w:highlight w:val="none"/>
        </w:rPr>
        <w:t>2025年服务期的费用的60%，202</w:t>
      </w:r>
      <w:r>
        <w:rPr>
          <w:rFonts w:ascii="宋体" w:hAnsi="宋体" w:cs="宋体"/>
          <w:sz w:val="24"/>
          <w:highlight w:val="none"/>
        </w:rPr>
        <w:t>5</w:t>
      </w:r>
      <w:r>
        <w:rPr>
          <w:rFonts w:hint="eastAsia" w:ascii="宋体" w:hAnsi="宋体" w:cs="宋体"/>
          <w:sz w:val="24"/>
          <w:highlight w:val="none"/>
        </w:rPr>
        <w:t>年9月30日前</w:t>
      </w:r>
      <w:r>
        <w:rPr>
          <w:rFonts w:hint="eastAsia" w:ascii="宋体" w:hAnsi="宋体" w:cs="宋体"/>
          <w:sz w:val="24"/>
          <w:highlight w:val="none"/>
          <w:lang w:val="en-US" w:eastAsia="zh-CN"/>
        </w:rPr>
        <w:t>支付</w:t>
      </w:r>
      <w:r>
        <w:rPr>
          <w:rFonts w:hint="eastAsia" w:ascii="宋体" w:hAnsi="宋体" w:cs="宋体"/>
          <w:sz w:val="24"/>
          <w:highlight w:val="none"/>
        </w:rPr>
        <w:t>2025年服务期的费用的</w:t>
      </w:r>
      <w:r>
        <w:rPr>
          <w:rFonts w:hint="eastAsia" w:ascii="宋体" w:hAnsi="宋体" w:cs="宋体"/>
          <w:sz w:val="24"/>
          <w:highlight w:val="none"/>
          <w:lang w:val="en-US" w:eastAsia="zh-CN"/>
        </w:rPr>
        <w:t>4</w:t>
      </w:r>
      <w:r>
        <w:rPr>
          <w:rFonts w:hint="eastAsia" w:ascii="宋体" w:hAnsi="宋体" w:cs="宋体"/>
          <w:sz w:val="24"/>
          <w:highlight w:val="none"/>
        </w:rPr>
        <w:t>0%，支付第二笔</w:t>
      </w:r>
      <w:r>
        <w:rPr>
          <w:rFonts w:hint="eastAsia" w:ascii="宋体" w:hAnsi="宋体" w:cs="宋体"/>
          <w:sz w:val="24"/>
          <w:highlight w:val="none"/>
          <w:lang w:val="en-US" w:eastAsia="zh-CN"/>
        </w:rPr>
        <w:t>服务费</w:t>
      </w:r>
      <w:r>
        <w:rPr>
          <w:rFonts w:hint="eastAsia" w:ascii="宋体" w:hAnsi="宋体" w:cs="宋体"/>
          <w:sz w:val="24"/>
          <w:highlight w:val="none"/>
        </w:rPr>
        <w:t>前收取</w:t>
      </w:r>
      <w:r>
        <w:rPr>
          <w:rFonts w:hint="eastAsia" w:ascii="宋体" w:hAnsi="宋体" w:cs="宋体"/>
          <w:sz w:val="24"/>
          <w:highlight w:val="none"/>
          <w:lang w:val="en-US" w:eastAsia="zh-CN"/>
        </w:rPr>
        <w:t>合同</w:t>
      </w:r>
      <w:r>
        <w:rPr>
          <w:rFonts w:hint="eastAsia" w:ascii="宋体" w:hAnsi="宋体" w:cs="宋体"/>
          <w:sz w:val="24"/>
          <w:highlight w:val="none"/>
        </w:rPr>
        <w:t>总价款10%的履约保函。2026年预算批复到账后15个工作日内支付该合同涉及的2026年服务期的全部服务费用</w:t>
      </w:r>
      <w:r>
        <w:rPr>
          <w:rFonts w:hint="eastAsia" w:ascii="宋体" w:hAnsi="宋体" w:cs="宋体"/>
          <w:sz w:val="24"/>
          <w:highlight w:val="none"/>
          <w:lang w:eastAsia="zh-CN"/>
        </w:rPr>
        <w:t>。</w:t>
      </w:r>
    </w:p>
    <w:p w14:paraId="60A4C083">
      <w:pPr>
        <w:keepNext/>
        <w:keepLines/>
        <w:suppressAutoHyphens/>
        <w:snapToGrid w:val="0"/>
        <w:ind w:firstLine="482" w:firstLineChars="200"/>
        <w:outlineLvl w:val="1"/>
        <w:rPr>
          <w:rFonts w:ascii="楷体" w:hAnsi="楷体" w:eastAsia="楷体" w:cs="楷体"/>
          <w:b/>
          <w:sz w:val="24"/>
        </w:rPr>
      </w:pPr>
      <w:bookmarkStart w:id="34" w:name="_Toc370"/>
      <w:r>
        <w:rPr>
          <w:rFonts w:hint="eastAsia" w:ascii="楷体" w:hAnsi="楷体" w:eastAsia="楷体" w:cs="楷体"/>
          <w:b/>
          <w:sz w:val="24"/>
        </w:rPr>
        <w:t>（四）合同要求</w:t>
      </w:r>
      <w:bookmarkEnd w:id="34"/>
    </w:p>
    <w:p w14:paraId="51A2E399">
      <w:pPr>
        <w:suppressAutoHyphens/>
        <w:snapToGrid w:val="0"/>
        <w:spacing w:after="140" w:line="276" w:lineRule="auto"/>
        <w:ind w:firstLine="480"/>
        <w:rPr>
          <w:rFonts w:ascii="宋体" w:hAnsi="宋体" w:cs="宋体"/>
          <w:sz w:val="24"/>
        </w:rPr>
      </w:pPr>
      <w:r>
        <w:rPr>
          <w:rFonts w:hint="eastAsia" w:ascii="宋体" w:hAnsi="宋体" w:cs="宋体"/>
          <w:sz w:val="24"/>
        </w:rPr>
        <w:t>1．采购人与中标人如需变更政府采购合同的相关条款应遵守《中华人民共和国政府采购法》第五章关于政府采购合同的规定。</w:t>
      </w:r>
    </w:p>
    <w:p w14:paraId="17EB8220">
      <w:pPr>
        <w:suppressAutoHyphens/>
        <w:snapToGrid w:val="0"/>
        <w:spacing w:after="140" w:line="276" w:lineRule="auto"/>
        <w:ind w:firstLine="480"/>
        <w:rPr>
          <w:rFonts w:ascii="宋体" w:hAnsi="宋体" w:cs="宋体"/>
          <w:bCs/>
          <w:sz w:val="24"/>
        </w:rPr>
      </w:pPr>
      <w:r>
        <w:rPr>
          <w:rFonts w:hint="eastAsia" w:ascii="宋体" w:hAnsi="宋体" w:cs="宋体"/>
          <w:bCs/>
          <w:sz w:val="24"/>
        </w:rPr>
        <w:t>2．采购人应当加强政务网络和信息系统权限管理，最高管理权限务必由采购人专人负责，按照最小必要原则对投标人进行精细化授权，防范越权访问风险。</w:t>
      </w:r>
    </w:p>
    <w:p w14:paraId="719181F0">
      <w:pPr>
        <w:keepNext/>
        <w:keepLines/>
        <w:suppressAutoHyphens/>
        <w:spacing w:before="260" w:after="200"/>
        <w:ind w:left="210" w:leftChars="100"/>
        <w:outlineLvl w:val="1"/>
        <w:rPr>
          <w:rFonts w:ascii="楷体" w:hAnsi="楷体" w:eastAsia="楷体" w:cs="楷体"/>
          <w:b/>
          <w:sz w:val="24"/>
        </w:rPr>
      </w:pPr>
      <w:bookmarkStart w:id="35" w:name="_Toc11445"/>
      <w:r>
        <w:rPr>
          <w:rFonts w:hint="eastAsia" w:ascii="楷体" w:hAnsi="楷体" w:eastAsia="楷体" w:cs="楷体"/>
          <w:b/>
          <w:sz w:val="24"/>
        </w:rPr>
        <w:t>（五）验收服务标准</w:t>
      </w:r>
      <w:bookmarkEnd w:id="35"/>
    </w:p>
    <w:p w14:paraId="76594714">
      <w:pPr>
        <w:suppressAutoHyphens/>
        <w:snapToGrid w:val="0"/>
        <w:spacing w:line="360" w:lineRule="auto"/>
        <w:ind w:firstLine="480" w:firstLineChars="200"/>
        <w:rPr>
          <w:rFonts w:ascii="宋体" w:hAnsi="宋体" w:cs="宋体"/>
          <w:bCs/>
          <w:sz w:val="24"/>
        </w:rPr>
      </w:pPr>
      <w:bookmarkStart w:id="36" w:name="_Toc172656540"/>
      <w:r>
        <w:rPr>
          <w:rFonts w:hint="eastAsia" w:ascii="宋体" w:hAnsi="宋体" w:cs="宋体"/>
          <w:bCs/>
          <w:sz w:val="24"/>
        </w:rPr>
        <w:t>1．服务绩效指标</w:t>
      </w:r>
      <w:bookmarkEnd w:id="36"/>
    </w:p>
    <w:p w14:paraId="7F80CA01">
      <w:pPr>
        <w:suppressAutoHyphens/>
        <w:snapToGrid w:val="0"/>
        <w:spacing w:after="140" w:line="276" w:lineRule="auto"/>
        <w:ind w:firstLine="480"/>
        <w:rPr>
          <w:rFonts w:ascii="宋体" w:hAnsi="宋体" w:cs="宋体"/>
          <w:sz w:val="24"/>
        </w:rPr>
      </w:pPr>
      <w:r>
        <w:rPr>
          <w:rFonts w:hint="eastAsia" w:ascii="宋体" w:hAnsi="宋体" w:cs="宋体"/>
          <w:sz w:val="24"/>
        </w:rPr>
        <w:t>（1）云服务全年整体可用性≥99.9%；</w:t>
      </w:r>
    </w:p>
    <w:p w14:paraId="3A6B5E88">
      <w:pPr>
        <w:suppressAutoHyphens/>
        <w:snapToGrid w:val="0"/>
        <w:spacing w:after="140" w:line="276" w:lineRule="auto"/>
        <w:ind w:firstLine="480"/>
        <w:rPr>
          <w:rFonts w:ascii="宋体" w:hAnsi="宋体" w:cs="宋体"/>
          <w:sz w:val="24"/>
        </w:rPr>
      </w:pPr>
      <w:r>
        <w:rPr>
          <w:rFonts w:hint="eastAsia" w:ascii="宋体" w:hAnsi="宋体" w:cs="宋体"/>
          <w:sz w:val="24"/>
        </w:rPr>
        <w:t>（2）故障响应率100%；</w:t>
      </w:r>
    </w:p>
    <w:p w14:paraId="1D3BBA10">
      <w:pPr>
        <w:suppressAutoHyphens/>
        <w:snapToGrid w:val="0"/>
        <w:spacing w:after="140" w:line="276" w:lineRule="auto"/>
        <w:ind w:firstLine="480"/>
        <w:rPr>
          <w:rFonts w:ascii="宋体" w:hAnsi="宋体" w:cs="宋体"/>
          <w:sz w:val="24"/>
        </w:rPr>
      </w:pPr>
      <w:r>
        <w:rPr>
          <w:rFonts w:hint="eastAsia" w:ascii="宋体" w:hAnsi="宋体" w:cs="宋体"/>
          <w:sz w:val="24"/>
        </w:rPr>
        <w:t>（3）应急响应时间≤5分钟（重大事件1分钟内响应）；</w:t>
      </w:r>
    </w:p>
    <w:p w14:paraId="222F9AA0">
      <w:pPr>
        <w:suppressAutoHyphens/>
        <w:snapToGrid w:val="0"/>
        <w:spacing w:line="360" w:lineRule="auto"/>
        <w:ind w:firstLine="480" w:firstLineChars="200"/>
        <w:rPr>
          <w:rFonts w:ascii="宋体" w:hAnsi="宋体" w:cs="宋体"/>
          <w:bCs/>
          <w:sz w:val="24"/>
        </w:rPr>
      </w:pPr>
      <w:bookmarkStart w:id="37" w:name="_Toc172656541"/>
      <w:r>
        <w:rPr>
          <w:rFonts w:hint="eastAsia" w:ascii="宋体" w:hAnsi="宋体" w:cs="宋体"/>
          <w:bCs/>
          <w:sz w:val="24"/>
        </w:rPr>
        <w:t>2．项目验收要求</w:t>
      </w:r>
      <w:bookmarkEnd w:id="37"/>
    </w:p>
    <w:p w14:paraId="22ECC1EC">
      <w:pPr>
        <w:suppressAutoHyphens/>
        <w:snapToGrid w:val="0"/>
        <w:spacing w:line="360" w:lineRule="auto"/>
        <w:ind w:firstLine="480" w:firstLineChars="200"/>
        <w:rPr>
          <w:rFonts w:ascii="宋体" w:hAnsi="宋体" w:cs="宋体"/>
          <w:sz w:val="24"/>
        </w:rPr>
      </w:pPr>
      <w:r>
        <w:rPr>
          <w:rFonts w:hint="eastAsia" w:ascii="宋体" w:hAnsi="宋体" w:cs="宋体"/>
          <w:sz w:val="24"/>
        </w:rPr>
        <w:t>中标人须严格按照服务内容及要求提供服务，应充分满足本招标文件提出的安全保障要求、运维服务要求、迁移服务要求和服务人员要求，制定服务方案并按计划推进执行。</w:t>
      </w:r>
    </w:p>
    <w:p w14:paraId="5B5DA683">
      <w:pPr>
        <w:suppressAutoHyphens/>
        <w:snapToGrid w:val="0"/>
        <w:spacing w:line="360" w:lineRule="auto"/>
        <w:ind w:firstLine="480" w:firstLineChars="200"/>
        <w:rPr>
          <w:rFonts w:hint="eastAsia" w:ascii="宋体" w:hAnsi="宋体" w:cs="宋体"/>
          <w:sz w:val="24"/>
        </w:rPr>
      </w:pPr>
      <w:r>
        <w:rPr>
          <w:rFonts w:hint="eastAsia" w:ascii="宋体" w:hAnsi="宋体" w:cs="宋体"/>
          <w:sz w:val="24"/>
        </w:rPr>
        <w:t>验收时间</w:t>
      </w:r>
    </w:p>
    <w:p w14:paraId="3D301219">
      <w:pPr>
        <w:suppressAutoHyphens/>
        <w:snapToGrid w:val="0"/>
        <w:spacing w:line="360" w:lineRule="auto"/>
        <w:ind w:firstLine="480" w:firstLineChars="200"/>
        <w:rPr>
          <w:rFonts w:hint="eastAsia" w:ascii="宋体" w:hAnsi="宋体" w:cs="宋体"/>
          <w:sz w:val="24"/>
        </w:rPr>
      </w:pPr>
      <w:r>
        <w:rPr>
          <w:rFonts w:hint="eastAsia" w:ascii="宋体" w:hAnsi="宋体" w:cs="宋体"/>
          <w:sz w:val="24"/>
        </w:rPr>
        <w:t>中标人于服务合同结束前10个工作日前后，开始筹备运维验收工作，符合验收条件后向采购人提出验收申请。</w:t>
      </w:r>
    </w:p>
    <w:p w14:paraId="43C1A2CD">
      <w:pPr>
        <w:suppressAutoHyphens/>
        <w:snapToGrid w:val="0"/>
        <w:spacing w:line="360" w:lineRule="auto"/>
        <w:ind w:firstLine="480" w:firstLineChars="200"/>
        <w:rPr>
          <w:rFonts w:hint="eastAsia" w:ascii="宋体" w:hAnsi="宋体" w:cs="宋体"/>
          <w:sz w:val="24"/>
        </w:rPr>
      </w:pPr>
      <w:r>
        <w:rPr>
          <w:rFonts w:hint="eastAsia" w:ascii="宋体" w:hAnsi="宋体" w:cs="宋体"/>
          <w:sz w:val="24"/>
        </w:rPr>
        <w:t>验收小组</w:t>
      </w:r>
    </w:p>
    <w:p w14:paraId="1B4507CB">
      <w:pPr>
        <w:suppressAutoHyphens/>
        <w:snapToGrid w:val="0"/>
        <w:spacing w:line="360" w:lineRule="auto"/>
        <w:ind w:firstLine="480" w:firstLineChars="200"/>
        <w:rPr>
          <w:rFonts w:hint="eastAsia" w:ascii="宋体" w:hAnsi="宋体" w:cs="宋体"/>
          <w:sz w:val="24"/>
        </w:rPr>
      </w:pPr>
      <w:r>
        <w:rPr>
          <w:rFonts w:hint="eastAsia" w:ascii="宋体" w:hAnsi="宋体" w:cs="宋体"/>
          <w:sz w:val="24"/>
        </w:rPr>
        <w:t>采购人成立验收小组，成员由采购人代表及监理单位组成。</w:t>
      </w:r>
    </w:p>
    <w:p w14:paraId="46519772">
      <w:pPr>
        <w:suppressAutoHyphens/>
        <w:snapToGrid w:val="0"/>
        <w:spacing w:line="360" w:lineRule="auto"/>
        <w:ind w:firstLine="480" w:firstLineChars="200"/>
        <w:rPr>
          <w:rFonts w:hint="eastAsia" w:ascii="宋体" w:hAnsi="宋体" w:cs="宋体"/>
          <w:sz w:val="24"/>
        </w:rPr>
      </w:pPr>
      <w:r>
        <w:rPr>
          <w:rFonts w:hint="eastAsia" w:ascii="宋体" w:hAnsi="宋体" w:cs="宋体"/>
          <w:sz w:val="24"/>
        </w:rPr>
        <w:t>验收方式</w:t>
      </w:r>
    </w:p>
    <w:p w14:paraId="092E5747">
      <w:pPr>
        <w:suppressAutoHyphens/>
        <w:snapToGrid w:val="0"/>
        <w:spacing w:line="360" w:lineRule="auto"/>
        <w:ind w:firstLine="480" w:firstLineChars="200"/>
        <w:rPr>
          <w:rFonts w:hint="eastAsia" w:ascii="宋体" w:hAnsi="宋体" w:cs="宋体"/>
          <w:sz w:val="24"/>
        </w:rPr>
      </w:pPr>
      <w:r>
        <w:rPr>
          <w:rFonts w:hint="eastAsia" w:ascii="宋体" w:hAnsi="宋体" w:cs="宋体"/>
          <w:sz w:val="24"/>
        </w:rPr>
        <w:t>采购人组织运维服务验收会议，投标人向采购人汇报运维服务工作情况并提交各项运维数据表单/报告/汇总统计，采购人验收小组成员对上述表单/报告/汇总统计进行验收，查看其数量是否齐全，内容是否完整，验收小组现场出具验收结果，投标人根据验收结果编写《验收报告》，《验收报告》须由采购人、投标人双方盖章确认并各自留存。</w:t>
      </w:r>
    </w:p>
    <w:p w14:paraId="744DABD5">
      <w:pPr>
        <w:keepNext/>
        <w:keepLines/>
        <w:numPr>
          <w:ilvl w:val="0"/>
          <w:numId w:val="1"/>
        </w:numPr>
        <w:suppressAutoHyphens/>
        <w:spacing w:before="260" w:after="220"/>
        <w:outlineLvl w:val="0"/>
        <w:rPr>
          <w:rFonts w:ascii="黑体" w:hAnsi="黑体" w:eastAsia="黑体" w:cs="黑体"/>
          <w:b/>
          <w:kern w:val="44"/>
          <w:sz w:val="24"/>
        </w:rPr>
      </w:pPr>
      <w:r>
        <w:rPr>
          <w:rFonts w:hint="eastAsia" w:ascii="黑体" w:hAnsi="黑体" w:eastAsia="黑体" w:cs="黑体"/>
          <w:b/>
          <w:kern w:val="44"/>
          <w:sz w:val="24"/>
        </w:rPr>
        <w:t xml:space="preserve"> </w:t>
      </w:r>
      <w:bookmarkStart w:id="38" w:name="_Toc15656"/>
      <w:r>
        <w:rPr>
          <w:rFonts w:hint="eastAsia" w:ascii="黑体" w:hAnsi="黑体" w:eastAsia="黑体" w:cs="黑体"/>
          <w:b/>
          <w:kern w:val="44"/>
          <w:sz w:val="24"/>
        </w:rPr>
        <w:t>保密要求</w:t>
      </w:r>
      <w:bookmarkEnd w:id="38"/>
    </w:p>
    <w:p w14:paraId="7F7CB047">
      <w:pPr>
        <w:suppressAutoHyphens/>
        <w:snapToGrid w:val="0"/>
        <w:spacing w:line="360" w:lineRule="auto"/>
        <w:ind w:firstLine="480" w:firstLineChars="200"/>
        <w:rPr>
          <w:rFonts w:ascii="宋体" w:hAnsi="宋体" w:cs="宋体"/>
          <w:sz w:val="24"/>
        </w:rPr>
      </w:pPr>
      <w:r>
        <w:rPr>
          <w:rFonts w:hint="eastAsia" w:ascii="宋体" w:hAnsi="宋体" w:cs="宋体"/>
          <w:sz w:val="24"/>
        </w:rPr>
        <w:t>（1）投标人因承接本合同约定项目所知悉的该项目信息或采购人信息，以及在项目实施过程中所产生的与该项目有关的全部信息均为采购人的保密信息，投标人应按照采购人关于保密工作的相关要求，对上述保密信息承担保密义务。投标人须严格遵守信息安全规定，不得利用系统维护服务时的便利对采购人数据及其他信息擅自修改或透漏给第三方。</w:t>
      </w:r>
    </w:p>
    <w:p w14:paraId="75346006">
      <w:pPr>
        <w:suppressAutoHyphens/>
        <w:snapToGrid w:val="0"/>
        <w:spacing w:line="360" w:lineRule="auto"/>
        <w:ind w:firstLine="480" w:firstLineChars="200"/>
        <w:rPr>
          <w:rFonts w:ascii="宋体" w:hAnsi="宋体" w:cs="宋体"/>
          <w:sz w:val="24"/>
        </w:rPr>
      </w:pPr>
      <w:r>
        <w:rPr>
          <w:rFonts w:hint="eastAsia" w:ascii="宋体" w:hAnsi="宋体" w:cs="宋体"/>
          <w:sz w:val="24"/>
        </w:rPr>
        <w:t>（2）投标人应对上述保密信息予以妥善保存，并保证仅将其用于与完成本合同项下约定项目实施有关的用途或目的。在缺少相关保密条款约定时，对上述保密信息,投标人应至少采取适用于对自己商业秘密进行保护的同等保护措施和审慎程度进行保密。</w:t>
      </w:r>
    </w:p>
    <w:p w14:paraId="0D1C17C3">
      <w:pPr>
        <w:suppressAutoHyphens/>
        <w:snapToGrid w:val="0"/>
        <w:spacing w:line="360" w:lineRule="auto"/>
        <w:ind w:firstLine="480" w:firstLineChars="200"/>
        <w:rPr>
          <w:rFonts w:ascii="宋体" w:hAnsi="宋体" w:cs="宋体"/>
          <w:sz w:val="24"/>
        </w:rPr>
      </w:pPr>
      <w:r>
        <w:rPr>
          <w:rFonts w:hint="eastAsia" w:ascii="宋体" w:hAnsi="宋体" w:cs="宋体"/>
          <w:sz w:val="24"/>
        </w:rPr>
        <w:t>（3）投标人保证将保密信息的披露范围严格控制在直接从事该项目工作且因工作需要有必要知悉保密信息的工作人员范围内,对投标人非从事该项目的人员一律严格保密。</w:t>
      </w:r>
    </w:p>
    <w:p w14:paraId="0D96D32B">
      <w:pPr>
        <w:suppressAutoHyphens/>
        <w:snapToGrid w:val="0"/>
        <w:spacing w:line="360" w:lineRule="auto"/>
        <w:ind w:firstLine="480" w:firstLineChars="200"/>
        <w:rPr>
          <w:rFonts w:ascii="宋体" w:hAnsi="宋体" w:cs="宋体"/>
          <w:sz w:val="24"/>
        </w:rPr>
      </w:pPr>
      <w:r>
        <w:rPr>
          <w:rFonts w:hint="eastAsia" w:ascii="宋体" w:hAnsi="宋体" w:cs="宋体"/>
          <w:sz w:val="24"/>
        </w:rPr>
        <w:t>（4）投标人应保证在向其工作人员披露采购人的保密信息前，认真做好员工的保密教育工作，明确告知其将知悉的为采购人的保密信息，并明确告知其需承担的保密义务及泄密所应承担的法律责任，并要求全体参与该项目的人员签署书面《保密协议》。</w:t>
      </w:r>
    </w:p>
    <w:p w14:paraId="5788D708">
      <w:pPr>
        <w:suppressAutoHyphens/>
        <w:snapToGrid w:val="0"/>
        <w:spacing w:line="360" w:lineRule="auto"/>
        <w:ind w:firstLine="480" w:firstLineChars="200"/>
        <w:rPr>
          <w:rFonts w:ascii="宋体" w:hAnsi="宋体" w:cs="宋体"/>
          <w:sz w:val="24"/>
        </w:rPr>
      </w:pPr>
      <w:r>
        <w:rPr>
          <w:rFonts w:hint="eastAsia" w:ascii="宋体" w:hAnsi="宋体" w:cs="宋体"/>
          <w:sz w:val="24"/>
        </w:rPr>
        <w:t>（5）任何时间内，一经采购人提出要求，投标人应按照采购人指示在收到采购人书面通知后 5 日内将含有保密信息的所有文件或其他资料归还采购人，且不得擅自复制留存。</w:t>
      </w:r>
    </w:p>
    <w:p w14:paraId="7E0BC4D4">
      <w:pPr>
        <w:suppressAutoHyphens/>
        <w:snapToGrid w:val="0"/>
        <w:spacing w:line="360" w:lineRule="auto"/>
        <w:ind w:firstLine="480" w:firstLineChars="200"/>
        <w:rPr>
          <w:rFonts w:ascii="宋体" w:hAnsi="宋体" w:cs="宋体"/>
          <w:sz w:val="24"/>
        </w:rPr>
      </w:pPr>
      <w:r>
        <w:rPr>
          <w:rFonts w:hint="eastAsia" w:ascii="宋体" w:hAnsi="宋体" w:cs="宋体"/>
          <w:sz w:val="24"/>
        </w:rPr>
        <w:t>（6）非经采购人特别授权，采购人向投标人提供的任何保密信息并不包括授予投标人该保密信息包含的任何专利权、商标权、著作权、商业秘密或其它类型的知识产权。</w:t>
      </w:r>
    </w:p>
    <w:p w14:paraId="218DF322">
      <w:pPr>
        <w:suppressAutoHyphens/>
        <w:snapToGrid w:val="0"/>
        <w:spacing w:line="360" w:lineRule="auto"/>
        <w:ind w:firstLine="480" w:firstLineChars="200"/>
        <w:rPr>
          <w:rFonts w:ascii="宋体" w:hAnsi="宋体" w:cs="宋体"/>
          <w:sz w:val="24"/>
        </w:rPr>
      </w:pPr>
      <w:r>
        <w:rPr>
          <w:rFonts w:hint="eastAsia" w:ascii="宋体" w:hAnsi="宋体" w:cs="宋体"/>
          <w:sz w:val="24"/>
        </w:rPr>
        <w:t>（7）投标人承担上述保密义务的期限为合同有效期间及合同终止后2年，承担上述保密义务的责任主体为投标人（含投标人服务人员）。</w:t>
      </w:r>
    </w:p>
    <w:p w14:paraId="70EC3F91">
      <w:pPr>
        <w:suppressAutoHyphens/>
        <w:snapToGrid w:val="0"/>
        <w:spacing w:line="360" w:lineRule="auto"/>
        <w:ind w:firstLine="480" w:firstLineChars="200"/>
        <w:rPr>
          <w:rFonts w:ascii="宋体" w:hAnsi="宋体" w:cs="宋体"/>
          <w:sz w:val="24"/>
        </w:rPr>
      </w:pPr>
      <w:r>
        <w:rPr>
          <w:rFonts w:hint="eastAsia" w:ascii="宋体" w:hAnsi="宋体" w:cs="宋体"/>
          <w:sz w:val="24"/>
        </w:rPr>
        <w:t>（8）在签订和履行合同过程中从采购人处获知的技术和商业秘密，无论在合同期限内亦或是合同终止后，均应遵守国家有关版权、专利、商标等知识产权方面的法律规定，尊重需求方的知识产权，对所知悉的采购人的技术秘密和商业秘密负有保密责任。</w:t>
      </w:r>
    </w:p>
    <w:p w14:paraId="3AB3CAEB">
      <w:pPr>
        <w:suppressAutoHyphens/>
        <w:snapToGrid w:val="0"/>
        <w:spacing w:line="360" w:lineRule="auto"/>
        <w:ind w:firstLine="480" w:firstLineChars="200"/>
        <w:rPr>
          <w:rFonts w:ascii="宋体" w:hAnsi="宋体" w:cs="宋体"/>
          <w:sz w:val="24"/>
        </w:rPr>
      </w:pPr>
      <w:r>
        <w:rPr>
          <w:rFonts w:hint="eastAsia" w:ascii="宋体" w:hAnsi="宋体" w:cs="宋体"/>
          <w:sz w:val="24"/>
        </w:rPr>
        <w:t>（9）投标人应当对获悉的政务数据、个人信息等予以保密，不得用于其他用途，不得泄露、出售或者非法向他人提供。</w:t>
      </w:r>
    </w:p>
    <w:p w14:paraId="3FDB6D73">
      <w:bookmarkStart w:id="39" w:name="_GoBack"/>
      <w:bookmarkEnd w:id="3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Bold">
    <w:altName w:val="Times New Roman"/>
    <w:panose1 w:val="02020803070505020304"/>
    <w:charset w:val="00"/>
    <w:family w:val="auto"/>
    <w:pitch w:val="default"/>
    <w:sig w:usb0="00000000" w:usb1="00000000"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123ED">
    <w:pPr>
      <w:suppressAutoHyphens/>
      <w:snapToGrid w:val="0"/>
      <w:jc w:val="center"/>
      <w:rPr>
        <w:rFonts w:ascii="Calibri" w:hAnsi="Calibri"/>
        <w:sz w:val="18"/>
      </w:rPr>
    </w:pPr>
    <w:r>
      <w:rPr>
        <w:rFonts w:ascii="Calibri" w:hAnsi="Calibri"/>
        <w:sz w:val="18"/>
      </w:rPr>
      <w:fldChar w:fldCharType="begin"/>
    </w:r>
    <w:r>
      <w:rPr>
        <w:rFonts w:ascii="Calibri" w:hAnsi="Calibri"/>
        <w:sz w:val="18"/>
      </w:rPr>
      <w:instrText xml:space="preserve">PAGE   \* MERGEFORMAT</w:instrText>
    </w:r>
    <w:r>
      <w:rPr>
        <w:rFonts w:ascii="Calibri" w:hAnsi="Calibri"/>
        <w:sz w:val="18"/>
      </w:rPr>
      <w:fldChar w:fldCharType="separate"/>
    </w:r>
    <w:r>
      <w:rPr>
        <w:rFonts w:ascii="Calibri" w:hAnsi="Calibri"/>
        <w:sz w:val="18"/>
        <w:lang w:val="zh-CN"/>
      </w:rPr>
      <w:t>18</w:t>
    </w:r>
    <w:r>
      <w:rPr>
        <w:rFonts w:ascii="Calibri" w:hAnsi="Calibri"/>
        <w:sz w:val="18"/>
      </w:rPr>
      <w:fldChar w:fldCharType="end"/>
    </w:r>
  </w:p>
  <w:p w14:paraId="29537603">
    <w:pPr>
      <w:suppressAutoHyphens/>
      <w:snapToGrid w:val="0"/>
      <w:jc w:val="left"/>
      <w:rPr>
        <w:rFonts w:ascii="Calibri" w:hAnsi="Calibri"/>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037ED">
    <w:pPr>
      <w:pBdr>
        <w:top w:val="none" w:color="auto" w:sz="0" w:space="1"/>
        <w:left w:val="none" w:color="auto" w:sz="0" w:space="4"/>
        <w:bottom w:val="none" w:color="auto" w:sz="0" w:space="1"/>
        <w:right w:val="none" w:color="auto" w:sz="0" w:space="4"/>
      </w:pBdr>
      <w:suppressAutoHyphens/>
      <w:snapToGrid w:val="0"/>
      <w:rPr>
        <w:rFonts w:ascii="Calibri" w:hAnsi="Calibr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F2EB3"/>
    <w:multiLevelType w:val="multilevel"/>
    <w:tmpl w:val="B6DF2EB3"/>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12A04574"/>
    <w:multiLevelType w:val="singleLevel"/>
    <w:tmpl w:val="12A04574"/>
    <w:lvl w:ilvl="0" w:tentative="0">
      <w:start w:val="1"/>
      <w:numFmt w:val="decimal"/>
      <w:lvlText w:val="%1."/>
      <w:lvlJc w:val="left"/>
      <w:pPr>
        <w:ind w:left="425" w:hanging="425"/>
      </w:pPr>
      <w:rPr>
        <w:rFonts w:hint="default"/>
      </w:rPr>
    </w:lvl>
  </w:abstractNum>
  <w:abstractNum w:abstractNumId="2">
    <w:nsid w:val="1FCD4497"/>
    <w:multiLevelType w:val="multilevel"/>
    <w:tmpl w:val="1FCD4497"/>
    <w:lvl w:ilvl="0" w:tentative="0">
      <w:start w:val="1"/>
      <w:numFmt w:val="chineseCountingThousand"/>
      <w:lvlText w:val="%1、"/>
      <w:lvlJc w:val="left"/>
      <w:pPr>
        <w:ind w:left="420" w:hanging="420"/>
      </w:pPr>
      <w:rPr>
        <w:rFonts w:hint="eastAsia" w:ascii="Times New Roman Bold" w:hAnsi="Times New Roman Bold" w:cs="Times New Roman Bold"/>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900A9B"/>
    <w:multiLevelType w:val="singleLevel"/>
    <w:tmpl w:val="2E900A9B"/>
    <w:lvl w:ilvl="0" w:tentative="0">
      <w:start w:val="1"/>
      <w:numFmt w:val="decimal"/>
      <w:lvlText w:val="%1."/>
      <w:lvlJc w:val="left"/>
      <w:pPr>
        <w:ind w:left="425" w:hanging="425"/>
      </w:pPr>
      <w:rPr>
        <w:rFonts w:hint="default"/>
      </w:rPr>
    </w:lvl>
  </w:abstractNum>
  <w:abstractNum w:abstractNumId="4">
    <w:nsid w:val="78940FC7"/>
    <w:multiLevelType w:val="singleLevel"/>
    <w:tmpl w:val="78940FC7"/>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4151C"/>
    <w:rsid w:val="7A441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2025-02-07T06:41:00Z</dcterms:created>
  <dc:creator>柠檬不萌</dc:creator>
  <cp:lastModifiedBy>柠檬不萌</cp:lastModifiedBy>
  <dcterms:modified xsi:type="dcterms:W3CDTF">2025-02-07T06:41:25Z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6B537C4DC38D4D55BB5BFBE4CF19007D_11</vt:lpwstr>
  </property>
  <property fmtid="{D5CDD505-2E9C-101B-9397-08002B2CF9AE}" pid="4" name="KSOTemplateDocerSaveRecord">
    <vt:lpwstr>eyJoZGlkIjoiZTljYTM5NzU5NjdjYmQxMzFlODI2NzI5ZTQ0Njg4NGMiLCJ1c2VySWQiOiIzNDcyNzI1OTkifQ==</vt:lpwstr>
  </property>
</Properties>
</file>