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A33E6B">
      <w:pPr>
        <w:pStyle w:val="4"/>
        <w:snapToGrid w:val="0"/>
        <w:spacing w:before="0" w:line="360" w:lineRule="auto"/>
        <w:jc w:val="center"/>
        <w:rPr>
          <w:rFonts w:hint="default" w:ascii="仿宋" w:hAnsi="仿宋" w:eastAsia="仿宋" w:cs="仿宋"/>
          <w:sz w:val="36"/>
          <w:szCs w:val="36"/>
          <w:highlight w:val="none"/>
          <w:lang w:val="en-US" w:eastAsia="zh-CN"/>
        </w:rPr>
      </w:pPr>
      <w:bookmarkStart w:id="26" w:name="_GoBack"/>
      <w:r>
        <w:rPr>
          <w:rFonts w:hint="eastAsia" w:ascii="仿宋" w:hAnsi="仿宋" w:eastAsia="仿宋" w:cs="仿宋"/>
          <w:sz w:val="36"/>
          <w:szCs w:val="36"/>
          <w:highlight w:val="none"/>
        </w:rPr>
        <w:t>北京警察学院综合运动场地建设项目</w:t>
      </w:r>
      <w:r>
        <w:rPr>
          <w:rFonts w:hint="eastAsia" w:ascii="仿宋" w:hAnsi="仿宋" w:eastAsia="仿宋" w:cs="仿宋"/>
          <w:sz w:val="36"/>
          <w:szCs w:val="36"/>
          <w:highlight w:val="none"/>
          <w:lang w:val="en-US" w:eastAsia="zh-CN"/>
        </w:rPr>
        <w:t>竞争性磋商公告</w:t>
      </w:r>
      <w:bookmarkEnd w:id="26"/>
    </w:p>
    <w:p w14:paraId="3D883ACA">
      <w:pPr>
        <w:pStyle w:val="4"/>
        <w:snapToGrid w:val="0"/>
        <w:spacing w:before="0" w:line="360" w:lineRule="auto"/>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一、项目基本情况</w:t>
      </w:r>
    </w:p>
    <w:p w14:paraId="0021553A">
      <w:pPr>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1.项目编号/包号：0701-254106150338/01</w:t>
      </w:r>
    </w:p>
    <w:p w14:paraId="44F3AF64">
      <w:pPr>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2.项目名称：北京警察学院综合运动场地建设项目</w:t>
      </w:r>
    </w:p>
    <w:p w14:paraId="14934015">
      <w:pPr>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3.采购方式：竞争性磋商</w:t>
      </w:r>
    </w:p>
    <w:p w14:paraId="5225463E">
      <w:pPr>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4.项目预算金额：13,442,</w:t>
      </w:r>
      <w:r>
        <w:rPr>
          <w:rFonts w:hint="eastAsia" w:ascii="仿宋" w:hAnsi="仿宋" w:eastAsia="仿宋" w:cs="仿宋"/>
          <w:sz w:val="28"/>
          <w:szCs w:val="28"/>
          <w:highlight w:val="none"/>
          <w:lang w:val="en-US" w:eastAsia="zh-CN"/>
        </w:rPr>
        <w:t>500</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00</w:t>
      </w:r>
      <w:r>
        <w:rPr>
          <w:rFonts w:hint="eastAsia" w:ascii="仿宋" w:hAnsi="仿宋" w:eastAsia="仿宋" w:cs="仿宋"/>
          <w:sz w:val="28"/>
          <w:szCs w:val="28"/>
          <w:highlight w:val="none"/>
        </w:rPr>
        <w:t>元、项目最高限价（如有）：13,442,499.56元</w:t>
      </w:r>
    </w:p>
    <w:p w14:paraId="4CEDBF86">
      <w:pPr>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5.采购需求：</w:t>
      </w:r>
    </w:p>
    <w:tbl>
      <w:tblPr>
        <w:tblStyle w:val="6"/>
        <w:tblW w:w="505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4"/>
        <w:gridCol w:w="1875"/>
        <w:gridCol w:w="2036"/>
        <w:gridCol w:w="695"/>
        <w:gridCol w:w="3266"/>
      </w:tblGrid>
      <w:tr w14:paraId="33162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0" w:type="pct"/>
            <w:noWrap w:val="0"/>
            <w:vAlign w:val="center"/>
          </w:tcPr>
          <w:p w14:paraId="7283089D">
            <w:pPr>
              <w:snapToGrid w:val="0"/>
              <w:spacing w:line="360" w:lineRule="auto"/>
              <w:jc w:val="center"/>
              <w:rPr>
                <w:rFonts w:hint="eastAsia" w:ascii="仿宋" w:hAnsi="仿宋" w:eastAsia="仿宋" w:cs="仿宋"/>
                <w:bCs/>
                <w:sz w:val="28"/>
                <w:szCs w:val="28"/>
                <w:highlight w:val="none"/>
              </w:rPr>
            </w:pPr>
            <w:r>
              <w:rPr>
                <w:rFonts w:hint="eastAsia" w:ascii="仿宋" w:hAnsi="仿宋" w:eastAsia="仿宋" w:cs="仿宋"/>
                <w:bCs/>
                <w:sz w:val="28"/>
                <w:szCs w:val="28"/>
                <w:highlight w:val="none"/>
              </w:rPr>
              <w:t>包号</w:t>
            </w:r>
          </w:p>
        </w:tc>
        <w:tc>
          <w:tcPr>
            <w:tcW w:w="1146" w:type="pct"/>
            <w:noWrap w:val="0"/>
            <w:vAlign w:val="center"/>
          </w:tcPr>
          <w:p w14:paraId="0D655872">
            <w:pPr>
              <w:snapToGrid w:val="0"/>
              <w:spacing w:line="360" w:lineRule="auto"/>
              <w:jc w:val="center"/>
              <w:rPr>
                <w:rFonts w:hint="eastAsia" w:ascii="仿宋" w:hAnsi="仿宋" w:eastAsia="仿宋" w:cs="仿宋"/>
                <w:bCs/>
                <w:sz w:val="28"/>
                <w:szCs w:val="28"/>
                <w:highlight w:val="none"/>
              </w:rPr>
            </w:pPr>
            <w:r>
              <w:rPr>
                <w:rFonts w:hint="eastAsia" w:ascii="仿宋" w:hAnsi="仿宋" w:eastAsia="仿宋" w:cs="仿宋"/>
                <w:bCs/>
                <w:sz w:val="28"/>
                <w:szCs w:val="28"/>
                <w:highlight w:val="none"/>
              </w:rPr>
              <w:t>标的名称</w:t>
            </w:r>
          </w:p>
        </w:tc>
        <w:tc>
          <w:tcPr>
            <w:tcW w:w="948" w:type="pct"/>
            <w:noWrap w:val="0"/>
            <w:vAlign w:val="center"/>
          </w:tcPr>
          <w:p w14:paraId="04DB97CE">
            <w:pPr>
              <w:snapToGrid w:val="0"/>
              <w:spacing w:line="360" w:lineRule="auto"/>
              <w:jc w:val="center"/>
              <w:rPr>
                <w:rFonts w:hint="eastAsia" w:ascii="仿宋" w:hAnsi="仿宋" w:eastAsia="仿宋" w:cs="仿宋"/>
                <w:bCs/>
                <w:sz w:val="28"/>
                <w:szCs w:val="28"/>
                <w:highlight w:val="none"/>
              </w:rPr>
            </w:pPr>
            <w:r>
              <w:rPr>
                <w:rFonts w:hint="eastAsia" w:ascii="仿宋" w:hAnsi="仿宋" w:eastAsia="仿宋" w:cs="仿宋"/>
                <w:bCs/>
                <w:sz w:val="28"/>
                <w:szCs w:val="28"/>
                <w:highlight w:val="none"/>
              </w:rPr>
              <w:t>采购包</w:t>
            </w:r>
            <w:r>
              <w:rPr>
                <w:rFonts w:hint="eastAsia" w:ascii="仿宋" w:hAnsi="仿宋" w:eastAsia="仿宋" w:cs="仿宋"/>
                <w:bCs/>
                <w:sz w:val="28"/>
                <w:szCs w:val="28"/>
                <w:highlight w:val="none"/>
                <w:lang w:val="en-US" w:eastAsia="zh-CN"/>
              </w:rPr>
              <w:t>最高限价</w:t>
            </w:r>
            <w:r>
              <w:rPr>
                <w:rFonts w:hint="eastAsia" w:ascii="仿宋" w:hAnsi="仿宋" w:eastAsia="仿宋" w:cs="仿宋"/>
                <w:bCs/>
                <w:sz w:val="28"/>
                <w:szCs w:val="28"/>
                <w:highlight w:val="none"/>
              </w:rPr>
              <w:t>（元）</w:t>
            </w:r>
          </w:p>
        </w:tc>
        <w:tc>
          <w:tcPr>
            <w:tcW w:w="461" w:type="pct"/>
            <w:noWrap w:val="0"/>
            <w:vAlign w:val="center"/>
          </w:tcPr>
          <w:p w14:paraId="4293EC25">
            <w:pPr>
              <w:snapToGrid w:val="0"/>
              <w:spacing w:line="360" w:lineRule="auto"/>
              <w:jc w:val="center"/>
              <w:rPr>
                <w:rFonts w:hint="eastAsia" w:ascii="仿宋" w:hAnsi="仿宋" w:eastAsia="仿宋" w:cs="仿宋"/>
                <w:bCs/>
                <w:sz w:val="28"/>
                <w:szCs w:val="28"/>
                <w:highlight w:val="none"/>
              </w:rPr>
            </w:pPr>
            <w:r>
              <w:rPr>
                <w:rFonts w:hint="eastAsia" w:ascii="仿宋" w:hAnsi="仿宋" w:eastAsia="仿宋" w:cs="仿宋"/>
                <w:bCs/>
                <w:sz w:val="28"/>
                <w:szCs w:val="28"/>
                <w:highlight w:val="none"/>
              </w:rPr>
              <w:t>数量</w:t>
            </w:r>
          </w:p>
        </w:tc>
        <w:tc>
          <w:tcPr>
            <w:tcW w:w="1952" w:type="pct"/>
            <w:noWrap w:val="0"/>
            <w:vAlign w:val="center"/>
          </w:tcPr>
          <w:p w14:paraId="0F1FB6F6">
            <w:pPr>
              <w:snapToGrid w:val="0"/>
              <w:spacing w:line="36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简要技术需求或服务要求</w:t>
            </w:r>
          </w:p>
        </w:tc>
      </w:tr>
      <w:tr w14:paraId="2AD9E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0" w:type="pct"/>
            <w:noWrap w:val="0"/>
            <w:vAlign w:val="center"/>
          </w:tcPr>
          <w:p w14:paraId="6DC0C5EF">
            <w:pPr>
              <w:snapToGrid w:val="0"/>
              <w:spacing w:line="360" w:lineRule="auto"/>
              <w:jc w:val="center"/>
              <w:rPr>
                <w:rFonts w:hint="eastAsia" w:ascii="仿宋" w:hAnsi="仿宋" w:eastAsia="仿宋" w:cs="仿宋"/>
                <w:bCs/>
                <w:sz w:val="28"/>
                <w:szCs w:val="28"/>
                <w:highlight w:val="none"/>
              </w:rPr>
            </w:pPr>
            <w:r>
              <w:rPr>
                <w:rFonts w:hint="eastAsia" w:ascii="仿宋" w:hAnsi="仿宋" w:eastAsia="仿宋" w:cs="仿宋"/>
                <w:bCs/>
                <w:sz w:val="28"/>
                <w:szCs w:val="28"/>
                <w:highlight w:val="none"/>
              </w:rPr>
              <w:t>1</w:t>
            </w:r>
          </w:p>
        </w:tc>
        <w:tc>
          <w:tcPr>
            <w:tcW w:w="1146" w:type="pct"/>
            <w:noWrap w:val="0"/>
            <w:vAlign w:val="center"/>
          </w:tcPr>
          <w:p w14:paraId="44D7B7EE">
            <w:pPr>
              <w:snapToGrid w:val="0"/>
              <w:spacing w:line="36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综合运动场地建设</w:t>
            </w:r>
          </w:p>
        </w:tc>
        <w:tc>
          <w:tcPr>
            <w:tcW w:w="948" w:type="pct"/>
            <w:noWrap w:val="0"/>
            <w:vAlign w:val="center"/>
          </w:tcPr>
          <w:p w14:paraId="2A78248B">
            <w:pPr>
              <w:snapToGrid w:val="0"/>
              <w:spacing w:line="360" w:lineRule="auto"/>
              <w:jc w:val="center"/>
              <w:rPr>
                <w:rFonts w:hint="eastAsia" w:ascii="仿宋" w:hAnsi="仿宋" w:eastAsia="仿宋" w:cs="仿宋"/>
                <w:bCs/>
                <w:sz w:val="28"/>
                <w:szCs w:val="28"/>
                <w:highlight w:val="none"/>
              </w:rPr>
            </w:pPr>
            <w:r>
              <w:rPr>
                <w:rFonts w:hint="eastAsia" w:ascii="仿宋" w:hAnsi="仿宋" w:eastAsia="仿宋" w:cs="仿宋"/>
                <w:sz w:val="28"/>
                <w:szCs w:val="28"/>
                <w:highlight w:val="none"/>
              </w:rPr>
              <w:t>13,442,499.56</w:t>
            </w:r>
          </w:p>
        </w:tc>
        <w:tc>
          <w:tcPr>
            <w:tcW w:w="461" w:type="pct"/>
            <w:noWrap w:val="0"/>
            <w:vAlign w:val="center"/>
          </w:tcPr>
          <w:p w14:paraId="14951F95">
            <w:pPr>
              <w:snapToGrid w:val="0"/>
              <w:spacing w:line="36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1项</w:t>
            </w:r>
          </w:p>
        </w:tc>
        <w:tc>
          <w:tcPr>
            <w:tcW w:w="1952" w:type="pct"/>
            <w:noWrap w:val="0"/>
            <w:vAlign w:val="center"/>
          </w:tcPr>
          <w:p w14:paraId="5FF7E235">
            <w:pPr>
              <w:snapToGrid w:val="0"/>
              <w:spacing w:line="360" w:lineRule="auto"/>
              <w:jc w:val="center"/>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详见磋商文件第四章采购需求</w:t>
            </w:r>
          </w:p>
        </w:tc>
      </w:tr>
    </w:tbl>
    <w:p w14:paraId="18097FD2">
      <w:pPr>
        <w:snapToGrid w:val="0"/>
        <w:spacing w:line="360" w:lineRule="auto"/>
        <w:ind w:firstLine="560" w:firstLineChars="200"/>
        <w:rPr>
          <w:rFonts w:hint="eastAsia" w:ascii="仿宋" w:hAnsi="仿宋" w:eastAsia="仿宋" w:cs="仿宋"/>
          <w:sz w:val="28"/>
          <w:szCs w:val="28"/>
          <w:highlight w:val="none"/>
          <w:u w:val="single"/>
        </w:rPr>
      </w:pPr>
      <w:r>
        <w:rPr>
          <w:rFonts w:hint="eastAsia" w:ascii="仿宋" w:hAnsi="仿宋" w:eastAsia="仿宋" w:cs="仿宋"/>
          <w:sz w:val="28"/>
          <w:szCs w:val="28"/>
          <w:highlight w:val="none"/>
        </w:rPr>
        <w:t>6.合同履行期限：从合同生效之日起至工程竣工、验收合格为止。</w:t>
      </w:r>
    </w:p>
    <w:p w14:paraId="4C3B5ECE">
      <w:pPr>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7.本项目是否接受联合体：□是  </w:t>
      </w:r>
      <w:r>
        <w:rPr>
          <w:rFonts w:hint="eastAsia" w:ascii="仿宋" w:hAnsi="仿宋" w:eastAsia="仿宋" w:cs="仿宋"/>
          <w:b/>
          <w:sz w:val="28"/>
          <w:szCs w:val="28"/>
          <w:highlight w:val="none"/>
        </w:rPr>
        <w:t>■</w:t>
      </w:r>
      <w:r>
        <w:rPr>
          <w:rFonts w:hint="eastAsia" w:ascii="仿宋" w:hAnsi="仿宋" w:eastAsia="仿宋" w:cs="仿宋"/>
          <w:sz w:val="28"/>
          <w:szCs w:val="28"/>
          <w:highlight w:val="none"/>
        </w:rPr>
        <w:t>否。</w:t>
      </w:r>
    </w:p>
    <w:p w14:paraId="775F750E">
      <w:pPr>
        <w:pStyle w:val="4"/>
        <w:snapToGrid w:val="0"/>
        <w:spacing w:before="0" w:line="360" w:lineRule="auto"/>
        <w:jc w:val="left"/>
        <w:rPr>
          <w:rFonts w:hint="eastAsia" w:ascii="仿宋" w:hAnsi="仿宋" w:eastAsia="仿宋" w:cs="仿宋"/>
          <w:sz w:val="28"/>
          <w:szCs w:val="28"/>
          <w:highlight w:val="none"/>
        </w:rPr>
      </w:pPr>
      <w:bookmarkStart w:id="0" w:name="_Toc35393622"/>
      <w:bookmarkStart w:id="1" w:name="_Toc28359003"/>
      <w:bookmarkStart w:id="2" w:name="_Toc28359080"/>
      <w:bookmarkStart w:id="3" w:name="_Toc35393791"/>
      <w:r>
        <w:rPr>
          <w:rFonts w:hint="eastAsia" w:ascii="仿宋" w:hAnsi="仿宋" w:eastAsia="仿宋" w:cs="仿宋"/>
          <w:sz w:val="28"/>
          <w:szCs w:val="28"/>
          <w:highlight w:val="none"/>
        </w:rPr>
        <w:t>二、申请人的资格要求（须同时满足）</w:t>
      </w:r>
      <w:bookmarkEnd w:id="0"/>
      <w:bookmarkEnd w:id="1"/>
      <w:bookmarkEnd w:id="2"/>
      <w:bookmarkEnd w:id="3"/>
    </w:p>
    <w:p w14:paraId="0F32D4F3">
      <w:pPr>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1.满足《中华人民共和国政府采购法》第二十二条规定；</w:t>
      </w:r>
    </w:p>
    <w:p w14:paraId="3456B9D3">
      <w:pPr>
        <w:snapToGrid w:val="0"/>
        <w:spacing w:line="360" w:lineRule="auto"/>
        <w:ind w:firstLine="560" w:firstLineChars="200"/>
        <w:rPr>
          <w:rFonts w:hint="eastAsia" w:ascii="仿宋" w:hAnsi="仿宋" w:eastAsia="仿宋" w:cs="仿宋"/>
          <w:sz w:val="28"/>
          <w:szCs w:val="28"/>
          <w:highlight w:val="none"/>
        </w:rPr>
      </w:pPr>
      <w:bookmarkStart w:id="4" w:name="_Toc28359081"/>
      <w:bookmarkStart w:id="5" w:name="_Toc28359004"/>
      <w:r>
        <w:rPr>
          <w:rFonts w:hint="eastAsia" w:ascii="仿宋" w:hAnsi="仿宋" w:eastAsia="仿宋" w:cs="仿宋"/>
          <w:sz w:val="28"/>
          <w:szCs w:val="28"/>
          <w:highlight w:val="none"/>
        </w:rPr>
        <w:t>2.落实政府采购政策需满足的资格要求：</w:t>
      </w:r>
    </w:p>
    <w:p w14:paraId="14647684">
      <w:pPr>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2.1 中小企业政策</w:t>
      </w:r>
    </w:p>
    <w:p w14:paraId="2A3EEE29">
      <w:pPr>
        <w:snapToGrid w:val="0"/>
        <w:spacing w:line="360" w:lineRule="auto"/>
        <w:ind w:firstLine="562" w:firstLineChars="200"/>
        <w:rPr>
          <w:rFonts w:hint="eastAsia" w:ascii="仿宋" w:hAnsi="仿宋" w:eastAsia="仿宋" w:cs="仿宋"/>
          <w:sz w:val="28"/>
          <w:szCs w:val="28"/>
          <w:highlight w:val="none"/>
        </w:rPr>
      </w:pPr>
      <w:r>
        <w:rPr>
          <w:rFonts w:hint="eastAsia" w:ascii="仿宋" w:hAnsi="仿宋" w:eastAsia="仿宋" w:cs="仿宋"/>
          <w:b/>
          <w:sz w:val="28"/>
          <w:szCs w:val="28"/>
          <w:highlight w:val="none"/>
        </w:rPr>
        <w:t>■</w:t>
      </w:r>
      <w:r>
        <w:rPr>
          <w:rFonts w:hint="eastAsia" w:ascii="仿宋" w:hAnsi="仿宋" w:eastAsia="仿宋" w:cs="仿宋"/>
          <w:sz w:val="28"/>
          <w:szCs w:val="28"/>
          <w:highlight w:val="none"/>
        </w:rPr>
        <w:t>本项目不专门面向中小企业预留采购份额。</w:t>
      </w:r>
    </w:p>
    <w:p w14:paraId="62874C34">
      <w:pPr>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□本项目专门面向  □中小 □小微企业  采购。即：提供的货物全部由符合政策要求的中小/小微企业制造、服务全部由符合政策要求的中小/小微企业承接、工程全部由符合政策要求的中小/小微企业承建。</w:t>
      </w:r>
    </w:p>
    <w:p w14:paraId="53FBFA9D">
      <w:pPr>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本项目预留部分采购项目预算专门面向中小企业采购。对于预留份额，提供的货物由符合政策要求的中小企业制造、服务由符合政策要求的中小企业承接、工程由符合政策要求的中小企业承建。预留份额通过以下措施进行：</w:t>
      </w:r>
      <w:r>
        <w:rPr>
          <w:rFonts w:hint="eastAsia" w:ascii="仿宋" w:hAnsi="仿宋" w:eastAsia="仿宋" w:cs="仿宋"/>
          <w:sz w:val="28"/>
          <w:szCs w:val="28"/>
          <w:highlight w:val="none"/>
          <w:u w:val="single"/>
        </w:rPr>
        <w:t xml:space="preserve"> / </w:t>
      </w:r>
      <w:r>
        <w:rPr>
          <w:rFonts w:hint="eastAsia" w:ascii="仿宋" w:hAnsi="仿宋" w:eastAsia="仿宋" w:cs="仿宋"/>
          <w:sz w:val="28"/>
          <w:szCs w:val="28"/>
          <w:highlight w:val="none"/>
        </w:rPr>
        <w:t xml:space="preserve">。 </w:t>
      </w:r>
    </w:p>
    <w:p w14:paraId="6A01212B">
      <w:pPr>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2.2 其它落实政府采购政策的资格要求（如有）：</w:t>
      </w:r>
      <w:r>
        <w:rPr>
          <w:rFonts w:hint="eastAsia" w:ascii="仿宋" w:hAnsi="仿宋" w:eastAsia="仿宋" w:cs="仿宋"/>
          <w:sz w:val="28"/>
          <w:szCs w:val="28"/>
          <w:highlight w:val="none"/>
          <w:u w:val="single"/>
        </w:rPr>
        <w:t xml:space="preserve"> / </w:t>
      </w:r>
      <w:r>
        <w:rPr>
          <w:rFonts w:hint="eastAsia" w:ascii="仿宋" w:hAnsi="仿宋" w:eastAsia="仿宋" w:cs="仿宋"/>
          <w:sz w:val="28"/>
          <w:szCs w:val="28"/>
          <w:highlight w:val="none"/>
        </w:rPr>
        <w:t>。</w:t>
      </w:r>
    </w:p>
    <w:p w14:paraId="5593EDC7">
      <w:pPr>
        <w:snapToGrid w:val="0"/>
        <w:spacing w:line="360" w:lineRule="auto"/>
        <w:ind w:firstLine="560" w:firstLineChars="200"/>
        <w:rPr>
          <w:rFonts w:hint="eastAsia" w:ascii="仿宋" w:hAnsi="仿宋" w:eastAsia="仿宋" w:cs="仿宋"/>
          <w:i/>
          <w:iCs/>
          <w:sz w:val="28"/>
          <w:szCs w:val="28"/>
          <w:highlight w:val="none"/>
          <w:u w:val="single"/>
        </w:rPr>
      </w:pPr>
      <w:r>
        <w:rPr>
          <w:rFonts w:hint="eastAsia" w:ascii="仿宋" w:hAnsi="仿宋" w:eastAsia="仿宋" w:cs="仿宋"/>
          <w:sz w:val="28"/>
          <w:szCs w:val="28"/>
          <w:highlight w:val="none"/>
        </w:rPr>
        <w:t>3.本项目的特定资格要求：</w:t>
      </w:r>
    </w:p>
    <w:p w14:paraId="43818B73">
      <w:pPr>
        <w:tabs>
          <w:tab w:val="left" w:pos="900"/>
          <w:tab w:val="left" w:pos="1134"/>
          <w:tab w:val="left" w:pos="1589"/>
          <w:tab w:val="left" w:pos="5521"/>
        </w:tabs>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3.1本项目是否接受分支机构参与响应：□是   </w:t>
      </w:r>
      <w:r>
        <w:rPr>
          <w:rFonts w:hint="eastAsia" w:ascii="仿宋" w:hAnsi="仿宋" w:eastAsia="仿宋" w:cs="仿宋"/>
          <w:b/>
          <w:sz w:val="28"/>
          <w:szCs w:val="28"/>
          <w:highlight w:val="none"/>
        </w:rPr>
        <w:t>■</w:t>
      </w:r>
      <w:r>
        <w:rPr>
          <w:rFonts w:hint="eastAsia" w:ascii="仿宋" w:hAnsi="仿宋" w:eastAsia="仿宋" w:cs="仿宋"/>
          <w:sz w:val="28"/>
          <w:szCs w:val="28"/>
          <w:highlight w:val="none"/>
        </w:rPr>
        <w:t>否；</w:t>
      </w:r>
    </w:p>
    <w:p w14:paraId="69FA073F">
      <w:pPr>
        <w:tabs>
          <w:tab w:val="left" w:pos="900"/>
          <w:tab w:val="left" w:pos="1134"/>
          <w:tab w:val="left" w:pos="1589"/>
          <w:tab w:val="left" w:pos="5521"/>
        </w:tabs>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3.2 本项目是否属于政府购买服务：</w:t>
      </w:r>
    </w:p>
    <w:p w14:paraId="72A9120E">
      <w:pPr>
        <w:tabs>
          <w:tab w:val="left" w:pos="900"/>
          <w:tab w:val="left" w:pos="1134"/>
          <w:tab w:val="left" w:pos="1589"/>
          <w:tab w:val="left" w:pos="5521"/>
        </w:tabs>
        <w:snapToGrid w:val="0"/>
        <w:spacing w:line="360" w:lineRule="auto"/>
        <w:ind w:left="991" w:leftChars="472" w:firstLine="2"/>
        <w:rPr>
          <w:rFonts w:hint="eastAsia" w:ascii="仿宋" w:hAnsi="仿宋" w:eastAsia="仿宋" w:cs="仿宋"/>
          <w:sz w:val="28"/>
          <w:szCs w:val="28"/>
          <w:highlight w:val="none"/>
        </w:rPr>
      </w:pPr>
      <w:r>
        <w:rPr>
          <w:rFonts w:hint="eastAsia" w:ascii="仿宋" w:hAnsi="仿宋" w:eastAsia="仿宋" w:cs="仿宋"/>
          <w:b/>
          <w:sz w:val="28"/>
          <w:szCs w:val="28"/>
          <w:highlight w:val="none"/>
        </w:rPr>
        <w:t>■</w:t>
      </w:r>
      <w:r>
        <w:rPr>
          <w:rFonts w:hint="eastAsia" w:ascii="仿宋" w:hAnsi="仿宋" w:eastAsia="仿宋" w:cs="仿宋"/>
          <w:sz w:val="28"/>
          <w:szCs w:val="28"/>
          <w:highlight w:val="none"/>
        </w:rPr>
        <w:t>否</w:t>
      </w:r>
    </w:p>
    <w:p w14:paraId="7A1A4306">
      <w:pPr>
        <w:tabs>
          <w:tab w:val="left" w:pos="900"/>
          <w:tab w:val="left" w:pos="1134"/>
          <w:tab w:val="left" w:pos="1589"/>
          <w:tab w:val="left" w:pos="5521"/>
        </w:tabs>
        <w:snapToGrid w:val="0"/>
        <w:spacing w:line="360" w:lineRule="auto"/>
        <w:ind w:left="991" w:leftChars="472" w:firstLine="2"/>
        <w:rPr>
          <w:rFonts w:hint="eastAsia" w:ascii="仿宋" w:hAnsi="仿宋" w:eastAsia="仿宋" w:cs="仿宋"/>
          <w:sz w:val="28"/>
          <w:szCs w:val="28"/>
          <w:highlight w:val="none"/>
        </w:rPr>
      </w:pPr>
      <w:r>
        <w:rPr>
          <w:rFonts w:hint="eastAsia" w:ascii="仿宋" w:hAnsi="仿宋" w:eastAsia="仿宋" w:cs="仿宋"/>
          <w:sz w:val="28"/>
          <w:szCs w:val="28"/>
          <w:highlight w:val="none"/>
        </w:rPr>
        <w:t>□是，公益一类事业单位、使用事业编制且由财政拨款保障的群团组织，不得作为承接主体；</w:t>
      </w:r>
    </w:p>
    <w:p w14:paraId="7242890B">
      <w:pPr>
        <w:tabs>
          <w:tab w:val="left" w:pos="900"/>
          <w:tab w:val="left" w:pos="1134"/>
          <w:tab w:val="left" w:pos="1589"/>
          <w:tab w:val="left" w:pos="5521"/>
        </w:tabs>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3.3其他特定资格要求：</w:t>
      </w:r>
      <w:bookmarkEnd w:id="4"/>
      <w:bookmarkEnd w:id="5"/>
      <w:bookmarkStart w:id="6" w:name="_Toc35393623"/>
      <w:bookmarkStart w:id="7" w:name="_Toc35393792"/>
    </w:p>
    <w:p w14:paraId="69834033">
      <w:pPr>
        <w:numPr>
          <w:ilvl w:val="0"/>
          <w:numId w:val="1"/>
        </w:numPr>
        <w:tabs>
          <w:tab w:val="left" w:pos="900"/>
          <w:tab w:val="left" w:pos="1134"/>
          <w:tab w:val="left" w:pos="1589"/>
          <w:tab w:val="left" w:pos="5521"/>
        </w:tabs>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供应商须具有有效的建筑工程施工总承包三级（含）以上资质证书；</w:t>
      </w:r>
    </w:p>
    <w:p w14:paraId="66155A51">
      <w:pPr>
        <w:numPr>
          <w:ilvl w:val="0"/>
          <w:numId w:val="1"/>
        </w:numPr>
        <w:tabs>
          <w:tab w:val="left" w:pos="900"/>
          <w:tab w:val="left" w:pos="1134"/>
          <w:tab w:val="left" w:pos="1589"/>
          <w:tab w:val="left" w:pos="5521"/>
        </w:tabs>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供应商须具有有效的安全生产许可证书；</w:t>
      </w:r>
    </w:p>
    <w:p w14:paraId="33BDB193">
      <w:pPr>
        <w:numPr>
          <w:ilvl w:val="0"/>
          <w:numId w:val="1"/>
        </w:numPr>
        <w:tabs>
          <w:tab w:val="left" w:pos="900"/>
          <w:tab w:val="left" w:pos="1134"/>
          <w:tab w:val="left" w:pos="1589"/>
          <w:tab w:val="left" w:pos="5521"/>
        </w:tabs>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外地来京建筑企业须具有《外省市建筑企业来京施工备案表》；</w:t>
      </w:r>
    </w:p>
    <w:p w14:paraId="1F513A4B">
      <w:pPr>
        <w:numPr>
          <w:ilvl w:val="0"/>
          <w:numId w:val="1"/>
        </w:numPr>
        <w:tabs>
          <w:tab w:val="left" w:pos="900"/>
          <w:tab w:val="left" w:pos="1134"/>
          <w:tab w:val="left" w:pos="1589"/>
          <w:tab w:val="left" w:pos="5521"/>
        </w:tabs>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拟派项目经理应具有建筑工程专业</w:t>
      </w:r>
      <w:r>
        <w:rPr>
          <w:rFonts w:hint="eastAsia" w:ascii="仿宋" w:hAnsi="仿宋" w:eastAsia="仿宋" w:cs="仿宋"/>
          <w:sz w:val="28"/>
          <w:szCs w:val="28"/>
          <w:highlight w:val="none"/>
          <w:lang w:val="en-US" w:eastAsia="zh-CN"/>
        </w:rPr>
        <w:t>一</w:t>
      </w:r>
      <w:r>
        <w:rPr>
          <w:rFonts w:hint="eastAsia" w:ascii="仿宋" w:hAnsi="仿宋" w:eastAsia="仿宋" w:cs="仿宋"/>
          <w:sz w:val="28"/>
          <w:szCs w:val="28"/>
          <w:highlight w:val="none"/>
        </w:rPr>
        <w:t>级注册建造师资格证书；拟派项目经理应具有有效的安全生产考核合格证书（B证）；且在确定中标人时不得担任其他在施建设工程项目的项目经理。</w:t>
      </w:r>
    </w:p>
    <w:p w14:paraId="5CF58096">
      <w:pPr>
        <w:pStyle w:val="4"/>
        <w:widowControl/>
        <w:snapToGrid w:val="0"/>
        <w:spacing w:before="0" w:line="360" w:lineRule="auto"/>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三、获取采购文件</w:t>
      </w:r>
      <w:bookmarkEnd w:id="6"/>
      <w:bookmarkEnd w:id="7"/>
    </w:p>
    <w:p w14:paraId="2AA986C1">
      <w:pPr>
        <w:adjustRightInd w:val="0"/>
        <w:snapToGrid w:val="0"/>
        <w:spacing w:line="360" w:lineRule="auto"/>
        <w:ind w:firstLine="560" w:firstLineChars="200"/>
        <w:rPr>
          <w:rFonts w:hint="eastAsia" w:ascii="仿宋" w:hAnsi="仿宋" w:eastAsia="仿宋" w:cs="仿宋"/>
          <w:sz w:val="28"/>
          <w:szCs w:val="28"/>
          <w:highlight w:val="none"/>
          <w:lang w:bidi="ar"/>
        </w:rPr>
      </w:pPr>
      <w:r>
        <w:rPr>
          <w:rFonts w:hint="eastAsia" w:ascii="仿宋" w:hAnsi="仿宋" w:eastAsia="仿宋" w:cs="仿宋"/>
          <w:sz w:val="28"/>
          <w:szCs w:val="28"/>
          <w:highlight w:val="none"/>
          <w:lang w:bidi="ar"/>
        </w:rPr>
        <w:t>1.时间：</w:t>
      </w:r>
      <w:r>
        <w:rPr>
          <w:rFonts w:hint="eastAsia" w:ascii="仿宋" w:hAnsi="仿宋" w:eastAsia="仿宋" w:cs="仿宋"/>
          <w:sz w:val="28"/>
          <w:szCs w:val="28"/>
          <w:highlight w:val="none"/>
          <w:lang w:eastAsia="zh-CN"/>
        </w:rPr>
        <w:t>2025年1月28日</w:t>
      </w:r>
      <w:r>
        <w:rPr>
          <w:rFonts w:hint="eastAsia" w:ascii="仿宋" w:hAnsi="仿宋" w:eastAsia="仿宋" w:cs="仿宋"/>
          <w:sz w:val="28"/>
          <w:szCs w:val="28"/>
          <w:highlight w:val="none"/>
          <w:lang w:bidi="ar"/>
        </w:rPr>
        <w:t>至</w:t>
      </w:r>
      <w:r>
        <w:rPr>
          <w:rFonts w:hint="eastAsia" w:ascii="仿宋" w:hAnsi="仿宋" w:eastAsia="仿宋" w:cs="仿宋"/>
          <w:sz w:val="28"/>
          <w:szCs w:val="28"/>
          <w:highlight w:val="none"/>
          <w:lang w:eastAsia="zh-CN"/>
        </w:rPr>
        <w:t>2025年2月10日</w:t>
      </w:r>
      <w:r>
        <w:rPr>
          <w:rFonts w:hint="eastAsia" w:ascii="仿宋" w:hAnsi="仿宋" w:eastAsia="仿宋" w:cs="仿宋"/>
          <w:sz w:val="28"/>
          <w:szCs w:val="28"/>
          <w:highlight w:val="none"/>
          <w:lang w:bidi="ar"/>
        </w:rPr>
        <w:t>，每天上午9:00至11:30，下午13：30至17:00（北京时间，法定节假日除外）。</w:t>
      </w:r>
    </w:p>
    <w:p w14:paraId="7E7D78F6">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bidi="ar"/>
        </w:rPr>
        <w:t>2.地点：北京市政府采购电子交易平台</w:t>
      </w:r>
    </w:p>
    <w:p w14:paraId="47F20EE4">
      <w:pPr>
        <w:snapToGrid w:val="0"/>
        <w:spacing w:line="360" w:lineRule="auto"/>
        <w:ind w:left="420" w:left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lang w:bidi="ar"/>
        </w:rPr>
        <w:t>3.方式：供应商持CA数字认证证书登录北京市政府采购电子交易平台（http://zbcg-bjzc.zhongcy.com/bjczj-portal-site/index.html#/home）获取电子版磋商文件。并在中国通用招标网（http://cgci.china-tender.com.cn/）进行免费注册报名</w:t>
      </w:r>
      <w:r>
        <w:rPr>
          <w:rFonts w:hint="eastAsia" w:ascii="仿宋" w:hAnsi="仿宋" w:eastAsia="仿宋" w:cs="仿宋"/>
          <w:sz w:val="28"/>
          <w:szCs w:val="28"/>
          <w:highlight w:val="none"/>
        </w:rPr>
        <w:t>。</w:t>
      </w:r>
    </w:p>
    <w:p w14:paraId="4E60C264">
      <w:pPr>
        <w:pStyle w:val="4"/>
        <w:widowControl/>
        <w:snapToGrid w:val="0"/>
        <w:spacing w:before="0" w:line="360" w:lineRule="auto"/>
        <w:jc w:val="left"/>
        <w:rPr>
          <w:rFonts w:hint="eastAsia" w:ascii="仿宋" w:hAnsi="仿宋" w:eastAsia="仿宋" w:cs="仿宋"/>
          <w:sz w:val="28"/>
          <w:szCs w:val="28"/>
          <w:highlight w:val="none"/>
        </w:rPr>
      </w:pPr>
      <w:bookmarkStart w:id="8" w:name="_Toc28359082"/>
      <w:bookmarkStart w:id="9" w:name="_Toc28359005"/>
      <w:bookmarkStart w:id="10" w:name="_Toc35393793"/>
      <w:bookmarkStart w:id="11" w:name="_Toc35393624"/>
      <w:r>
        <w:rPr>
          <w:rFonts w:hint="eastAsia" w:ascii="仿宋" w:hAnsi="仿宋" w:eastAsia="仿宋" w:cs="仿宋"/>
          <w:sz w:val="28"/>
          <w:szCs w:val="28"/>
          <w:highlight w:val="none"/>
        </w:rPr>
        <w:t>四、</w:t>
      </w:r>
      <w:bookmarkEnd w:id="8"/>
      <w:bookmarkEnd w:id="9"/>
      <w:bookmarkEnd w:id="10"/>
      <w:bookmarkEnd w:id="11"/>
      <w:r>
        <w:rPr>
          <w:rFonts w:hint="eastAsia" w:ascii="仿宋" w:hAnsi="仿宋" w:eastAsia="仿宋" w:cs="仿宋"/>
          <w:sz w:val="28"/>
          <w:szCs w:val="28"/>
          <w:highlight w:val="none"/>
        </w:rPr>
        <w:t>响应文件提交</w:t>
      </w:r>
    </w:p>
    <w:p w14:paraId="51F20BCF">
      <w:pPr>
        <w:snapToGrid w:val="0"/>
        <w:spacing w:line="360" w:lineRule="auto"/>
        <w:ind w:firstLine="560" w:firstLineChars="200"/>
        <w:rPr>
          <w:rFonts w:hint="eastAsia" w:ascii="仿宋" w:hAnsi="仿宋" w:eastAsia="仿宋" w:cs="仿宋"/>
          <w:bCs/>
          <w:sz w:val="28"/>
          <w:szCs w:val="28"/>
          <w:highlight w:val="none"/>
          <w:u w:val="single"/>
        </w:rPr>
      </w:pPr>
      <w:r>
        <w:rPr>
          <w:rFonts w:hint="eastAsia" w:ascii="仿宋" w:hAnsi="仿宋" w:eastAsia="仿宋" w:cs="仿宋"/>
          <w:sz w:val="28"/>
          <w:szCs w:val="28"/>
          <w:highlight w:val="none"/>
          <w:lang w:bidi="ar"/>
        </w:rPr>
        <w:t>截止时间：</w:t>
      </w:r>
      <w:r>
        <w:rPr>
          <w:rFonts w:hint="eastAsia" w:ascii="仿宋" w:hAnsi="仿宋" w:eastAsia="仿宋" w:cs="仿宋"/>
          <w:sz w:val="28"/>
          <w:szCs w:val="28"/>
          <w:highlight w:val="none"/>
          <w:lang w:eastAsia="zh-CN"/>
        </w:rPr>
        <w:t>2025年2月14日13点30分</w:t>
      </w:r>
      <w:r>
        <w:rPr>
          <w:rFonts w:hint="eastAsia" w:ascii="仿宋" w:hAnsi="仿宋" w:eastAsia="仿宋" w:cs="仿宋"/>
          <w:bCs/>
          <w:sz w:val="28"/>
          <w:szCs w:val="28"/>
          <w:highlight w:val="none"/>
          <w:lang w:bidi="ar"/>
        </w:rPr>
        <w:t>（北京时间）</w:t>
      </w:r>
      <w:r>
        <w:rPr>
          <w:rFonts w:hint="eastAsia" w:ascii="仿宋" w:hAnsi="仿宋" w:eastAsia="仿宋" w:cs="仿宋"/>
          <w:iCs/>
          <w:sz w:val="28"/>
          <w:szCs w:val="28"/>
          <w:highlight w:val="none"/>
          <w:lang w:bidi="ar"/>
        </w:rPr>
        <w:t>。</w:t>
      </w:r>
    </w:p>
    <w:p w14:paraId="20CF1DDB">
      <w:pPr>
        <w:snapToGrid w:val="0"/>
        <w:spacing w:line="360" w:lineRule="auto"/>
        <w:ind w:firstLine="560" w:firstLineChars="200"/>
        <w:rPr>
          <w:rFonts w:hint="eastAsia" w:ascii="仿宋" w:hAnsi="仿宋" w:eastAsia="仿宋" w:cs="仿宋"/>
          <w:sz w:val="28"/>
          <w:szCs w:val="28"/>
          <w:highlight w:val="none"/>
          <w:lang w:val="zh-TW" w:eastAsia="zh-TW" w:bidi="ar"/>
        </w:rPr>
      </w:pPr>
      <w:r>
        <w:rPr>
          <w:rFonts w:hint="eastAsia" w:ascii="仿宋" w:hAnsi="仿宋" w:eastAsia="仿宋" w:cs="仿宋"/>
          <w:sz w:val="28"/>
          <w:szCs w:val="28"/>
          <w:highlight w:val="none"/>
          <w:lang w:bidi="ar"/>
        </w:rPr>
        <w:t>地点：</w:t>
      </w:r>
      <w:r>
        <w:rPr>
          <w:rFonts w:hint="eastAsia" w:ascii="仿宋" w:hAnsi="仿宋" w:eastAsia="仿宋" w:cs="仿宋"/>
          <w:sz w:val="28"/>
          <w:szCs w:val="28"/>
          <w:highlight w:val="none"/>
        </w:rPr>
        <w:t>北京市丰台区西三环南路14号院首科大厦A座4层405号中技国际招标有限公司会议中心</w:t>
      </w:r>
      <w:r>
        <w:rPr>
          <w:rFonts w:hint="eastAsia" w:ascii="仿宋" w:hAnsi="仿宋" w:eastAsia="仿宋" w:cs="仿宋"/>
          <w:sz w:val="28"/>
          <w:szCs w:val="28"/>
          <w:highlight w:val="none"/>
          <w:lang w:val="zh-TW" w:bidi="ar"/>
        </w:rPr>
        <w:t>。</w:t>
      </w:r>
    </w:p>
    <w:p w14:paraId="2ECD7B05">
      <w:pPr>
        <w:pStyle w:val="4"/>
        <w:snapToGrid w:val="0"/>
        <w:spacing w:before="0" w:line="360" w:lineRule="auto"/>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五、开启</w:t>
      </w:r>
    </w:p>
    <w:p w14:paraId="68270081">
      <w:pPr>
        <w:snapToGrid w:val="0"/>
        <w:spacing w:line="360" w:lineRule="auto"/>
        <w:ind w:firstLine="560" w:firstLineChars="200"/>
        <w:rPr>
          <w:rFonts w:hint="eastAsia" w:ascii="仿宋" w:hAnsi="仿宋" w:eastAsia="仿宋" w:cs="仿宋"/>
          <w:bCs/>
          <w:sz w:val="28"/>
          <w:szCs w:val="28"/>
          <w:highlight w:val="none"/>
          <w:u w:val="single"/>
        </w:rPr>
      </w:pPr>
      <w:r>
        <w:rPr>
          <w:rFonts w:hint="eastAsia" w:ascii="仿宋" w:hAnsi="仿宋" w:eastAsia="仿宋" w:cs="仿宋"/>
          <w:sz w:val="28"/>
          <w:szCs w:val="28"/>
          <w:highlight w:val="none"/>
          <w:lang w:bidi="ar"/>
        </w:rPr>
        <w:t>时间：</w:t>
      </w:r>
      <w:r>
        <w:rPr>
          <w:rFonts w:hint="eastAsia" w:ascii="仿宋" w:hAnsi="仿宋" w:eastAsia="仿宋" w:cs="仿宋"/>
          <w:sz w:val="28"/>
          <w:szCs w:val="28"/>
          <w:highlight w:val="none"/>
          <w:lang w:eastAsia="zh-CN"/>
        </w:rPr>
        <w:t>2025年2月14日13点30分</w:t>
      </w:r>
      <w:r>
        <w:rPr>
          <w:rFonts w:hint="eastAsia" w:ascii="仿宋" w:hAnsi="仿宋" w:eastAsia="仿宋" w:cs="仿宋"/>
          <w:bCs/>
          <w:sz w:val="28"/>
          <w:szCs w:val="28"/>
          <w:highlight w:val="none"/>
          <w:lang w:bidi="ar"/>
        </w:rPr>
        <w:t>（北京时间）</w:t>
      </w:r>
      <w:r>
        <w:rPr>
          <w:rFonts w:hint="eastAsia" w:ascii="仿宋" w:hAnsi="仿宋" w:eastAsia="仿宋" w:cs="仿宋"/>
          <w:iCs/>
          <w:sz w:val="28"/>
          <w:szCs w:val="28"/>
          <w:highlight w:val="none"/>
          <w:lang w:bidi="ar"/>
        </w:rPr>
        <w:t>。</w:t>
      </w:r>
    </w:p>
    <w:p w14:paraId="1820EFC0">
      <w:pPr>
        <w:snapToGrid w:val="0"/>
        <w:spacing w:line="360" w:lineRule="auto"/>
        <w:ind w:firstLine="560" w:firstLineChars="200"/>
        <w:rPr>
          <w:rFonts w:hint="eastAsia" w:ascii="仿宋" w:hAnsi="仿宋" w:eastAsia="仿宋" w:cs="仿宋"/>
          <w:bCs/>
          <w:sz w:val="28"/>
          <w:szCs w:val="28"/>
          <w:highlight w:val="none"/>
          <w:u w:val="single"/>
          <w:lang w:eastAsia="zh-TW"/>
        </w:rPr>
      </w:pPr>
      <w:r>
        <w:rPr>
          <w:rFonts w:hint="eastAsia" w:ascii="仿宋" w:hAnsi="仿宋" w:eastAsia="仿宋" w:cs="仿宋"/>
          <w:sz w:val="28"/>
          <w:szCs w:val="28"/>
          <w:highlight w:val="none"/>
          <w:lang w:bidi="ar"/>
        </w:rPr>
        <w:t>地点：</w:t>
      </w:r>
      <w:r>
        <w:rPr>
          <w:rFonts w:hint="eastAsia" w:ascii="仿宋" w:hAnsi="仿宋" w:eastAsia="仿宋" w:cs="仿宋"/>
          <w:sz w:val="28"/>
          <w:szCs w:val="28"/>
          <w:highlight w:val="none"/>
        </w:rPr>
        <w:t>北京市丰台区西三环南路14号院首科大厦A座4层405号中技国际招标有限公司会议中心</w:t>
      </w:r>
      <w:r>
        <w:rPr>
          <w:rFonts w:hint="eastAsia" w:ascii="仿宋" w:hAnsi="仿宋" w:eastAsia="仿宋" w:cs="仿宋"/>
          <w:sz w:val="28"/>
          <w:szCs w:val="28"/>
          <w:highlight w:val="none"/>
          <w:lang w:val="zh-TW" w:bidi="ar"/>
        </w:rPr>
        <w:t>。</w:t>
      </w:r>
    </w:p>
    <w:p w14:paraId="028A54D5">
      <w:pPr>
        <w:pStyle w:val="4"/>
        <w:snapToGrid w:val="0"/>
        <w:spacing w:before="0" w:line="360" w:lineRule="auto"/>
        <w:jc w:val="left"/>
        <w:rPr>
          <w:rFonts w:hint="eastAsia" w:ascii="仿宋" w:hAnsi="仿宋" w:eastAsia="仿宋" w:cs="仿宋"/>
          <w:sz w:val="28"/>
          <w:szCs w:val="28"/>
          <w:highlight w:val="none"/>
        </w:rPr>
      </w:pPr>
      <w:bookmarkStart w:id="12" w:name="_Toc35393625"/>
      <w:bookmarkStart w:id="13" w:name="_Toc28359084"/>
      <w:bookmarkStart w:id="14" w:name="_Toc35393794"/>
      <w:bookmarkStart w:id="15" w:name="_Toc28359007"/>
      <w:r>
        <w:rPr>
          <w:rFonts w:hint="eastAsia" w:ascii="仿宋" w:hAnsi="仿宋" w:eastAsia="仿宋" w:cs="仿宋"/>
          <w:sz w:val="28"/>
          <w:szCs w:val="28"/>
          <w:highlight w:val="none"/>
        </w:rPr>
        <w:t>六、公告期限</w:t>
      </w:r>
      <w:bookmarkEnd w:id="12"/>
      <w:bookmarkEnd w:id="13"/>
      <w:bookmarkEnd w:id="14"/>
      <w:bookmarkEnd w:id="15"/>
    </w:p>
    <w:p w14:paraId="626C8A97">
      <w:pPr>
        <w:snapToGrid w:val="0"/>
        <w:spacing w:line="360" w:lineRule="auto"/>
        <w:ind w:firstLine="560" w:firstLineChars="200"/>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自本公告发布之日起3个工作日。</w:t>
      </w:r>
    </w:p>
    <w:p w14:paraId="3D8435A3">
      <w:pPr>
        <w:pStyle w:val="4"/>
        <w:snapToGrid w:val="0"/>
        <w:spacing w:before="0" w:line="360" w:lineRule="auto"/>
        <w:jc w:val="left"/>
        <w:rPr>
          <w:rFonts w:hint="eastAsia" w:ascii="仿宋" w:hAnsi="仿宋" w:eastAsia="仿宋" w:cs="仿宋"/>
          <w:sz w:val="28"/>
          <w:szCs w:val="28"/>
          <w:highlight w:val="none"/>
        </w:rPr>
      </w:pPr>
      <w:bookmarkStart w:id="16" w:name="_Toc35393626"/>
      <w:bookmarkStart w:id="17" w:name="_Toc35393795"/>
      <w:r>
        <w:rPr>
          <w:rFonts w:hint="eastAsia" w:ascii="仿宋" w:hAnsi="仿宋" w:eastAsia="仿宋" w:cs="仿宋"/>
          <w:sz w:val="28"/>
          <w:szCs w:val="28"/>
          <w:highlight w:val="none"/>
        </w:rPr>
        <w:t>七、其他补充事宜</w:t>
      </w:r>
      <w:bookmarkEnd w:id="16"/>
      <w:bookmarkEnd w:id="17"/>
    </w:p>
    <w:p w14:paraId="4F3C70B6">
      <w:pPr>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1.本项目需要落实的政府采购政策：</w:t>
      </w:r>
    </w:p>
    <w:p w14:paraId="7A61E26D">
      <w:pPr>
        <w:snapToGrid w:val="0"/>
        <w:spacing w:line="360" w:lineRule="auto"/>
        <w:ind w:firstLine="560" w:firstLineChars="200"/>
        <w:rPr>
          <w:rFonts w:hint="eastAsia" w:ascii="仿宋" w:hAnsi="仿宋" w:eastAsia="仿宋" w:cs="仿宋"/>
          <w:sz w:val="28"/>
          <w:szCs w:val="28"/>
          <w:highlight w:val="none"/>
          <w:lang w:bidi="ar"/>
        </w:rPr>
      </w:pPr>
      <w:r>
        <w:rPr>
          <w:rFonts w:hint="eastAsia" w:ascii="仿宋" w:hAnsi="仿宋" w:eastAsia="仿宋" w:cs="仿宋"/>
          <w:sz w:val="28"/>
          <w:szCs w:val="28"/>
          <w:highlight w:val="none"/>
          <w:lang w:bidi="ar"/>
        </w:rPr>
        <w:t>（1）鼓励节能、环保政策：依据《财政部 发展改革委 生态环境部 市场监管总局关于调整优化节能产品、环境标志产品政府采购执行机制的通知（财库（2019）9号）》执行。</w:t>
      </w:r>
    </w:p>
    <w:p w14:paraId="1843E115">
      <w:pPr>
        <w:snapToGrid w:val="0"/>
        <w:spacing w:line="360" w:lineRule="auto"/>
        <w:ind w:firstLine="560" w:firstLineChars="200"/>
        <w:rPr>
          <w:rFonts w:hint="eastAsia" w:ascii="仿宋" w:hAnsi="仿宋" w:eastAsia="仿宋" w:cs="仿宋"/>
          <w:sz w:val="28"/>
          <w:szCs w:val="28"/>
          <w:highlight w:val="none"/>
          <w:lang w:bidi="ar"/>
        </w:rPr>
      </w:pPr>
      <w:r>
        <w:rPr>
          <w:rFonts w:hint="eastAsia" w:ascii="仿宋" w:hAnsi="仿宋" w:eastAsia="仿宋" w:cs="仿宋"/>
          <w:sz w:val="28"/>
          <w:szCs w:val="28"/>
          <w:highlight w:val="none"/>
          <w:lang w:bidi="ar"/>
        </w:rPr>
        <w:t>（2）扶持中小企业政策：本项目为不专门面向中小企业采购包件。本项目工程承建商为小型企业、微型企业或监狱企业或残疾人福利性单位时，评审时由小型和微型企业承建的享受5%的价格折扣。监狱企业视同小型、微型企业。残疾人福利性单位视同小型、微型企业。不重复享受政策。</w:t>
      </w:r>
    </w:p>
    <w:p w14:paraId="3ABA5BC5">
      <w:pPr>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bidi="ar"/>
        </w:rPr>
        <w:t>（3）</w:t>
      </w:r>
      <w:r>
        <w:rPr>
          <w:rFonts w:hint="eastAsia" w:ascii="仿宋" w:hAnsi="仿宋" w:eastAsia="仿宋" w:cs="仿宋"/>
          <w:kern w:val="0"/>
          <w:sz w:val="28"/>
          <w:szCs w:val="28"/>
          <w:highlight w:val="none"/>
        </w:rPr>
        <w:t>本项目不接受进口产品</w:t>
      </w:r>
      <w:r>
        <w:rPr>
          <w:rFonts w:hint="eastAsia" w:ascii="仿宋" w:hAnsi="仿宋" w:eastAsia="仿宋" w:cs="仿宋"/>
          <w:sz w:val="28"/>
          <w:szCs w:val="28"/>
          <w:highlight w:val="none"/>
          <w:lang w:bidi="ar"/>
        </w:rPr>
        <w:t>。</w:t>
      </w:r>
    </w:p>
    <w:p w14:paraId="00F4801C">
      <w:pPr>
        <w:widowControl/>
        <w:adjustRightInd w:val="0"/>
        <w:snapToGrid w:val="0"/>
        <w:spacing w:line="360" w:lineRule="auto"/>
        <w:ind w:firstLine="560" w:firstLineChars="200"/>
        <w:jc w:val="left"/>
        <w:rPr>
          <w:rFonts w:hint="eastAsia" w:ascii="仿宋" w:hAnsi="仿宋" w:eastAsia="仿宋" w:cs="仿宋"/>
          <w:sz w:val="28"/>
          <w:szCs w:val="28"/>
          <w:highlight w:val="none"/>
          <w:lang w:bidi="ar"/>
        </w:rPr>
      </w:pPr>
      <w:r>
        <w:rPr>
          <w:rFonts w:hint="eastAsia" w:ascii="仿宋" w:hAnsi="仿宋" w:eastAsia="仿宋" w:cs="仿宋"/>
          <w:sz w:val="28"/>
          <w:szCs w:val="28"/>
          <w:highlight w:val="none"/>
          <w:lang w:bidi="ar"/>
        </w:rPr>
        <w:t>2.本次采购，供应商必须以包为单位进行磋商响应，评审和合同授予也以包为单位。</w:t>
      </w:r>
    </w:p>
    <w:p w14:paraId="64C1A8B1">
      <w:pPr>
        <w:widowControl/>
        <w:adjustRightInd w:val="0"/>
        <w:snapToGrid w:val="0"/>
        <w:spacing w:line="360" w:lineRule="auto"/>
        <w:ind w:firstLine="560" w:firstLineChars="200"/>
        <w:jc w:val="left"/>
        <w:rPr>
          <w:rFonts w:hint="eastAsia" w:ascii="仿宋" w:hAnsi="仿宋" w:eastAsia="仿宋" w:cs="仿宋"/>
          <w:sz w:val="28"/>
          <w:szCs w:val="28"/>
          <w:highlight w:val="none"/>
          <w:lang w:bidi="ar"/>
        </w:rPr>
      </w:pPr>
      <w:r>
        <w:rPr>
          <w:rFonts w:hint="eastAsia" w:ascii="仿宋" w:hAnsi="仿宋" w:eastAsia="仿宋" w:cs="仿宋"/>
          <w:sz w:val="28"/>
          <w:szCs w:val="28"/>
          <w:highlight w:val="none"/>
          <w:lang w:bidi="ar"/>
        </w:rPr>
        <w:t>3.申请人的资格要求补充:</w:t>
      </w:r>
    </w:p>
    <w:p w14:paraId="7DD3C24F">
      <w:pPr>
        <w:numPr>
          <w:ilvl w:val="2"/>
          <w:numId w:val="2"/>
        </w:numPr>
        <w:tabs>
          <w:tab w:val="left" w:pos="600"/>
          <w:tab w:val="left" w:pos="945"/>
          <w:tab w:val="left" w:pos="1050"/>
          <w:tab w:val="left" w:pos="1260"/>
          <w:tab w:val="left" w:pos="1365"/>
          <w:tab w:val="left" w:pos="1413"/>
        </w:tabs>
        <w:snapToGrid w:val="0"/>
        <w:spacing w:line="360" w:lineRule="auto"/>
        <w:ind w:left="1050" w:hanging="735"/>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被“信用中国”网站（www.creditchina.gov.cn）列入失信被执行人和重大税收违法案件当事人名单的、被“中国政府采购网”网站（www.ccgp.gov.cn）列入政府采购严重违法失信行为记录名单（处罚期限尚未届满的）的供应商，不得参与本项目的政府采购活动。</w:t>
      </w:r>
    </w:p>
    <w:p w14:paraId="5D93D37D">
      <w:pPr>
        <w:numPr>
          <w:ilvl w:val="2"/>
          <w:numId w:val="2"/>
        </w:numPr>
        <w:tabs>
          <w:tab w:val="left" w:pos="600"/>
          <w:tab w:val="left" w:pos="945"/>
          <w:tab w:val="left" w:pos="1050"/>
          <w:tab w:val="left" w:pos="1260"/>
          <w:tab w:val="left" w:pos="1365"/>
          <w:tab w:val="left" w:pos="1413"/>
        </w:tabs>
        <w:snapToGrid w:val="0"/>
        <w:spacing w:line="360" w:lineRule="auto"/>
        <w:ind w:left="1050" w:hanging="735"/>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单位负责人为同一人或者存在直接控股、管理关系的不同供应商，不得参加同一包的投标或者未划分包的同一招标项目的投标。</w:t>
      </w:r>
    </w:p>
    <w:p w14:paraId="3A2A6C96">
      <w:pPr>
        <w:tabs>
          <w:tab w:val="left" w:pos="1050"/>
          <w:tab w:val="left" w:pos="1134"/>
          <w:tab w:val="left" w:pos="1260"/>
        </w:tabs>
        <w:snapToGrid w:val="0"/>
        <w:spacing w:line="360" w:lineRule="auto"/>
        <w:ind w:left="1117" w:leftChars="532"/>
        <w:rPr>
          <w:rFonts w:hint="eastAsia" w:ascii="仿宋" w:hAnsi="仿宋" w:eastAsia="仿宋" w:cs="仿宋"/>
          <w:sz w:val="28"/>
          <w:szCs w:val="28"/>
          <w:highlight w:val="none"/>
        </w:rPr>
      </w:pPr>
      <w:r>
        <w:rPr>
          <w:rFonts w:hint="eastAsia" w:ascii="仿宋" w:hAnsi="仿宋" w:eastAsia="仿宋" w:cs="仿宋"/>
          <w:sz w:val="28"/>
          <w:szCs w:val="28"/>
          <w:highlight w:val="none"/>
        </w:rPr>
        <w:t>1)本条所指单位负责人为同一人指单位法定代表人或者法律、行政法规规定代表单位行使职权的主要负责人。</w:t>
      </w:r>
    </w:p>
    <w:p w14:paraId="6F618CD3">
      <w:pPr>
        <w:tabs>
          <w:tab w:val="left" w:pos="1050"/>
          <w:tab w:val="left" w:pos="1134"/>
          <w:tab w:val="left" w:pos="1260"/>
        </w:tabs>
        <w:snapToGrid w:val="0"/>
        <w:spacing w:line="360" w:lineRule="auto"/>
        <w:ind w:firstLine="1120" w:firstLineChars="400"/>
        <w:rPr>
          <w:rFonts w:hint="eastAsia" w:ascii="仿宋" w:hAnsi="仿宋" w:eastAsia="仿宋" w:cs="仿宋"/>
          <w:sz w:val="28"/>
          <w:szCs w:val="28"/>
          <w:highlight w:val="none"/>
        </w:rPr>
      </w:pPr>
      <w:r>
        <w:rPr>
          <w:rFonts w:hint="eastAsia" w:ascii="仿宋" w:hAnsi="仿宋" w:eastAsia="仿宋" w:cs="仿宋"/>
          <w:sz w:val="28"/>
          <w:szCs w:val="28"/>
          <w:highlight w:val="none"/>
        </w:rPr>
        <w:t>2)本条所指控股关系指单位或股东的控股关系。控股股东指:</w:t>
      </w:r>
    </w:p>
    <w:p w14:paraId="62DDD8A3">
      <w:pPr>
        <w:tabs>
          <w:tab w:val="left" w:pos="1050"/>
          <w:tab w:val="left" w:pos="1134"/>
          <w:tab w:val="left" w:pos="1260"/>
        </w:tabs>
        <w:snapToGrid w:val="0"/>
        <w:spacing w:line="360" w:lineRule="auto"/>
        <w:ind w:left="1050" w:leftChars="500"/>
        <w:rPr>
          <w:rFonts w:hint="eastAsia" w:ascii="仿宋" w:hAnsi="仿宋" w:eastAsia="仿宋" w:cs="仿宋"/>
          <w:sz w:val="28"/>
          <w:szCs w:val="28"/>
          <w:highlight w:val="none"/>
        </w:rPr>
      </w:pPr>
      <w:r>
        <w:rPr>
          <w:rFonts w:hint="eastAsia" w:ascii="仿宋" w:hAnsi="仿宋" w:eastAsia="仿宋" w:cs="仿宋"/>
          <w:sz w:val="28"/>
          <w:szCs w:val="28"/>
          <w:highlight w:val="none"/>
        </w:rPr>
        <w:t>a.出资额占有限责任公司资本总额百分之五十以上或者其持有的股份占股份有限公司股本总额百分之五十以上的股东；</w:t>
      </w:r>
    </w:p>
    <w:p w14:paraId="2F6E1F38">
      <w:pPr>
        <w:tabs>
          <w:tab w:val="left" w:pos="1050"/>
          <w:tab w:val="left" w:pos="1134"/>
          <w:tab w:val="left" w:pos="1260"/>
        </w:tabs>
        <w:snapToGrid w:val="0"/>
        <w:spacing w:line="360" w:lineRule="auto"/>
        <w:ind w:left="1050" w:leftChars="500"/>
        <w:rPr>
          <w:rFonts w:hint="eastAsia" w:ascii="仿宋" w:hAnsi="仿宋" w:eastAsia="仿宋" w:cs="仿宋"/>
          <w:sz w:val="28"/>
          <w:szCs w:val="28"/>
          <w:highlight w:val="none"/>
        </w:rPr>
      </w:pPr>
      <w:r>
        <w:rPr>
          <w:rFonts w:hint="eastAsia" w:ascii="仿宋" w:hAnsi="仿宋" w:eastAsia="仿宋" w:cs="仿宋"/>
          <w:sz w:val="28"/>
          <w:szCs w:val="28"/>
          <w:highlight w:val="none"/>
        </w:rPr>
        <w:t>b.出资额或者持有股份的比例不足百分之五十，但其出资额或者持有的股份所享有的表决权已足以对股东会、股东大会的决议产生重大影响的股东。</w:t>
      </w:r>
    </w:p>
    <w:p w14:paraId="5C38BC9C">
      <w:pPr>
        <w:tabs>
          <w:tab w:val="left" w:pos="1050"/>
          <w:tab w:val="left" w:pos="1134"/>
          <w:tab w:val="left" w:pos="1260"/>
        </w:tabs>
        <w:snapToGrid w:val="0"/>
        <w:spacing w:line="360" w:lineRule="auto"/>
        <w:ind w:left="1050" w:leftChars="500"/>
        <w:rPr>
          <w:rFonts w:hint="eastAsia" w:ascii="仿宋" w:hAnsi="仿宋" w:eastAsia="仿宋" w:cs="仿宋"/>
          <w:sz w:val="28"/>
          <w:szCs w:val="28"/>
          <w:highlight w:val="none"/>
        </w:rPr>
      </w:pPr>
      <w:r>
        <w:rPr>
          <w:rFonts w:hint="eastAsia" w:ascii="仿宋" w:hAnsi="仿宋" w:eastAsia="仿宋" w:cs="仿宋"/>
          <w:sz w:val="28"/>
          <w:szCs w:val="28"/>
          <w:highlight w:val="none"/>
        </w:rPr>
        <w:t>3)本条所指管理关系指不具有出资持股关系的其他单位之间存在的管理与被管理关系。</w:t>
      </w:r>
    </w:p>
    <w:p w14:paraId="656DD7EA">
      <w:pPr>
        <w:tabs>
          <w:tab w:val="left" w:pos="945"/>
          <w:tab w:val="left" w:pos="1050"/>
          <w:tab w:val="left" w:pos="1260"/>
          <w:tab w:val="left" w:pos="1365"/>
          <w:tab w:val="left" w:pos="1413"/>
        </w:tabs>
        <w:snapToGrid w:val="0"/>
        <w:spacing w:line="360" w:lineRule="auto"/>
        <w:ind w:left="1050"/>
        <w:rPr>
          <w:rFonts w:hint="eastAsia" w:ascii="仿宋" w:hAnsi="仿宋" w:eastAsia="仿宋" w:cs="仿宋"/>
          <w:kern w:val="0"/>
          <w:sz w:val="28"/>
          <w:szCs w:val="28"/>
          <w:highlight w:val="none"/>
        </w:rPr>
      </w:pPr>
      <w:r>
        <w:rPr>
          <w:rFonts w:hint="eastAsia" w:ascii="仿宋" w:hAnsi="仿宋" w:eastAsia="仿宋" w:cs="仿宋"/>
          <w:sz w:val="28"/>
          <w:szCs w:val="28"/>
          <w:highlight w:val="none"/>
        </w:rPr>
        <w:t>注：本条所指的控股、管理关系仅限于直接控股、直接管理关系，不包括间接控股或管理关系。</w:t>
      </w:r>
    </w:p>
    <w:p w14:paraId="43CB17CA">
      <w:pPr>
        <w:numPr>
          <w:ilvl w:val="2"/>
          <w:numId w:val="2"/>
        </w:numPr>
        <w:tabs>
          <w:tab w:val="left" w:pos="600"/>
          <w:tab w:val="left" w:pos="945"/>
          <w:tab w:val="left" w:pos="1050"/>
          <w:tab w:val="left" w:pos="1260"/>
          <w:tab w:val="left" w:pos="1365"/>
          <w:tab w:val="left" w:pos="1413"/>
        </w:tabs>
        <w:snapToGrid w:val="0"/>
        <w:spacing w:line="360" w:lineRule="auto"/>
        <w:ind w:left="1050" w:hanging="735"/>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为本采购项目提供过整体设计、规范编制或者项目管理、监理、检测等服务的供应商及其附属机构，不得再参加本采购项目的投标活动。</w:t>
      </w:r>
    </w:p>
    <w:p w14:paraId="2B71BF75">
      <w:pPr>
        <w:numPr>
          <w:ilvl w:val="2"/>
          <w:numId w:val="2"/>
        </w:numPr>
        <w:tabs>
          <w:tab w:val="left" w:pos="600"/>
          <w:tab w:val="left" w:pos="945"/>
          <w:tab w:val="left" w:pos="1050"/>
          <w:tab w:val="left" w:pos="1365"/>
          <w:tab w:val="left" w:pos="1413"/>
        </w:tabs>
        <w:snapToGrid w:val="0"/>
        <w:spacing w:line="360" w:lineRule="auto"/>
        <w:ind w:left="420" w:hanging="105"/>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按照磋商公告要求购买了磋商文件。</w:t>
      </w:r>
    </w:p>
    <w:p w14:paraId="03BAC344">
      <w:pPr>
        <w:numPr>
          <w:ilvl w:val="2"/>
          <w:numId w:val="2"/>
        </w:numPr>
        <w:tabs>
          <w:tab w:val="left" w:pos="600"/>
          <w:tab w:val="left" w:pos="945"/>
          <w:tab w:val="left" w:pos="1050"/>
          <w:tab w:val="left" w:pos="1260"/>
          <w:tab w:val="left" w:pos="1365"/>
          <w:tab w:val="left" w:pos="1413"/>
        </w:tabs>
        <w:snapToGrid w:val="0"/>
        <w:spacing w:line="360" w:lineRule="auto"/>
        <w:ind w:left="1050" w:hanging="735"/>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符合法律、行政法规规定的其他要求。</w:t>
      </w:r>
    </w:p>
    <w:p w14:paraId="436C8FD7">
      <w:pPr>
        <w:widowControl/>
        <w:adjustRightInd w:val="0"/>
        <w:snapToGrid w:val="0"/>
        <w:spacing w:line="360" w:lineRule="auto"/>
        <w:ind w:firstLine="560" w:firstLineChars="200"/>
        <w:jc w:val="left"/>
        <w:rPr>
          <w:rFonts w:hint="eastAsia" w:ascii="仿宋" w:hAnsi="仿宋" w:eastAsia="仿宋" w:cs="仿宋"/>
          <w:bCs/>
          <w:sz w:val="28"/>
          <w:szCs w:val="28"/>
          <w:highlight w:val="none"/>
        </w:rPr>
      </w:pPr>
      <w:r>
        <w:rPr>
          <w:rFonts w:hint="eastAsia" w:ascii="仿宋" w:hAnsi="仿宋" w:eastAsia="仿宋" w:cs="仿宋"/>
          <w:sz w:val="28"/>
          <w:szCs w:val="28"/>
          <w:highlight w:val="none"/>
        </w:rPr>
        <w:t>3.本项目采用电子化与线下流程结合招标方式，请供应商认真学习北京市政府采购电子交易平台发布的相关操作手册，办理CA认证证书、进行北京市政府采购电子交易平台注册绑定，并认真核实</w:t>
      </w:r>
      <w:r>
        <w:rPr>
          <w:rFonts w:hint="eastAsia" w:ascii="仿宋" w:hAnsi="仿宋" w:eastAsia="仿宋" w:cs="仿宋"/>
          <w:bCs/>
          <w:sz w:val="28"/>
          <w:szCs w:val="28"/>
          <w:highlight w:val="none"/>
        </w:rPr>
        <w:t>数字认证证书情况确认是否符合本项目电子化采购流程要求。</w:t>
      </w:r>
    </w:p>
    <w:p w14:paraId="7BE7B33C">
      <w:pPr>
        <w:adjustRightInd w:val="0"/>
        <w:snapToGrid w:val="0"/>
        <w:spacing w:line="360" w:lineRule="auto"/>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CA认证证书服务热线 010-58511086</w:t>
      </w:r>
    </w:p>
    <w:p w14:paraId="3D6A22C0">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技术支持服务热线    010-86483801</w:t>
      </w:r>
    </w:p>
    <w:p w14:paraId="33C70B78">
      <w:pPr>
        <w:widowControl/>
        <w:adjustRightInd w:val="0"/>
        <w:snapToGrid w:val="0"/>
        <w:spacing w:line="360" w:lineRule="auto"/>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3.1办理CA认证证书</w:t>
      </w:r>
    </w:p>
    <w:p w14:paraId="6DF457CB">
      <w:pPr>
        <w:widowControl/>
        <w:adjustRightInd w:val="0"/>
        <w:snapToGrid w:val="0"/>
        <w:spacing w:line="360" w:lineRule="auto"/>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供应商登录北京市政府采购电子交易平台查阅 “用户指南”—“操作指南”—“市场主体CA办理操作流程指引”，按照程序要求办理。</w:t>
      </w:r>
    </w:p>
    <w:p w14:paraId="1565C2B6">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3.2注册</w:t>
      </w:r>
    </w:p>
    <w:p w14:paraId="793DE820">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供应商登录北京市政府采购电子交易平台“用户指南”—“操作指南”—“市场主体注册入库操作流程指引”进行自助注册绑定。</w:t>
      </w:r>
    </w:p>
    <w:p w14:paraId="5A1A237E">
      <w:pPr>
        <w:widowControl/>
        <w:adjustRightInd w:val="0"/>
        <w:snapToGrid w:val="0"/>
        <w:spacing w:line="360" w:lineRule="auto"/>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3.3驱动、客户端下载</w:t>
      </w:r>
    </w:p>
    <w:p w14:paraId="245E02E6">
      <w:pPr>
        <w:widowControl/>
        <w:adjustRightInd w:val="0"/>
        <w:snapToGrid w:val="0"/>
        <w:spacing w:line="360" w:lineRule="auto"/>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供应商登录北京市政府采购电子交易平台“用户指南”—“工具下载”—“招标采购系统文件驱动安装包”下载相关驱动。</w:t>
      </w:r>
    </w:p>
    <w:p w14:paraId="25720DDF">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供应商登录北京市政府采购电子交易平台“用户指南”—“工具下载”—“投标文件编制工具”下载相关客户端。</w:t>
      </w:r>
    </w:p>
    <w:p w14:paraId="1D7E3700">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3.4 获取电子磋商文件</w:t>
      </w:r>
    </w:p>
    <w:p w14:paraId="69FAB293">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供应商持CA数字认证证书登录北京市政府采购电子交易平台获取电子磋商文件。未在规定期限内通过北京市政府采购电子交易平台获取磋商文件的</w:t>
      </w:r>
      <w:r>
        <w:rPr>
          <w:rFonts w:hint="eastAsia" w:ascii="仿宋" w:hAnsi="仿宋" w:eastAsia="仿宋" w:cs="仿宋"/>
          <w:b/>
          <w:sz w:val="28"/>
          <w:szCs w:val="28"/>
          <w:highlight w:val="none"/>
        </w:rPr>
        <w:t>投标无效</w:t>
      </w:r>
      <w:r>
        <w:rPr>
          <w:rFonts w:hint="eastAsia" w:ascii="仿宋" w:hAnsi="仿宋" w:eastAsia="仿宋" w:cs="仿宋"/>
          <w:sz w:val="28"/>
          <w:szCs w:val="28"/>
          <w:highlight w:val="none"/>
        </w:rPr>
        <w:t>。</w:t>
      </w:r>
    </w:p>
    <w:p w14:paraId="54A2C6FC">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3.5编制电子投标文件</w:t>
      </w:r>
      <w:r>
        <w:rPr>
          <w:rFonts w:hint="eastAsia" w:ascii="仿宋" w:hAnsi="仿宋" w:eastAsia="仿宋" w:cs="仿宋"/>
          <w:b/>
          <w:bCs/>
          <w:sz w:val="28"/>
          <w:szCs w:val="28"/>
          <w:highlight w:val="none"/>
        </w:rPr>
        <w:t>（本项目不适用）</w:t>
      </w:r>
    </w:p>
    <w:p w14:paraId="237FE91F">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供应商应使用电子投标客户端编制电子投标文件并进行线上投标，供应商电子投标文件需要加密并加盖电子签章</w:t>
      </w:r>
      <w:r>
        <w:rPr>
          <w:rFonts w:hint="eastAsia" w:ascii="仿宋" w:hAnsi="仿宋" w:eastAsia="仿宋" w:cs="仿宋"/>
          <w:bCs/>
          <w:sz w:val="28"/>
          <w:szCs w:val="28"/>
          <w:highlight w:val="none"/>
        </w:rPr>
        <w:t>，如无法按照要求在电子投标文件中加盖电子签章和加密，请及时通过技术支持服务热线联系技术人员</w:t>
      </w:r>
      <w:r>
        <w:rPr>
          <w:rFonts w:hint="eastAsia" w:ascii="仿宋" w:hAnsi="仿宋" w:eastAsia="仿宋" w:cs="仿宋"/>
          <w:sz w:val="28"/>
          <w:szCs w:val="28"/>
          <w:highlight w:val="none"/>
        </w:rPr>
        <w:t>。</w:t>
      </w:r>
    </w:p>
    <w:p w14:paraId="5693840B">
      <w:pPr>
        <w:widowControl/>
        <w:snapToGrid w:val="0"/>
        <w:spacing w:line="360" w:lineRule="auto"/>
        <w:ind w:firstLine="560" w:firstLineChars="200"/>
        <w:jc w:val="left"/>
        <w:rPr>
          <w:rFonts w:hint="eastAsia" w:ascii="仿宋" w:hAnsi="仿宋" w:eastAsia="仿宋" w:cs="仿宋"/>
          <w:sz w:val="28"/>
          <w:szCs w:val="28"/>
          <w:highlight w:val="none"/>
          <w:lang w:val="zh-TW"/>
        </w:rPr>
      </w:pPr>
      <w:r>
        <w:rPr>
          <w:rFonts w:hint="eastAsia" w:ascii="仿宋" w:hAnsi="仿宋" w:eastAsia="仿宋" w:cs="仿宋"/>
          <w:sz w:val="28"/>
          <w:szCs w:val="28"/>
          <w:highlight w:val="none"/>
          <w:lang w:val="zh-TW" w:eastAsia="zh-TW"/>
        </w:rPr>
        <w:t>3.6</w:t>
      </w:r>
      <w:r>
        <w:rPr>
          <w:rFonts w:hint="eastAsia" w:ascii="仿宋" w:hAnsi="仿宋" w:eastAsia="仿宋" w:cs="仿宋"/>
          <w:sz w:val="28"/>
          <w:szCs w:val="28"/>
          <w:highlight w:val="none"/>
          <w:lang w:val="zh-TW"/>
        </w:rPr>
        <w:t>提交电子投标文件</w:t>
      </w:r>
      <w:r>
        <w:rPr>
          <w:rFonts w:hint="eastAsia" w:ascii="仿宋" w:hAnsi="仿宋" w:eastAsia="仿宋" w:cs="仿宋"/>
          <w:b/>
          <w:bCs/>
          <w:sz w:val="28"/>
          <w:szCs w:val="28"/>
          <w:highlight w:val="none"/>
        </w:rPr>
        <w:t>（本项目不适用）</w:t>
      </w:r>
    </w:p>
    <w:p w14:paraId="626A838B">
      <w:pPr>
        <w:widowControl/>
        <w:snapToGrid w:val="0"/>
        <w:spacing w:line="360" w:lineRule="auto"/>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供应商应于投标截止时间前在北京市政府采购电子交易平台提交电子投标文件，上传电子投标文件过程中请保持与互联网的连接畅通。</w:t>
      </w:r>
    </w:p>
    <w:p w14:paraId="1F231648">
      <w:pPr>
        <w:widowControl/>
        <w:snapToGrid w:val="0"/>
        <w:spacing w:line="360" w:lineRule="auto"/>
        <w:ind w:firstLine="560" w:firstLineChars="200"/>
        <w:jc w:val="left"/>
        <w:rPr>
          <w:rFonts w:hint="eastAsia" w:ascii="仿宋" w:hAnsi="仿宋" w:eastAsia="仿宋" w:cs="仿宋"/>
          <w:sz w:val="28"/>
          <w:szCs w:val="28"/>
          <w:highlight w:val="none"/>
          <w:lang w:eastAsia="zh-TW"/>
        </w:rPr>
      </w:pPr>
      <w:r>
        <w:rPr>
          <w:rFonts w:hint="eastAsia" w:ascii="仿宋" w:hAnsi="仿宋" w:eastAsia="仿宋" w:cs="仿宋"/>
          <w:sz w:val="28"/>
          <w:szCs w:val="28"/>
          <w:highlight w:val="none"/>
          <w:lang w:val="zh-TW"/>
        </w:rPr>
        <w:t>3.</w:t>
      </w:r>
      <w:r>
        <w:rPr>
          <w:rFonts w:hint="eastAsia" w:ascii="仿宋" w:hAnsi="仿宋" w:eastAsia="仿宋" w:cs="仿宋"/>
          <w:sz w:val="28"/>
          <w:szCs w:val="28"/>
          <w:highlight w:val="none"/>
          <w:lang w:val="zh-TW" w:eastAsia="zh-TW"/>
        </w:rPr>
        <w:t>7</w:t>
      </w:r>
      <w:r>
        <w:rPr>
          <w:rFonts w:hint="eastAsia" w:ascii="仿宋" w:hAnsi="仿宋" w:eastAsia="仿宋" w:cs="仿宋"/>
          <w:sz w:val="28"/>
          <w:szCs w:val="28"/>
          <w:highlight w:val="none"/>
          <w:lang w:val="zh-TW"/>
        </w:rPr>
        <w:t>电子开标</w:t>
      </w:r>
      <w:r>
        <w:rPr>
          <w:rFonts w:hint="eastAsia" w:ascii="仿宋" w:hAnsi="仿宋" w:eastAsia="仿宋" w:cs="仿宋"/>
          <w:b/>
          <w:bCs/>
          <w:sz w:val="28"/>
          <w:szCs w:val="28"/>
          <w:highlight w:val="none"/>
        </w:rPr>
        <w:t>（本项目不适用）</w:t>
      </w:r>
    </w:p>
    <w:p w14:paraId="5B50DDEB">
      <w:pPr>
        <w:snapToGrid w:val="0"/>
        <w:spacing w:line="360" w:lineRule="auto"/>
        <w:ind w:firstLine="560" w:firstLineChars="200"/>
        <w:rPr>
          <w:rFonts w:hint="eastAsia" w:ascii="仿宋" w:hAnsi="仿宋" w:eastAsia="仿宋" w:cs="仿宋"/>
          <w:sz w:val="28"/>
          <w:szCs w:val="28"/>
          <w:highlight w:val="none"/>
          <w:lang w:val="zh-TW"/>
        </w:rPr>
      </w:pPr>
      <w:r>
        <w:rPr>
          <w:rFonts w:hint="eastAsia" w:ascii="仿宋" w:hAnsi="仿宋" w:eastAsia="仿宋" w:cs="仿宋"/>
          <w:sz w:val="28"/>
          <w:szCs w:val="28"/>
          <w:highlight w:val="none"/>
          <w:lang w:val="zh-TW"/>
        </w:rPr>
        <w:t>供应商在开标地点使用</w:t>
      </w:r>
      <w:r>
        <w:rPr>
          <w:rFonts w:hint="eastAsia" w:ascii="仿宋" w:hAnsi="仿宋" w:eastAsia="仿宋" w:cs="仿宋"/>
          <w:sz w:val="28"/>
          <w:szCs w:val="28"/>
          <w:highlight w:val="none"/>
        </w:rPr>
        <w:t>CA认证证书</w:t>
      </w:r>
      <w:r>
        <w:rPr>
          <w:rFonts w:hint="eastAsia" w:ascii="仿宋" w:hAnsi="仿宋" w:eastAsia="仿宋" w:cs="仿宋"/>
          <w:sz w:val="28"/>
          <w:szCs w:val="28"/>
          <w:highlight w:val="none"/>
          <w:lang w:val="zh-TW"/>
        </w:rPr>
        <w:t>登录</w:t>
      </w:r>
      <w:r>
        <w:rPr>
          <w:rFonts w:hint="eastAsia" w:ascii="仿宋" w:hAnsi="仿宋" w:eastAsia="仿宋" w:cs="仿宋"/>
          <w:sz w:val="28"/>
          <w:szCs w:val="28"/>
          <w:highlight w:val="none"/>
        </w:rPr>
        <w:t>北京市政府采购电子交易平台进行电子开标</w:t>
      </w:r>
      <w:r>
        <w:rPr>
          <w:rFonts w:hint="eastAsia" w:ascii="仿宋" w:hAnsi="仿宋" w:eastAsia="仿宋" w:cs="仿宋"/>
          <w:sz w:val="28"/>
          <w:szCs w:val="28"/>
          <w:highlight w:val="none"/>
          <w:lang w:val="zh-TW"/>
        </w:rPr>
        <w:t>。</w:t>
      </w:r>
    </w:p>
    <w:p w14:paraId="18DE6257">
      <w:pPr>
        <w:widowControl/>
        <w:adjustRightInd w:val="0"/>
        <w:snapToGrid w:val="0"/>
        <w:spacing w:line="360" w:lineRule="auto"/>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lang w:val="zh-TW"/>
        </w:rPr>
        <w:t>4 本项目资金情况:财政性资金，资金已落实。</w:t>
      </w:r>
    </w:p>
    <w:p w14:paraId="799E43AF">
      <w:pPr>
        <w:pStyle w:val="4"/>
        <w:snapToGrid w:val="0"/>
        <w:spacing w:before="0" w:line="360" w:lineRule="auto"/>
        <w:jc w:val="left"/>
        <w:rPr>
          <w:rFonts w:hint="eastAsia" w:ascii="仿宋" w:hAnsi="仿宋" w:eastAsia="仿宋" w:cs="仿宋"/>
          <w:sz w:val="28"/>
          <w:szCs w:val="28"/>
          <w:highlight w:val="none"/>
        </w:rPr>
      </w:pPr>
      <w:bookmarkStart w:id="18" w:name="_Toc28359085"/>
      <w:bookmarkStart w:id="19" w:name="_Toc35393796"/>
      <w:bookmarkStart w:id="20" w:name="_Toc28359008"/>
      <w:bookmarkStart w:id="21" w:name="_Toc35393627"/>
      <w:r>
        <w:rPr>
          <w:rFonts w:hint="eastAsia" w:ascii="仿宋" w:hAnsi="仿宋" w:eastAsia="仿宋" w:cs="仿宋"/>
          <w:sz w:val="28"/>
          <w:szCs w:val="28"/>
          <w:highlight w:val="none"/>
        </w:rPr>
        <w:t>八、对本项目提出询问，请按以下方式联系。</w:t>
      </w:r>
      <w:bookmarkEnd w:id="18"/>
      <w:bookmarkEnd w:id="19"/>
      <w:bookmarkEnd w:id="20"/>
      <w:bookmarkEnd w:id="21"/>
    </w:p>
    <w:p w14:paraId="70DD2D03">
      <w:pPr>
        <w:widowControl/>
        <w:snapToGrid w:val="0"/>
        <w:spacing w:line="360" w:lineRule="auto"/>
        <w:jc w:val="left"/>
        <w:rPr>
          <w:rFonts w:hint="eastAsia" w:ascii="仿宋" w:hAnsi="仿宋" w:eastAsia="仿宋" w:cs="仿宋"/>
          <w:b/>
          <w:sz w:val="28"/>
          <w:szCs w:val="28"/>
          <w:highlight w:val="none"/>
        </w:rPr>
      </w:pPr>
      <w:r>
        <w:rPr>
          <w:rFonts w:hint="eastAsia" w:ascii="仿宋" w:hAnsi="仿宋" w:eastAsia="仿宋" w:cs="仿宋"/>
          <w:sz w:val="28"/>
          <w:szCs w:val="28"/>
          <w:highlight w:val="none"/>
        </w:rPr>
        <w:t>　　　</w:t>
      </w:r>
      <w:r>
        <w:rPr>
          <w:rFonts w:hint="eastAsia" w:ascii="仿宋" w:hAnsi="仿宋" w:eastAsia="仿宋" w:cs="仿宋"/>
          <w:b/>
          <w:sz w:val="28"/>
          <w:szCs w:val="28"/>
          <w:highlight w:val="none"/>
        </w:rPr>
        <w:t>1.采购人信息</w:t>
      </w:r>
    </w:p>
    <w:p w14:paraId="3A464744">
      <w:pPr>
        <w:snapToGrid w:val="0"/>
        <w:spacing w:line="360" w:lineRule="auto"/>
        <w:ind w:left="1129" w:leftChars="371" w:hanging="350" w:hangingChars="125"/>
        <w:jc w:val="left"/>
        <w:rPr>
          <w:rFonts w:hint="eastAsia" w:ascii="仿宋" w:hAnsi="仿宋" w:eastAsia="仿宋" w:cs="仿宋"/>
          <w:sz w:val="28"/>
          <w:szCs w:val="28"/>
          <w:highlight w:val="none"/>
        </w:rPr>
      </w:pPr>
      <w:bookmarkStart w:id="22" w:name="_Toc28359086"/>
      <w:bookmarkStart w:id="23" w:name="_Toc28359009"/>
      <w:r>
        <w:rPr>
          <w:rFonts w:hint="eastAsia" w:ascii="仿宋" w:hAnsi="仿宋" w:eastAsia="仿宋" w:cs="仿宋"/>
          <w:sz w:val="28"/>
          <w:szCs w:val="28"/>
          <w:highlight w:val="none"/>
        </w:rPr>
        <w:t>名    称：北京市公安局</w:t>
      </w:r>
    </w:p>
    <w:p w14:paraId="09F81970">
      <w:pPr>
        <w:snapToGrid w:val="0"/>
        <w:spacing w:line="360" w:lineRule="auto"/>
        <w:ind w:left="1129" w:leftChars="371" w:hanging="350" w:hangingChars="125"/>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地    址：北京市东城区前门东大街9号</w:t>
      </w:r>
    </w:p>
    <w:p w14:paraId="2AAB1895">
      <w:pPr>
        <w:snapToGrid w:val="0"/>
        <w:spacing w:line="360" w:lineRule="auto"/>
        <w:ind w:left="1129" w:leftChars="371" w:hanging="350" w:hangingChars="125"/>
        <w:jc w:val="left"/>
        <w:rPr>
          <w:rFonts w:hint="eastAsia" w:ascii="仿宋" w:hAnsi="仿宋" w:eastAsia="仿宋" w:cs="仿宋"/>
          <w:sz w:val="28"/>
          <w:szCs w:val="28"/>
          <w:highlight w:val="none"/>
          <w:u w:val="single"/>
        </w:rPr>
      </w:pPr>
      <w:r>
        <w:rPr>
          <w:rFonts w:hint="eastAsia" w:ascii="仿宋" w:hAnsi="仿宋" w:eastAsia="仿宋" w:cs="仿宋"/>
          <w:sz w:val="28"/>
          <w:szCs w:val="28"/>
          <w:highlight w:val="none"/>
        </w:rPr>
        <w:t>联系方式：010-65223229</w:t>
      </w:r>
    </w:p>
    <w:p w14:paraId="6457B144">
      <w:pPr>
        <w:snapToGrid w:val="0"/>
        <w:spacing w:line="360" w:lineRule="auto"/>
        <w:ind w:left="1128" w:leftChars="371" w:hanging="349" w:hangingChars="124"/>
        <w:jc w:val="left"/>
        <w:rPr>
          <w:rFonts w:hint="eastAsia" w:ascii="仿宋" w:hAnsi="仿宋" w:eastAsia="仿宋" w:cs="仿宋"/>
          <w:b/>
          <w:sz w:val="28"/>
          <w:szCs w:val="28"/>
          <w:highlight w:val="none"/>
        </w:rPr>
      </w:pPr>
      <w:r>
        <w:rPr>
          <w:rFonts w:hint="eastAsia" w:ascii="仿宋" w:hAnsi="仿宋" w:eastAsia="仿宋" w:cs="仿宋"/>
          <w:b/>
          <w:sz w:val="28"/>
          <w:szCs w:val="28"/>
          <w:highlight w:val="none"/>
        </w:rPr>
        <w:t>2.采购代理机构信息</w:t>
      </w:r>
      <w:bookmarkEnd w:id="22"/>
      <w:bookmarkEnd w:id="23"/>
    </w:p>
    <w:p w14:paraId="4ECF5925">
      <w:pPr>
        <w:snapToGrid w:val="0"/>
        <w:spacing w:line="360" w:lineRule="auto"/>
        <w:ind w:left="1126" w:leftChars="371" w:hanging="347" w:hangingChars="124"/>
        <w:jc w:val="left"/>
        <w:rPr>
          <w:rFonts w:hint="eastAsia" w:ascii="仿宋" w:hAnsi="仿宋" w:eastAsia="仿宋" w:cs="仿宋"/>
          <w:sz w:val="28"/>
          <w:szCs w:val="28"/>
          <w:highlight w:val="none"/>
        </w:rPr>
      </w:pPr>
      <w:bookmarkStart w:id="24" w:name="_Toc28359010"/>
      <w:bookmarkStart w:id="25" w:name="_Toc28359087"/>
      <w:r>
        <w:rPr>
          <w:rFonts w:hint="eastAsia" w:ascii="仿宋" w:hAnsi="仿宋" w:eastAsia="仿宋" w:cs="仿宋"/>
          <w:sz w:val="28"/>
          <w:szCs w:val="28"/>
          <w:highlight w:val="none"/>
        </w:rPr>
        <w:t>名    称：中技国际招标有限公司</w:t>
      </w:r>
    </w:p>
    <w:p w14:paraId="1027533D">
      <w:pPr>
        <w:snapToGrid w:val="0"/>
        <w:spacing w:line="360" w:lineRule="auto"/>
        <w:ind w:left="1126" w:leftChars="371" w:hanging="347" w:hangingChars="124"/>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地    址：北京市丰台区西营街1号院通用时代中心C座9层</w:t>
      </w:r>
    </w:p>
    <w:p w14:paraId="081485A9">
      <w:pPr>
        <w:snapToGrid w:val="0"/>
        <w:spacing w:line="360" w:lineRule="auto"/>
        <w:ind w:left="1126" w:leftChars="371" w:hanging="347" w:hangingChars="124"/>
        <w:jc w:val="left"/>
        <w:rPr>
          <w:rFonts w:hint="eastAsia" w:ascii="仿宋" w:hAnsi="仿宋" w:eastAsia="仿宋" w:cs="仿宋"/>
          <w:sz w:val="28"/>
          <w:szCs w:val="28"/>
          <w:highlight w:val="none"/>
          <w:u w:val="single"/>
        </w:rPr>
      </w:pPr>
      <w:r>
        <w:rPr>
          <w:rFonts w:hint="eastAsia" w:ascii="仿宋" w:hAnsi="仿宋" w:eastAsia="仿宋" w:cs="仿宋"/>
          <w:sz w:val="28"/>
          <w:szCs w:val="28"/>
          <w:highlight w:val="none"/>
        </w:rPr>
        <w:t>联系方式：010－81168701</w:t>
      </w:r>
    </w:p>
    <w:p w14:paraId="32CF416D">
      <w:pPr>
        <w:snapToGrid w:val="0"/>
        <w:spacing w:line="360" w:lineRule="auto"/>
        <w:ind w:left="1128" w:leftChars="371" w:hanging="349" w:hangingChars="124"/>
        <w:rPr>
          <w:rFonts w:hint="eastAsia" w:ascii="仿宋" w:hAnsi="仿宋" w:eastAsia="仿宋" w:cs="仿宋"/>
          <w:b/>
          <w:sz w:val="28"/>
          <w:szCs w:val="28"/>
          <w:highlight w:val="none"/>
          <w:u w:val="single"/>
        </w:rPr>
      </w:pPr>
      <w:r>
        <w:rPr>
          <w:rFonts w:hint="eastAsia" w:ascii="仿宋" w:hAnsi="仿宋" w:eastAsia="仿宋" w:cs="仿宋"/>
          <w:b/>
          <w:sz w:val="28"/>
          <w:szCs w:val="28"/>
          <w:highlight w:val="none"/>
        </w:rPr>
        <w:t>3.项目联系方式</w:t>
      </w:r>
      <w:bookmarkEnd w:id="24"/>
      <w:bookmarkEnd w:id="25"/>
    </w:p>
    <w:p w14:paraId="598776CD">
      <w:pPr>
        <w:pStyle w:val="5"/>
        <w:snapToGrid w:val="0"/>
        <w:spacing w:line="360" w:lineRule="auto"/>
        <w:ind w:left="1126" w:leftChars="371" w:hanging="347" w:hangingChars="124"/>
        <w:rPr>
          <w:rFonts w:ascii="仿宋" w:hAnsi="仿宋" w:eastAsia="仿宋" w:cs="仿宋"/>
          <w:sz w:val="28"/>
          <w:szCs w:val="28"/>
          <w:highlight w:val="none"/>
          <w:u w:val="single"/>
          <w:lang w:bidi="ar"/>
        </w:rPr>
      </w:pPr>
      <w:r>
        <w:rPr>
          <w:rFonts w:ascii="仿宋" w:hAnsi="仿宋" w:eastAsia="仿宋" w:cs="仿宋"/>
          <w:sz w:val="28"/>
          <w:szCs w:val="28"/>
          <w:highlight w:val="none"/>
        </w:rPr>
        <w:t>项目联系人：徐亚希、张伯涵、杨子铭、赵祚铭、孙薇</w:t>
      </w:r>
    </w:p>
    <w:p w14:paraId="64CE8036">
      <w:pPr>
        <w:pStyle w:val="5"/>
        <w:snapToGrid w:val="0"/>
        <w:spacing w:line="360" w:lineRule="auto"/>
        <w:ind w:left="1126" w:leftChars="371" w:hanging="347" w:hangingChars="124"/>
        <w:rPr>
          <w:rFonts w:ascii="仿宋" w:hAnsi="仿宋" w:eastAsia="仿宋" w:cs="仿宋"/>
          <w:sz w:val="28"/>
          <w:szCs w:val="28"/>
          <w:highlight w:val="none"/>
        </w:rPr>
      </w:pPr>
      <w:r>
        <w:rPr>
          <w:rFonts w:ascii="仿宋" w:hAnsi="仿宋" w:eastAsia="仿宋" w:cs="仿宋"/>
          <w:sz w:val="28"/>
          <w:szCs w:val="28"/>
          <w:highlight w:val="none"/>
        </w:rPr>
        <w:t>电      话：010－81168701</w:t>
      </w:r>
    </w:p>
    <w:p w14:paraId="2E86EC2A">
      <w:pPr>
        <w:pStyle w:val="4"/>
        <w:snapToGrid w:val="0"/>
        <w:spacing w:before="0" w:line="360" w:lineRule="auto"/>
        <w:jc w:val="left"/>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九、附件</w:t>
      </w:r>
    </w:p>
    <w:p w14:paraId="62824969">
      <w:pPr>
        <w:pStyle w:val="5"/>
        <w:snapToGrid w:val="0"/>
        <w:spacing w:line="360" w:lineRule="auto"/>
        <w:ind w:firstLine="560" w:firstLineChars="200"/>
        <w:rPr>
          <w:rFonts w:ascii="仿宋" w:hAnsi="仿宋" w:eastAsia="仿宋" w:cs="宋体"/>
          <w:sz w:val="28"/>
          <w:szCs w:val="28"/>
          <w:highlight w:val="none"/>
        </w:rPr>
      </w:pPr>
      <w:r>
        <w:rPr>
          <w:rFonts w:ascii="仿宋" w:hAnsi="仿宋" w:eastAsia="仿宋" w:cs="宋体"/>
          <w:sz w:val="28"/>
          <w:szCs w:val="28"/>
          <w:highlight w:val="none"/>
        </w:rPr>
        <w:t>请报名成功的供应商按照《供应商情况表》所列内容认真填写相关信息，并将填写完毕《供应商情况表》在竞争性磋商文件下载之日起2个工作日内发送至招标代理机构邮箱，邮件命名格式：</w:t>
      </w:r>
      <w:r>
        <w:rPr>
          <w:rFonts w:ascii="仿宋" w:hAnsi="仿宋" w:eastAsia="仿宋" w:cs="宋体"/>
          <w:b/>
          <w:bCs/>
          <w:sz w:val="32"/>
          <w:szCs w:val="32"/>
          <w:highlight w:val="none"/>
        </w:rPr>
        <w:t>XXXX项目-投标人名称-供应商情况表</w:t>
      </w:r>
      <w:r>
        <w:rPr>
          <w:rFonts w:ascii="仿宋" w:hAnsi="仿宋" w:eastAsia="仿宋" w:cs="宋体"/>
          <w:sz w:val="28"/>
          <w:szCs w:val="28"/>
          <w:highlight w:val="none"/>
        </w:rPr>
        <w:t>，邮箱为：</w:t>
      </w:r>
      <w:r>
        <w:rPr>
          <w:rFonts w:ascii="仿宋" w:hAnsi="仿宋" w:eastAsia="仿宋" w:cs="宋体"/>
          <w:b/>
          <w:bCs/>
          <w:sz w:val="32"/>
          <w:szCs w:val="32"/>
          <w:highlight w:val="none"/>
        </w:rPr>
        <w:t>xuyaxi@cgci.gt.cn</w:t>
      </w:r>
      <w:r>
        <w:rPr>
          <w:rFonts w:ascii="仿宋" w:hAnsi="仿宋" w:eastAsia="仿宋" w:cs="宋体"/>
          <w:sz w:val="28"/>
          <w:szCs w:val="28"/>
          <w:highlight w:val="none"/>
        </w:rPr>
        <w:t>。</w:t>
      </w:r>
    </w:p>
    <w:tbl>
      <w:tblPr>
        <w:tblStyle w:val="6"/>
        <w:tblW w:w="4998" w:type="pct"/>
        <w:tblInd w:w="0" w:type="dxa"/>
        <w:tblLayout w:type="autofit"/>
        <w:tblCellMar>
          <w:top w:w="0" w:type="dxa"/>
          <w:left w:w="108" w:type="dxa"/>
          <w:bottom w:w="0" w:type="dxa"/>
          <w:right w:w="108" w:type="dxa"/>
        </w:tblCellMar>
      </w:tblPr>
      <w:tblGrid>
        <w:gridCol w:w="1014"/>
        <w:gridCol w:w="3197"/>
        <w:gridCol w:w="4308"/>
      </w:tblGrid>
      <w:tr w14:paraId="53384116">
        <w:tblPrEx>
          <w:tblCellMar>
            <w:top w:w="0" w:type="dxa"/>
            <w:left w:w="108" w:type="dxa"/>
            <w:bottom w:w="0" w:type="dxa"/>
            <w:right w:w="108" w:type="dxa"/>
          </w:tblCellMar>
        </w:tblPrEx>
        <w:trPr>
          <w:trHeight w:val="480" w:hRule="atLeast"/>
        </w:trPr>
        <w:tc>
          <w:tcPr>
            <w:tcW w:w="595" w:type="pct"/>
            <w:tcBorders>
              <w:top w:val="single" w:color="000000" w:sz="4" w:space="0"/>
              <w:left w:val="single" w:color="000000" w:sz="4" w:space="0"/>
              <w:bottom w:val="single" w:color="000000" w:sz="4" w:space="0"/>
              <w:right w:val="single" w:color="000000" w:sz="4" w:space="0"/>
            </w:tcBorders>
            <w:noWrap/>
            <w:vAlign w:val="center"/>
          </w:tcPr>
          <w:p w14:paraId="138B3753">
            <w:pPr>
              <w:widowControl/>
              <w:snapToGrid w:val="0"/>
              <w:spacing w:line="360" w:lineRule="auto"/>
              <w:jc w:val="center"/>
              <w:textAlignment w:val="center"/>
              <w:rPr>
                <w:rFonts w:ascii="仿宋" w:hAnsi="仿宋" w:eastAsia="仿宋" w:cs="仿宋"/>
                <w:sz w:val="28"/>
                <w:szCs w:val="28"/>
                <w:highlight w:val="none"/>
              </w:rPr>
            </w:pPr>
            <w:r>
              <w:rPr>
                <w:rFonts w:hint="eastAsia" w:ascii="仿宋" w:hAnsi="仿宋" w:eastAsia="仿宋" w:cs="仿宋"/>
                <w:kern w:val="0"/>
                <w:sz w:val="28"/>
                <w:szCs w:val="28"/>
                <w:highlight w:val="none"/>
                <w:lang w:bidi="ar"/>
              </w:rPr>
              <w:t>序号</w:t>
            </w:r>
          </w:p>
        </w:tc>
        <w:tc>
          <w:tcPr>
            <w:tcW w:w="4404" w:type="pct"/>
            <w:gridSpan w:val="2"/>
            <w:tcBorders>
              <w:top w:val="single" w:color="000000" w:sz="4" w:space="0"/>
              <w:left w:val="single" w:color="000000" w:sz="4" w:space="0"/>
              <w:bottom w:val="single" w:color="000000" w:sz="4" w:space="0"/>
              <w:right w:val="single" w:color="000000" w:sz="4" w:space="0"/>
            </w:tcBorders>
            <w:noWrap/>
            <w:vAlign w:val="center"/>
          </w:tcPr>
          <w:p w14:paraId="78EB686E">
            <w:pPr>
              <w:widowControl/>
              <w:snapToGrid w:val="0"/>
              <w:spacing w:line="360" w:lineRule="auto"/>
              <w:jc w:val="center"/>
              <w:textAlignment w:val="center"/>
              <w:rPr>
                <w:rFonts w:ascii="仿宋" w:hAnsi="仿宋" w:eastAsia="仿宋" w:cs="仿宋"/>
                <w:sz w:val="28"/>
                <w:szCs w:val="28"/>
                <w:highlight w:val="none"/>
              </w:rPr>
            </w:pPr>
            <w:r>
              <w:rPr>
                <w:rFonts w:hint="eastAsia" w:ascii="仿宋" w:hAnsi="仿宋" w:eastAsia="仿宋" w:cs="仿宋"/>
                <w:kern w:val="0"/>
                <w:sz w:val="28"/>
                <w:szCs w:val="28"/>
                <w:highlight w:val="none"/>
                <w:lang w:bidi="ar"/>
              </w:rPr>
              <w:t>供应商信息</w:t>
            </w:r>
          </w:p>
        </w:tc>
      </w:tr>
      <w:tr w14:paraId="32E3B798">
        <w:tblPrEx>
          <w:tblCellMar>
            <w:top w:w="0" w:type="dxa"/>
            <w:left w:w="108" w:type="dxa"/>
            <w:bottom w:w="0" w:type="dxa"/>
            <w:right w:w="108" w:type="dxa"/>
          </w:tblCellMar>
        </w:tblPrEx>
        <w:trPr>
          <w:trHeight w:val="480" w:hRule="atLeast"/>
        </w:trPr>
        <w:tc>
          <w:tcPr>
            <w:tcW w:w="595" w:type="pct"/>
            <w:tcBorders>
              <w:top w:val="single" w:color="000000" w:sz="4" w:space="0"/>
              <w:left w:val="single" w:color="000000" w:sz="4" w:space="0"/>
              <w:bottom w:val="single" w:color="000000" w:sz="4" w:space="0"/>
              <w:right w:val="single" w:color="000000" w:sz="4" w:space="0"/>
            </w:tcBorders>
            <w:noWrap/>
            <w:vAlign w:val="center"/>
          </w:tcPr>
          <w:p w14:paraId="523A0D48">
            <w:pPr>
              <w:widowControl/>
              <w:snapToGrid w:val="0"/>
              <w:spacing w:line="360" w:lineRule="auto"/>
              <w:jc w:val="center"/>
              <w:textAlignment w:val="center"/>
              <w:rPr>
                <w:rFonts w:ascii="仿宋" w:hAnsi="仿宋" w:eastAsia="仿宋" w:cs="仿宋"/>
                <w:sz w:val="28"/>
                <w:szCs w:val="28"/>
                <w:highlight w:val="none"/>
              </w:rPr>
            </w:pPr>
            <w:r>
              <w:rPr>
                <w:rFonts w:hint="eastAsia" w:ascii="仿宋" w:hAnsi="仿宋" w:eastAsia="仿宋" w:cs="仿宋"/>
                <w:kern w:val="0"/>
                <w:sz w:val="28"/>
                <w:szCs w:val="28"/>
                <w:highlight w:val="none"/>
                <w:lang w:bidi="ar"/>
              </w:rPr>
              <w:t>1</w:t>
            </w:r>
          </w:p>
        </w:tc>
        <w:tc>
          <w:tcPr>
            <w:tcW w:w="1876" w:type="pct"/>
            <w:tcBorders>
              <w:top w:val="single" w:color="000000" w:sz="4" w:space="0"/>
              <w:left w:val="single" w:color="000000" w:sz="4" w:space="0"/>
              <w:bottom w:val="single" w:color="000000" w:sz="4" w:space="0"/>
              <w:right w:val="single" w:color="000000" w:sz="4" w:space="0"/>
            </w:tcBorders>
            <w:noWrap/>
            <w:vAlign w:val="center"/>
          </w:tcPr>
          <w:p w14:paraId="654CB0DD">
            <w:pPr>
              <w:widowControl/>
              <w:snapToGrid w:val="0"/>
              <w:spacing w:line="360" w:lineRule="auto"/>
              <w:jc w:val="center"/>
              <w:textAlignment w:val="center"/>
              <w:rPr>
                <w:rFonts w:ascii="仿宋" w:hAnsi="仿宋" w:eastAsia="仿宋" w:cs="仿宋"/>
                <w:sz w:val="28"/>
                <w:szCs w:val="28"/>
                <w:highlight w:val="none"/>
              </w:rPr>
            </w:pPr>
            <w:r>
              <w:rPr>
                <w:rFonts w:hint="eastAsia" w:ascii="仿宋" w:hAnsi="仿宋" w:eastAsia="仿宋" w:cs="仿宋"/>
                <w:kern w:val="0"/>
                <w:sz w:val="28"/>
                <w:szCs w:val="28"/>
                <w:highlight w:val="none"/>
                <w:lang w:bidi="ar"/>
              </w:rPr>
              <w:t>供应商名称</w:t>
            </w:r>
          </w:p>
        </w:tc>
        <w:tc>
          <w:tcPr>
            <w:tcW w:w="2528" w:type="pct"/>
            <w:tcBorders>
              <w:top w:val="single" w:color="000000" w:sz="4" w:space="0"/>
              <w:left w:val="single" w:color="000000" w:sz="4" w:space="0"/>
              <w:bottom w:val="single" w:color="000000" w:sz="4" w:space="0"/>
              <w:right w:val="single" w:color="000000" w:sz="4" w:space="0"/>
            </w:tcBorders>
            <w:noWrap/>
            <w:vAlign w:val="center"/>
          </w:tcPr>
          <w:p w14:paraId="37311532">
            <w:pPr>
              <w:snapToGrid w:val="0"/>
              <w:spacing w:line="360" w:lineRule="auto"/>
              <w:jc w:val="center"/>
              <w:rPr>
                <w:rFonts w:ascii="仿宋" w:hAnsi="仿宋" w:eastAsia="仿宋" w:cs="仿宋"/>
                <w:sz w:val="28"/>
                <w:szCs w:val="28"/>
                <w:highlight w:val="none"/>
              </w:rPr>
            </w:pPr>
          </w:p>
        </w:tc>
      </w:tr>
      <w:tr w14:paraId="77EFAB73">
        <w:tblPrEx>
          <w:tblCellMar>
            <w:top w:w="0" w:type="dxa"/>
            <w:left w:w="108" w:type="dxa"/>
            <w:bottom w:w="0" w:type="dxa"/>
            <w:right w:w="108" w:type="dxa"/>
          </w:tblCellMar>
        </w:tblPrEx>
        <w:trPr>
          <w:trHeight w:val="480" w:hRule="atLeast"/>
        </w:trPr>
        <w:tc>
          <w:tcPr>
            <w:tcW w:w="595" w:type="pct"/>
            <w:tcBorders>
              <w:top w:val="single" w:color="000000" w:sz="4" w:space="0"/>
              <w:left w:val="single" w:color="000000" w:sz="4" w:space="0"/>
              <w:bottom w:val="single" w:color="000000" w:sz="4" w:space="0"/>
              <w:right w:val="single" w:color="000000" w:sz="4" w:space="0"/>
            </w:tcBorders>
            <w:noWrap/>
            <w:vAlign w:val="center"/>
          </w:tcPr>
          <w:p w14:paraId="54B08784">
            <w:pPr>
              <w:widowControl/>
              <w:snapToGrid w:val="0"/>
              <w:spacing w:line="360" w:lineRule="auto"/>
              <w:jc w:val="center"/>
              <w:textAlignment w:val="center"/>
              <w:rPr>
                <w:rFonts w:ascii="仿宋" w:hAnsi="仿宋" w:eastAsia="仿宋" w:cs="仿宋"/>
                <w:sz w:val="28"/>
                <w:szCs w:val="28"/>
                <w:highlight w:val="none"/>
              </w:rPr>
            </w:pPr>
            <w:r>
              <w:rPr>
                <w:rFonts w:hint="eastAsia" w:ascii="仿宋" w:hAnsi="仿宋" w:eastAsia="仿宋" w:cs="仿宋"/>
                <w:kern w:val="0"/>
                <w:sz w:val="28"/>
                <w:szCs w:val="28"/>
                <w:highlight w:val="none"/>
                <w:lang w:bidi="ar"/>
              </w:rPr>
              <w:t>2</w:t>
            </w:r>
          </w:p>
        </w:tc>
        <w:tc>
          <w:tcPr>
            <w:tcW w:w="1876" w:type="pct"/>
            <w:tcBorders>
              <w:top w:val="single" w:color="000000" w:sz="4" w:space="0"/>
              <w:left w:val="single" w:color="000000" w:sz="4" w:space="0"/>
              <w:bottom w:val="single" w:color="000000" w:sz="4" w:space="0"/>
              <w:right w:val="single" w:color="000000" w:sz="4" w:space="0"/>
            </w:tcBorders>
            <w:noWrap/>
            <w:vAlign w:val="center"/>
          </w:tcPr>
          <w:p w14:paraId="7692418D">
            <w:pPr>
              <w:widowControl/>
              <w:snapToGrid w:val="0"/>
              <w:spacing w:line="360" w:lineRule="auto"/>
              <w:jc w:val="center"/>
              <w:textAlignment w:val="center"/>
              <w:rPr>
                <w:rFonts w:ascii="仿宋" w:hAnsi="仿宋" w:eastAsia="仿宋" w:cs="仿宋"/>
                <w:sz w:val="28"/>
                <w:szCs w:val="28"/>
                <w:highlight w:val="none"/>
              </w:rPr>
            </w:pPr>
            <w:r>
              <w:rPr>
                <w:rFonts w:hint="eastAsia" w:ascii="仿宋" w:hAnsi="仿宋" w:eastAsia="仿宋" w:cs="仿宋"/>
                <w:kern w:val="0"/>
                <w:sz w:val="28"/>
                <w:szCs w:val="28"/>
                <w:highlight w:val="none"/>
                <w:lang w:bidi="ar"/>
              </w:rPr>
              <w:t>联系人</w:t>
            </w:r>
          </w:p>
        </w:tc>
        <w:tc>
          <w:tcPr>
            <w:tcW w:w="2528" w:type="pct"/>
            <w:tcBorders>
              <w:top w:val="single" w:color="000000" w:sz="4" w:space="0"/>
              <w:left w:val="single" w:color="000000" w:sz="4" w:space="0"/>
              <w:bottom w:val="single" w:color="000000" w:sz="4" w:space="0"/>
              <w:right w:val="single" w:color="000000" w:sz="4" w:space="0"/>
            </w:tcBorders>
            <w:noWrap/>
            <w:vAlign w:val="center"/>
          </w:tcPr>
          <w:p w14:paraId="2A3DEB95">
            <w:pPr>
              <w:snapToGrid w:val="0"/>
              <w:spacing w:line="360" w:lineRule="auto"/>
              <w:jc w:val="center"/>
              <w:rPr>
                <w:rFonts w:ascii="仿宋" w:hAnsi="仿宋" w:eastAsia="仿宋" w:cs="仿宋"/>
                <w:sz w:val="28"/>
                <w:szCs w:val="28"/>
                <w:highlight w:val="none"/>
              </w:rPr>
            </w:pPr>
          </w:p>
        </w:tc>
      </w:tr>
      <w:tr w14:paraId="47576D84">
        <w:tblPrEx>
          <w:tblCellMar>
            <w:top w:w="0" w:type="dxa"/>
            <w:left w:w="108" w:type="dxa"/>
            <w:bottom w:w="0" w:type="dxa"/>
            <w:right w:w="108" w:type="dxa"/>
          </w:tblCellMar>
        </w:tblPrEx>
        <w:trPr>
          <w:trHeight w:val="480" w:hRule="atLeast"/>
        </w:trPr>
        <w:tc>
          <w:tcPr>
            <w:tcW w:w="595" w:type="pct"/>
            <w:tcBorders>
              <w:top w:val="single" w:color="000000" w:sz="4" w:space="0"/>
              <w:left w:val="single" w:color="000000" w:sz="4" w:space="0"/>
              <w:bottom w:val="single" w:color="000000" w:sz="4" w:space="0"/>
              <w:right w:val="single" w:color="000000" w:sz="4" w:space="0"/>
            </w:tcBorders>
            <w:noWrap/>
            <w:vAlign w:val="center"/>
          </w:tcPr>
          <w:p w14:paraId="5694C43D">
            <w:pPr>
              <w:widowControl/>
              <w:snapToGrid w:val="0"/>
              <w:spacing w:line="360" w:lineRule="auto"/>
              <w:jc w:val="center"/>
              <w:textAlignment w:val="center"/>
              <w:rPr>
                <w:rFonts w:ascii="仿宋" w:hAnsi="仿宋" w:eastAsia="仿宋" w:cs="仿宋"/>
                <w:sz w:val="28"/>
                <w:szCs w:val="28"/>
                <w:highlight w:val="none"/>
              </w:rPr>
            </w:pPr>
            <w:r>
              <w:rPr>
                <w:rFonts w:hint="eastAsia" w:ascii="仿宋" w:hAnsi="仿宋" w:eastAsia="仿宋" w:cs="仿宋"/>
                <w:kern w:val="0"/>
                <w:sz w:val="28"/>
                <w:szCs w:val="28"/>
                <w:highlight w:val="none"/>
                <w:lang w:bidi="ar"/>
              </w:rPr>
              <w:t>3</w:t>
            </w:r>
          </w:p>
        </w:tc>
        <w:tc>
          <w:tcPr>
            <w:tcW w:w="1876" w:type="pct"/>
            <w:tcBorders>
              <w:top w:val="single" w:color="000000" w:sz="4" w:space="0"/>
              <w:left w:val="single" w:color="000000" w:sz="4" w:space="0"/>
              <w:bottom w:val="single" w:color="000000" w:sz="4" w:space="0"/>
              <w:right w:val="single" w:color="000000" w:sz="4" w:space="0"/>
            </w:tcBorders>
            <w:noWrap/>
            <w:vAlign w:val="center"/>
          </w:tcPr>
          <w:p w14:paraId="021B345D">
            <w:pPr>
              <w:widowControl/>
              <w:snapToGrid w:val="0"/>
              <w:spacing w:line="360" w:lineRule="auto"/>
              <w:jc w:val="center"/>
              <w:textAlignment w:val="center"/>
              <w:rPr>
                <w:rFonts w:ascii="仿宋" w:hAnsi="仿宋" w:eastAsia="仿宋" w:cs="仿宋"/>
                <w:sz w:val="28"/>
                <w:szCs w:val="28"/>
                <w:highlight w:val="none"/>
              </w:rPr>
            </w:pPr>
            <w:r>
              <w:rPr>
                <w:rFonts w:hint="eastAsia" w:ascii="仿宋" w:hAnsi="仿宋" w:eastAsia="仿宋" w:cs="仿宋"/>
                <w:kern w:val="0"/>
                <w:sz w:val="28"/>
                <w:szCs w:val="28"/>
                <w:highlight w:val="none"/>
                <w:lang w:bidi="ar"/>
              </w:rPr>
              <w:t>手机号码</w:t>
            </w:r>
          </w:p>
        </w:tc>
        <w:tc>
          <w:tcPr>
            <w:tcW w:w="2528" w:type="pct"/>
            <w:tcBorders>
              <w:top w:val="single" w:color="000000" w:sz="4" w:space="0"/>
              <w:left w:val="single" w:color="000000" w:sz="4" w:space="0"/>
              <w:bottom w:val="single" w:color="000000" w:sz="4" w:space="0"/>
              <w:right w:val="single" w:color="000000" w:sz="4" w:space="0"/>
            </w:tcBorders>
            <w:noWrap/>
            <w:vAlign w:val="center"/>
          </w:tcPr>
          <w:p w14:paraId="32EFFFF6">
            <w:pPr>
              <w:snapToGrid w:val="0"/>
              <w:spacing w:line="360" w:lineRule="auto"/>
              <w:jc w:val="center"/>
              <w:rPr>
                <w:rFonts w:ascii="仿宋" w:hAnsi="仿宋" w:eastAsia="仿宋" w:cs="仿宋"/>
                <w:sz w:val="28"/>
                <w:szCs w:val="28"/>
                <w:highlight w:val="none"/>
              </w:rPr>
            </w:pPr>
          </w:p>
        </w:tc>
      </w:tr>
      <w:tr w14:paraId="6E7DFB3A">
        <w:tblPrEx>
          <w:tblCellMar>
            <w:top w:w="0" w:type="dxa"/>
            <w:left w:w="108" w:type="dxa"/>
            <w:bottom w:w="0" w:type="dxa"/>
            <w:right w:w="108" w:type="dxa"/>
          </w:tblCellMar>
        </w:tblPrEx>
        <w:trPr>
          <w:trHeight w:val="480" w:hRule="atLeast"/>
        </w:trPr>
        <w:tc>
          <w:tcPr>
            <w:tcW w:w="595" w:type="pct"/>
            <w:tcBorders>
              <w:top w:val="single" w:color="000000" w:sz="4" w:space="0"/>
              <w:left w:val="single" w:color="000000" w:sz="4" w:space="0"/>
              <w:bottom w:val="single" w:color="000000" w:sz="4" w:space="0"/>
              <w:right w:val="single" w:color="000000" w:sz="4" w:space="0"/>
            </w:tcBorders>
            <w:noWrap/>
            <w:vAlign w:val="center"/>
          </w:tcPr>
          <w:p w14:paraId="78C0B094">
            <w:pPr>
              <w:widowControl/>
              <w:snapToGrid w:val="0"/>
              <w:spacing w:line="360" w:lineRule="auto"/>
              <w:jc w:val="center"/>
              <w:textAlignment w:val="center"/>
              <w:rPr>
                <w:rFonts w:ascii="仿宋" w:hAnsi="仿宋" w:eastAsia="仿宋" w:cs="仿宋"/>
                <w:sz w:val="28"/>
                <w:szCs w:val="28"/>
                <w:highlight w:val="none"/>
              </w:rPr>
            </w:pPr>
            <w:r>
              <w:rPr>
                <w:rFonts w:hint="eastAsia" w:ascii="仿宋" w:hAnsi="仿宋" w:eastAsia="仿宋" w:cs="仿宋"/>
                <w:kern w:val="0"/>
                <w:sz w:val="28"/>
                <w:szCs w:val="28"/>
                <w:highlight w:val="none"/>
                <w:lang w:bidi="ar"/>
              </w:rPr>
              <w:t>4</w:t>
            </w:r>
          </w:p>
        </w:tc>
        <w:tc>
          <w:tcPr>
            <w:tcW w:w="1876" w:type="pct"/>
            <w:tcBorders>
              <w:top w:val="single" w:color="000000" w:sz="4" w:space="0"/>
              <w:left w:val="single" w:color="000000" w:sz="4" w:space="0"/>
              <w:bottom w:val="single" w:color="000000" w:sz="4" w:space="0"/>
              <w:right w:val="single" w:color="000000" w:sz="4" w:space="0"/>
            </w:tcBorders>
            <w:noWrap/>
            <w:vAlign w:val="center"/>
          </w:tcPr>
          <w:p w14:paraId="7FEEB907">
            <w:pPr>
              <w:widowControl/>
              <w:snapToGrid w:val="0"/>
              <w:spacing w:line="360" w:lineRule="auto"/>
              <w:jc w:val="center"/>
              <w:textAlignment w:val="center"/>
              <w:rPr>
                <w:rFonts w:ascii="仿宋" w:hAnsi="仿宋" w:eastAsia="仿宋" w:cs="仿宋"/>
                <w:sz w:val="28"/>
                <w:szCs w:val="28"/>
                <w:highlight w:val="none"/>
              </w:rPr>
            </w:pPr>
            <w:r>
              <w:rPr>
                <w:rFonts w:hint="eastAsia" w:ascii="仿宋" w:hAnsi="仿宋" w:eastAsia="仿宋" w:cs="仿宋"/>
                <w:kern w:val="0"/>
                <w:sz w:val="28"/>
                <w:szCs w:val="28"/>
                <w:highlight w:val="none"/>
                <w:lang w:bidi="ar"/>
              </w:rPr>
              <w:t>统一社会信用代码</w:t>
            </w:r>
          </w:p>
        </w:tc>
        <w:tc>
          <w:tcPr>
            <w:tcW w:w="2528" w:type="pct"/>
            <w:tcBorders>
              <w:top w:val="single" w:color="000000" w:sz="4" w:space="0"/>
              <w:left w:val="single" w:color="000000" w:sz="4" w:space="0"/>
              <w:bottom w:val="single" w:color="000000" w:sz="4" w:space="0"/>
              <w:right w:val="single" w:color="000000" w:sz="4" w:space="0"/>
            </w:tcBorders>
            <w:noWrap/>
            <w:vAlign w:val="center"/>
          </w:tcPr>
          <w:p w14:paraId="37FC5097">
            <w:pPr>
              <w:snapToGrid w:val="0"/>
              <w:spacing w:line="360" w:lineRule="auto"/>
              <w:jc w:val="center"/>
              <w:rPr>
                <w:rFonts w:ascii="仿宋" w:hAnsi="仿宋" w:eastAsia="仿宋" w:cs="仿宋"/>
                <w:sz w:val="28"/>
                <w:szCs w:val="28"/>
                <w:highlight w:val="none"/>
              </w:rPr>
            </w:pPr>
          </w:p>
        </w:tc>
      </w:tr>
      <w:tr w14:paraId="5F82B484">
        <w:tblPrEx>
          <w:tblCellMar>
            <w:top w:w="0" w:type="dxa"/>
            <w:left w:w="108" w:type="dxa"/>
            <w:bottom w:w="0" w:type="dxa"/>
            <w:right w:w="108" w:type="dxa"/>
          </w:tblCellMar>
        </w:tblPrEx>
        <w:trPr>
          <w:trHeight w:val="480" w:hRule="atLeast"/>
        </w:trPr>
        <w:tc>
          <w:tcPr>
            <w:tcW w:w="595" w:type="pct"/>
            <w:tcBorders>
              <w:top w:val="single" w:color="000000" w:sz="4" w:space="0"/>
              <w:left w:val="single" w:color="000000" w:sz="4" w:space="0"/>
              <w:bottom w:val="single" w:color="000000" w:sz="4" w:space="0"/>
              <w:right w:val="single" w:color="000000" w:sz="4" w:space="0"/>
            </w:tcBorders>
            <w:noWrap/>
            <w:vAlign w:val="center"/>
          </w:tcPr>
          <w:p w14:paraId="2D6DCDCC">
            <w:pPr>
              <w:widowControl/>
              <w:snapToGrid w:val="0"/>
              <w:spacing w:line="360" w:lineRule="auto"/>
              <w:jc w:val="center"/>
              <w:textAlignment w:val="center"/>
              <w:rPr>
                <w:rFonts w:ascii="仿宋" w:hAnsi="仿宋" w:eastAsia="仿宋" w:cs="仿宋"/>
                <w:sz w:val="28"/>
                <w:szCs w:val="28"/>
                <w:highlight w:val="none"/>
              </w:rPr>
            </w:pPr>
            <w:r>
              <w:rPr>
                <w:rFonts w:hint="eastAsia" w:ascii="仿宋" w:hAnsi="仿宋" w:eastAsia="仿宋" w:cs="仿宋"/>
                <w:kern w:val="0"/>
                <w:sz w:val="28"/>
                <w:szCs w:val="28"/>
                <w:highlight w:val="none"/>
                <w:lang w:bidi="ar"/>
              </w:rPr>
              <w:t>5</w:t>
            </w:r>
          </w:p>
        </w:tc>
        <w:tc>
          <w:tcPr>
            <w:tcW w:w="1876" w:type="pct"/>
            <w:tcBorders>
              <w:top w:val="single" w:color="000000" w:sz="4" w:space="0"/>
              <w:left w:val="single" w:color="000000" w:sz="4" w:space="0"/>
              <w:bottom w:val="single" w:color="000000" w:sz="4" w:space="0"/>
              <w:right w:val="single" w:color="000000" w:sz="4" w:space="0"/>
            </w:tcBorders>
            <w:noWrap/>
            <w:vAlign w:val="center"/>
          </w:tcPr>
          <w:p w14:paraId="26BC4C45">
            <w:pPr>
              <w:widowControl/>
              <w:snapToGrid w:val="0"/>
              <w:spacing w:line="360" w:lineRule="auto"/>
              <w:jc w:val="center"/>
              <w:textAlignment w:val="center"/>
              <w:rPr>
                <w:rFonts w:ascii="仿宋" w:hAnsi="仿宋" w:eastAsia="仿宋" w:cs="仿宋"/>
                <w:sz w:val="28"/>
                <w:szCs w:val="28"/>
                <w:highlight w:val="none"/>
              </w:rPr>
            </w:pPr>
            <w:r>
              <w:rPr>
                <w:rFonts w:hint="eastAsia" w:ascii="仿宋" w:hAnsi="仿宋" w:eastAsia="仿宋" w:cs="仿宋"/>
                <w:kern w:val="0"/>
                <w:sz w:val="28"/>
                <w:szCs w:val="28"/>
                <w:highlight w:val="none"/>
                <w:lang w:bidi="ar"/>
              </w:rPr>
              <w:t>法定代表人姓名</w:t>
            </w:r>
          </w:p>
        </w:tc>
        <w:tc>
          <w:tcPr>
            <w:tcW w:w="2528" w:type="pct"/>
            <w:tcBorders>
              <w:top w:val="single" w:color="000000" w:sz="4" w:space="0"/>
              <w:left w:val="single" w:color="000000" w:sz="4" w:space="0"/>
              <w:bottom w:val="single" w:color="000000" w:sz="4" w:space="0"/>
              <w:right w:val="single" w:color="000000" w:sz="4" w:space="0"/>
            </w:tcBorders>
            <w:noWrap/>
            <w:vAlign w:val="center"/>
          </w:tcPr>
          <w:p w14:paraId="76624C53">
            <w:pPr>
              <w:snapToGrid w:val="0"/>
              <w:spacing w:line="360" w:lineRule="auto"/>
              <w:jc w:val="center"/>
              <w:rPr>
                <w:rFonts w:ascii="仿宋" w:hAnsi="仿宋" w:eastAsia="仿宋" w:cs="仿宋"/>
                <w:sz w:val="28"/>
                <w:szCs w:val="28"/>
                <w:highlight w:val="none"/>
              </w:rPr>
            </w:pPr>
          </w:p>
        </w:tc>
      </w:tr>
      <w:tr w14:paraId="6D770C12">
        <w:tblPrEx>
          <w:tblCellMar>
            <w:top w:w="0" w:type="dxa"/>
            <w:left w:w="108" w:type="dxa"/>
            <w:bottom w:w="0" w:type="dxa"/>
            <w:right w:w="108" w:type="dxa"/>
          </w:tblCellMar>
        </w:tblPrEx>
        <w:trPr>
          <w:trHeight w:val="480" w:hRule="atLeast"/>
        </w:trPr>
        <w:tc>
          <w:tcPr>
            <w:tcW w:w="595" w:type="pct"/>
            <w:tcBorders>
              <w:top w:val="single" w:color="000000" w:sz="4" w:space="0"/>
              <w:left w:val="single" w:color="000000" w:sz="4" w:space="0"/>
              <w:bottom w:val="single" w:color="000000" w:sz="4" w:space="0"/>
              <w:right w:val="single" w:color="000000" w:sz="4" w:space="0"/>
            </w:tcBorders>
            <w:noWrap/>
            <w:vAlign w:val="center"/>
          </w:tcPr>
          <w:p w14:paraId="0F892F51">
            <w:pPr>
              <w:widowControl/>
              <w:snapToGrid w:val="0"/>
              <w:spacing w:line="360" w:lineRule="auto"/>
              <w:jc w:val="center"/>
              <w:textAlignment w:val="center"/>
              <w:rPr>
                <w:rFonts w:ascii="仿宋" w:hAnsi="仿宋" w:eastAsia="仿宋" w:cs="仿宋"/>
                <w:sz w:val="28"/>
                <w:szCs w:val="28"/>
                <w:highlight w:val="none"/>
              </w:rPr>
            </w:pPr>
            <w:r>
              <w:rPr>
                <w:rFonts w:hint="eastAsia" w:ascii="仿宋" w:hAnsi="仿宋" w:eastAsia="仿宋" w:cs="仿宋"/>
                <w:kern w:val="0"/>
                <w:sz w:val="28"/>
                <w:szCs w:val="28"/>
                <w:highlight w:val="none"/>
                <w:lang w:bidi="ar"/>
              </w:rPr>
              <w:t>6</w:t>
            </w:r>
          </w:p>
        </w:tc>
        <w:tc>
          <w:tcPr>
            <w:tcW w:w="1876" w:type="pct"/>
            <w:tcBorders>
              <w:top w:val="single" w:color="000000" w:sz="4" w:space="0"/>
              <w:left w:val="single" w:color="000000" w:sz="4" w:space="0"/>
              <w:bottom w:val="single" w:color="000000" w:sz="4" w:space="0"/>
              <w:right w:val="single" w:color="000000" w:sz="4" w:space="0"/>
            </w:tcBorders>
            <w:noWrap/>
            <w:vAlign w:val="center"/>
          </w:tcPr>
          <w:p w14:paraId="6FBCBDB2">
            <w:pPr>
              <w:widowControl/>
              <w:snapToGrid w:val="0"/>
              <w:spacing w:line="360" w:lineRule="auto"/>
              <w:jc w:val="center"/>
              <w:textAlignment w:val="center"/>
              <w:rPr>
                <w:rFonts w:ascii="仿宋" w:hAnsi="仿宋" w:eastAsia="仿宋" w:cs="仿宋"/>
                <w:sz w:val="28"/>
                <w:szCs w:val="28"/>
                <w:highlight w:val="none"/>
              </w:rPr>
            </w:pPr>
            <w:r>
              <w:rPr>
                <w:rFonts w:hint="eastAsia" w:ascii="仿宋" w:hAnsi="仿宋" w:eastAsia="仿宋" w:cs="仿宋"/>
                <w:kern w:val="0"/>
                <w:sz w:val="28"/>
                <w:szCs w:val="28"/>
                <w:highlight w:val="none"/>
                <w:lang w:bidi="ar"/>
              </w:rPr>
              <w:t>法定代表人身份证号码</w:t>
            </w:r>
          </w:p>
        </w:tc>
        <w:tc>
          <w:tcPr>
            <w:tcW w:w="2528" w:type="pct"/>
            <w:tcBorders>
              <w:top w:val="single" w:color="000000" w:sz="4" w:space="0"/>
              <w:left w:val="single" w:color="000000" w:sz="4" w:space="0"/>
              <w:bottom w:val="single" w:color="000000" w:sz="4" w:space="0"/>
              <w:right w:val="single" w:color="000000" w:sz="4" w:space="0"/>
            </w:tcBorders>
            <w:noWrap/>
            <w:vAlign w:val="center"/>
          </w:tcPr>
          <w:p w14:paraId="70FC2E6C">
            <w:pPr>
              <w:snapToGrid w:val="0"/>
              <w:spacing w:line="360" w:lineRule="auto"/>
              <w:jc w:val="center"/>
              <w:rPr>
                <w:rFonts w:ascii="仿宋" w:hAnsi="仿宋" w:eastAsia="仿宋" w:cs="仿宋"/>
                <w:sz w:val="28"/>
                <w:szCs w:val="28"/>
                <w:highlight w:val="none"/>
              </w:rPr>
            </w:pPr>
          </w:p>
        </w:tc>
      </w:tr>
    </w:tbl>
    <w:p w14:paraId="1DA4033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B2115A"/>
    <w:multiLevelType w:val="multilevel"/>
    <w:tmpl w:val="0AB2115A"/>
    <w:lvl w:ilvl="0" w:tentative="0">
      <w:start w:val="1"/>
      <w:numFmt w:val="decimal"/>
      <w:lvlText w:val="%1."/>
      <w:lvlJc w:val="left"/>
      <w:pPr>
        <w:tabs>
          <w:tab w:val="left" w:pos="861"/>
        </w:tabs>
        <w:ind w:left="861" w:hanging="681"/>
      </w:pPr>
      <w:rPr>
        <w:rFonts w:hint="eastAsia"/>
        <w:color w:val="000000"/>
      </w:rPr>
    </w:lvl>
    <w:lvl w:ilvl="1" w:tentative="0">
      <w:start w:val="2"/>
      <w:numFmt w:val="japaneseCounting"/>
      <w:lvlText w:val="第%2章"/>
      <w:lvlJc w:val="left"/>
      <w:pPr>
        <w:tabs>
          <w:tab w:val="left" w:pos="1500"/>
        </w:tabs>
        <w:ind w:left="1500" w:hanging="1080"/>
      </w:pPr>
      <w:rPr>
        <w:rFonts w:hint="default"/>
        <w:sz w:val="36"/>
        <w:szCs w:val="36"/>
      </w:rPr>
    </w:lvl>
    <w:lvl w:ilvl="2" w:tentative="0">
      <w:start w:val="1"/>
      <w:numFmt w:val="decimal"/>
      <w:lvlText w:val="（%3）"/>
      <w:lvlJc w:val="left"/>
      <w:pPr>
        <w:tabs>
          <w:tab w:val="left" w:pos="2831"/>
        </w:tabs>
        <w:ind w:left="2831" w:hanging="420"/>
      </w:pPr>
      <w:rPr>
        <w:rFonts w:hint="eastAsia"/>
      </w:rPr>
    </w:lvl>
    <w:lvl w:ilvl="3" w:tentative="0">
      <w:start w:val="1"/>
      <w:numFmt w:val="decimal"/>
      <w:lvlText w:val="7.%4."/>
      <w:lvlJc w:val="left"/>
      <w:pPr>
        <w:tabs>
          <w:tab w:val="left" w:pos="1644"/>
        </w:tabs>
        <w:ind w:left="1644" w:hanging="850"/>
      </w:pPr>
      <w:rPr>
        <w:rFonts w:hint="eastAsia"/>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16D62B8D"/>
    <w:multiLevelType w:val="singleLevel"/>
    <w:tmpl w:val="16D62B8D"/>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8F6035"/>
    <w:rsid w:val="758F60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qFormat/>
    <w:uiPriority w:val="99"/>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99"/>
    <w:pPr>
      <w:spacing w:after="120" w:line="480" w:lineRule="exact"/>
      <w:ind w:left="420" w:leftChars="200" w:firstLine="420" w:firstLineChars="200"/>
    </w:pPr>
    <w:rPr>
      <w:szCs w:val="20"/>
    </w:rPr>
  </w:style>
  <w:style w:type="paragraph" w:styleId="3">
    <w:name w:val="Body Text Indent"/>
    <w:basedOn w:val="1"/>
    <w:qFormat/>
    <w:uiPriority w:val="99"/>
    <w:pPr>
      <w:spacing w:line="360" w:lineRule="auto"/>
      <w:ind w:firstLine="570"/>
    </w:pPr>
    <w:rPr>
      <w:sz w:val="24"/>
    </w:rPr>
  </w:style>
  <w:style w:type="paragraph" w:styleId="5">
    <w:name w:val="Plain Text"/>
    <w:basedOn w:val="1"/>
    <w:next w:val="1"/>
    <w:qFormat/>
    <w:uiPriority w:val="99"/>
    <w:rPr>
      <w:rFonts w:hint="eastAsia" w:ascii="宋体" w:hAnsi="Courier New"/>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2025-01-27T05:29:00Z</dcterms:created>
  <dc:creator>亚希Edison</dc:creator>
  <cp:lastModifiedBy>亚希Edison</cp:lastModifiedBy>
  <dcterms:modified xsi:type="dcterms:W3CDTF">2025-01-27T05:30:54Z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0C9C40037D364D0C86B395D00A87A0D1_11</vt:lpwstr>
  </property>
  <property fmtid="{D5CDD505-2E9C-101B-9397-08002B2CF9AE}" pid="4" name="KSOTemplateDocerSaveRecord">
    <vt:lpwstr>eyJoZGlkIjoiNDY0MzQwNDM3NzMyOTAwZGViMTFjZmY0M2U4NTllMzgiLCJ1c2VySWQiOiIyNjk3ODg1OTAifQ==</vt:lpwstr>
  </property>
</Properties>
</file>