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BABA5F7">
      <w:pPr>
        <w:spacing w:line="360" w:lineRule="auto"/>
        <w:ind w:firstLine="300" w:firstLineChars="50"/>
        <w:rPr>
          <w:rFonts w:hint="eastAsia" w:ascii="宋体" w:hAnsi="宋体" w:eastAsia="宋体" w:cs="宋体"/>
          <w:color w:val="auto"/>
          <w:sz w:val="60"/>
          <w:szCs w:val="60"/>
          <w:highlight w:val="none"/>
        </w:rPr>
      </w:pPr>
    </w:p>
    <w:p w14:paraId="0FDE8B96">
      <w:pPr>
        <w:spacing w:line="360" w:lineRule="auto"/>
        <w:ind w:firstLine="300" w:firstLineChars="50"/>
        <w:rPr>
          <w:rFonts w:hint="eastAsia" w:ascii="宋体" w:hAnsi="宋体" w:eastAsia="宋体" w:cs="宋体"/>
          <w:color w:val="auto"/>
          <w:sz w:val="60"/>
          <w:szCs w:val="60"/>
          <w:highlight w:val="none"/>
        </w:rPr>
      </w:pPr>
    </w:p>
    <w:p w14:paraId="3C45CB12">
      <w:pPr>
        <w:jc w:val="center"/>
        <w:rPr>
          <w:rFonts w:hint="eastAsia" w:ascii="宋体" w:hAnsi="宋体" w:eastAsia="宋体" w:cs="宋体"/>
          <w:b/>
          <w:bCs/>
          <w:color w:val="auto"/>
          <w:sz w:val="60"/>
          <w:szCs w:val="60"/>
          <w:highlight w:val="none"/>
        </w:rPr>
      </w:pPr>
      <w:r>
        <w:rPr>
          <w:rFonts w:hint="eastAsia" w:ascii="宋体" w:hAnsi="宋体" w:eastAsia="宋体" w:cs="宋体"/>
          <w:b/>
          <w:bCs/>
          <w:color w:val="auto"/>
          <w:sz w:val="60"/>
          <w:szCs w:val="60"/>
          <w:highlight w:val="none"/>
        </w:rPr>
        <w:t>北京市政府采购项目</w:t>
      </w:r>
    </w:p>
    <w:p w14:paraId="15DA9471">
      <w:pPr>
        <w:jc w:val="center"/>
        <w:rPr>
          <w:rFonts w:hint="eastAsia" w:ascii="宋体" w:hAnsi="宋体" w:eastAsia="宋体" w:cs="宋体"/>
          <w:b/>
          <w:bCs/>
          <w:color w:val="auto"/>
          <w:sz w:val="60"/>
          <w:szCs w:val="60"/>
          <w:highlight w:val="none"/>
        </w:rPr>
      </w:pPr>
      <w:r>
        <w:rPr>
          <w:rFonts w:hint="eastAsia" w:ascii="宋体" w:hAnsi="宋体" w:eastAsia="宋体" w:cs="宋体"/>
          <w:b/>
          <w:bCs/>
          <w:color w:val="auto"/>
          <w:sz w:val="60"/>
          <w:szCs w:val="60"/>
          <w:highlight w:val="none"/>
        </w:rPr>
        <w:t>竞争性磋商文件示范文本</w:t>
      </w:r>
    </w:p>
    <w:p w14:paraId="6A494B80">
      <w:pPr>
        <w:jc w:val="center"/>
        <w:rPr>
          <w:rFonts w:hint="eastAsia" w:ascii="宋体" w:hAnsi="宋体" w:eastAsia="宋体" w:cs="宋体"/>
          <w:b/>
          <w:bCs/>
          <w:color w:val="auto"/>
          <w:sz w:val="60"/>
          <w:szCs w:val="60"/>
          <w:highlight w:val="none"/>
        </w:rPr>
      </w:pPr>
      <w:r>
        <w:rPr>
          <w:rFonts w:hint="eastAsia" w:ascii="宋体" w:hAnsi="宋体" w:eastAsia="宋体" w:cs="宋体"/>
          <w:b/>
          <w:bCs/>
          <w:color w:val="auto"/>
          <w:sz w:val="60"/>
          <w:szCs w:val="60"/>
          <w:highlight w:val="none"/>
        </w:rPr>
        <w:t>（2023年版）</w:t>
      </w:r>
    </w:p>
    <w:p w14:paraId="4E97CE65">
      <w:pPr>
        <w:spacing w:line="360" w:lineRule="auto"/>
        <w:jc w:val="center"/>
        <w:rPr>
          <w:rFonts w:hint="eastAsia" w:ascii="宋体" w:hAnsi="宋体" w:eastAsia="宋体" w:cs="宋体"/>
          <w:b/>
          <w:bCs/>
          <w:color w:val="auto"/>
          <w:sz w:val="60"/>
          <w:szCs w:val="60"/>
          <w:highlight w:val="none"/>
        </w:rPr>
      </w:pPr>
    </w:p>
    <w:p w14:paraId="42543D63">
      <w:pPr>
        <w:spacing w:line="360" w:lineRule="auto"/>
        <w:jc w:val="center"/>
        <w:rPr>
          <w:rFonts w:hint="eastAsia" w:ascii="宋体" w:hAnsi="宋体" w:eastAsia="宋体" w:cs="宋体"/>
          <w:b/>
          <w:bCs/>
          <w:color w:val="auto"/>
          <w:sz w:val="60"/>
          <w:szCs w:val="60"/>
          <w:highlight w:val="none"/>
        </w:rPr>
      </w:pPr>
    </w:p>
    <w:p w14:paraId="62B22149">
      <w:pPr>
        <w:spacing w:line="360" w:lineRule="auto"/>
        <w:jc w:val="center"/>
        <w:rPr>
          <w:rFonts w:hint="eastAsia" w:ascii="宋体" w:hAnsi="宋体" w:eastAsia="宋体" w:cs="宋体"/>
          <w:b/>
          <w:bCs/>
          <w:color w:val="auto"/>
          <w:sz w:val="60"/>
          <w:szCs w:val="60"/>
          <w:highlight w:val="none"/>
        </w:rPr>
      </w:pPr>
    </w:p>
    <w:p w14:paraId="34D28FDF">
      <w:pPr>
        <w:spacing w:line="360" w:lineRule="auto"/>
        <w:jc w:val="both"/>
        <w:rPr>
          <w:rFonts w:hint="eastAsia" w:ascii="宋体" w:hAnsi="宋体" w:eastAsia="宋体" w:cs="宋体"/>
          <w:b/>
          <w:bCs/>
          <w:color w:val="auto"/>
          <w:sz w:val="60"/>
          <w:szCs w:val="60"/>
          <w:highlight w:val="none"/>
        </w:rPr>
      </w:pPr>
    </w:p>
    <w:p w14:paraId="07000F06">
      <w:pPr>
        <w:keepNext w:val="0"/>
        <w:keepLines w:val="0"/>
        <w:pageBreakBefore w:val="0"/>
        <w:widowControl w:val="0"/>
        <w:tabs>
          <w:tab w:val="left" w:pos="5609"/>
        </w:tabs>
        <w:kinsoku/>
        <w:wordWrap/>
        <w:overflowPunct/>
        <w:topLinePunct w:val="0"/>
        <w:autoSpaceDE/>
        <w:autoSpaceDN/>
        <w:bidi w:val="0"/>
        <w:adjustRightInd/>
        <w:snapToGrid/>
        <w:spacing w:line="480" w:lineRule="auto"/>
        <w:ind w:firstLine="600" w:firstLineChars="200"/>
        <w:jc w:val="left"/>
        <w:textAlignment w:val="auto"/>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项目名称：</w:t>
      </w:r>
      <w:r>
        <w:rPr>
          <w:rFonts w:hint="eastAsia" w:ascii="宋体" w:hAnsi="宋体" w:cs="宋体"/>
          <w:bCs/>
          <w:color w:val="auto"/>
          <w:sz w:val="30"/>
          <w:szCs w:val="30"/>
          <w:highlight w:val="none"/>
          <w:u w:val="single"/>
          <w:lang w:val="en-US" w:eastAsia="zh-CN"/>
        </w:rPr>
        <w:t>2025年交通扣留扣押车辆保管费</w:t>
      </w:r>
    </w:p>
    <w:p w14:paraId="0705FAD4">
      <w:pPr>
        <w:keepNext w:val="0"/>
        <w:keepLines w:val="0"/>
        <w:pageBreakBefore w:val="0"/>
        <w:widowControl w:val="0"/>
        <w:tabs>
          <w:tab w:val="left" w:pos="3240"/>
          <w:tab w:val="left" w:pos="3420"/>
        </w:tabs>
        <w:kinsoku/>
        <w:wordWrap/>
        <w:overflowPunct/>
        <w:topLinePunct w:val="0"/>
        <w:autoSpaceDE/>
        <w:autoSpaceDN/>
        <w:bidi w:val="0"/>
        <w:adjustRightInd/>
        <w:snapToGrid/>
        <w:spacing w:line="480" w:lineRule="auto"/>
        <w:ind w:firstLine="600" w:firstLineChars="200"/>
        <w:jc w:val="left"/>
        <w:textAlignment w:val="auto"/>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项目编号：</w:t>
      </w:r>
      <w:r>
        <w:rPr>
          <w:rFonts w:hint="eastAsia" w:ascii="宋体" w:hAnsi="宋体" w:eastAsia="宋体" w:cs="宋体"/>
          <w:bCs/>
          <w:color w:val="auto"/>
          <w:sz w:val="30"/>
          <w:szCs w:val="30"/>
          <w:highlight w:val="none"/>
          <w:u w:val="single"/>
        </w:rPr>
        <w:fldChar w:fldCharType="begin"/>
      </w:r>
      <w:r>
        <w:rPr>
          <w:rFonts w:hint="eastAsia" w:ascii="宋体" w:hAnsi="宋体" w:eastAsia="宋体" w:cs="宋体"/>
          <w:bCs/>
          <w:color w:val="auto"/>
          <w:sz w:val="30"/>
          <w:szCs w:val="30"/>
          <w:highlight w:val="none"/>
          <w:u w:val="single"/>
        </w:rPr>
        <w:instrText xml:space="preserve"> HYPERLINK "http://219.232.204.193:8080/frontend/plan/project_detail.html?projectUuid=0269372c-e6b6-45e9-b716-1e67d26bce24" </w:instrText>
      </w:r>
      <w:r>
        <w:rPr>
          <w:rFonts w:hint="eastAsia" w:ascii="宋体" w:hAnsi="宋体" w:eastAsia="宋体" w:cs="宋体"/>
          <w:bCs/>
          <w:color w:val="auto"/>
          <w:sz w:val="30"/>
          <w:szCs w:val="30"/>
          <w:highlight w:val="none"/>
          <w:u w:val="single"/>
        </w:rPr>
        <w:fldChar w:fldCharType="separate"/>
      </w:r>
      <w:r>
        <w:rPr>
          <w:rFonts w:hint="eastAsia" w:ascii="宋体" w:hAnsi="宋体" w:cs="宋体"/>
          <w:bCs/>
          <w:color w:val="auto"/>
          <w:sz w:val="30"/>
          <w:szCs w:val="30"/>
          <w:highlight w:val="none"/>
          <w:u w:val="single"/>
          <w:lang w:eastAsia="zh-CN"/>
        </w:rPr>
        <w:t>11011325210200018728-XM001</w:t>
      </w:r>
      <w:r>
        <w:rPr>
          <w:rFonts w:hint="eastAsia" w:ascii="宋体" w:hAnsi="宋体" w:eastAsia="宋体" w:cs="宋体"/>
          <w:bCs/>
          <w:color w:val="auto"/>
          <w:sz w:val="30"/>
          <w:szCs w:val="30"/>
          <w:highlight w:val="none"/>
          <w:u w:val="single"/>
        </w:rPr>
        <w:fldChar w:fldCharType="end"/>
      </w:r>
    </w:p>
    <w:p w14:paraId="51FC7A17">
      <w:pPr>
        <w:keepNext w:val="0"/>
        <w:keepLines w:val="0"/>
        <w:pageBreakBefore w:val="0"/>
        <w:widowControl w:val="0"/>
        <w:tabs>
          <w:tab w:val="left" w:pos="3240"/>
          <w:tab w:val="left" w:pos="3420"/>
        </w:tabs>
        <w:kinsoku/>
        <w:wordWrap/>
        <w:overflowPunct/>
        <w:topLinePunct w:val="0"/>
        <w:autoSpaceDE/>
        <w:autoSpaceDN/>
        <w:bidi w:val="0"/>
        <w:adjustRightInd/>
        <w:snapToGrid/>
        <w:spacing w:line="480" w:lineRule="auto"/>
        <w:ind w:firstLine="600" w:firstLineChars="200"/>
        <w:jc w:val="left"/>
        <w:textAlignment w:val="auto"/>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采 购 人：</w:t>
      </w:r>
      <w:r>
        <w:rPr>
          <w:rFonts w:hint="eastAsia" w:ascii="宋体" w:hAnsi="宋体" w:eastAsia="宋体" w:cs="宋体"/>
          <w:bCs/>
          <w:color w:val="auto"/>
          <w:sz w:val="30"/>
          <w:szCs w:val="30"/>
          <w:highlight w:val="none"/>
          <w:u w:val="single"/>
        </w:rPr>
        <w:t>北京市公安局顺义分局</w:t>
      </w:r>
    </w:p>
    <w:p w14:paraId="689A6323">
      <w:pPr>
        <w:keepNext w:val="0"/>
        <w:keepLines w:val="0"/>
        <w:pageBreakBefore w:val="0"/>
        <w:widowControl w:val="0"/>
        <w:tabs>
          <w:tab w:val="left" w:pos="3240"/>
          <w:tab w:val="left" w:pos="3420"/>
        </w:tabs>
        <w:kinsoku/>
        <w:wordWrap/>
        <w:overflowPunct/>
        <w:topLinePunct w:val="0"/>
        <w:autoSpaceDE/>
        <w:autoSpaceDN/>
        <w:bidi w:val="0"/>
        <w:adjustRightInd/>
        <w:snapToGrid/>
        <w:spacing w:line="480" w:lineRule="auto"/>
        <w:ind w:firstLine="600" w:firstLineChars="200"/>
        <w:jc w:val="left"/>
        <w:textAlignment w:val="auto"/>
        <w:rPr>
          <w:rFonts w:hint="eastAsia" w:ascii="宋体" w:hAnsi="宋体" w:eastAsia="宋体" w:cs="宋体"/>
          <w:bCs/>
          <w:color w:val="auto"/>
          <w:sz w:val="30"/>
          <w:szCs w:val="30"/>
          <w:highlight w:val="none"/>
          <w:u w:val="single"/>
        </w:rPr>
      </w:pPr>
      <w:r>
        <w:rPr>
          <w:rFonts w:hint="eastAsia" w:ascii="宋体" w:hAnsi="宋体" w:eastAsia="宋体" w:cs="宋体"/>
          <w:bCs/>
          <w:color w:val="auto"/>
          <w:sz w:val="30"/>
          <w:szCs w:val="30"/>
          <w:highlight w:val="none"/>
        </w:rPr>
        <w:t>采购代理机构：</w:t>
      </w:r>
      <w:r>
        <w:rPr>
          <w:rFonts w:hint="eastAsia" w:ascii="宋体" w:hAnsi="宋体" w:eastAsia="宋体" w:cs="宋体"/>
          <w:bCs/>
          <w:color w:val="auto"/>
          <w:sz w:val="30"/>
          <w:szCs w:val="30"/>
          <w:highlight w:val="none"/>
          <w:u w:val="single"/>
        </w:rPr>
        <w:t>北京禾源工程造价咨询有限公司</w:t>
      </w:r>
    </w:p>
    <w:p w14:paraId="0C291284">
      <w:pPr>
        <w:keepNext w:val="0"/>
        <w:keepLines w:val="0"/>
        <w:pageBreakBefore w:val="0"/>
        <w:widowControl w:val="0"/>
        <w:tabs>
          <w:tab w:val="left" w:pos="3240"/>
          <w:tab w:val="left" w:pos="3420"/>
        </w:tabs>
        <w:kinsoku/>
        <w:wordWrap/>
        <w:overflowPunct/>
        <w:topLinePunct w:val="0"/>
        <w:autoSpaceDE/>
        <w:autoSpaceDN/>
        <w:bidi w:val="0"/>
        <w:adjustRightInd/>
        <w:snapToGrid/>
        <w:spacing w:line="480" w:lineRule="auto"/>
        <w:ind w:left="2516" w:leftChars="444" w:hanging="1584" w:hangingChars="528"/>
        <w:jc w:val="left"/>
        <w:textAlignment w:val="auto"/>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lang w:val="en-US" w:eastAsia="zh-CN"/>
        </w:rPr>
        <w:t xml:space="preserve">                </w:t>
      </w:r>
      <w:r>
        <w:rPr>
          <w:rFonts w:hint="eastAsia" w:ascii="宋体" w:hAnsi="宋体" w:cs="宋体"/>
          <w:bCs/>
          <w:color w:val="auto"/>
          <w:sz w:val="30"/>
          <w:szCs w:val="30"/>
          <w:highlight w:val="none"/>
          <w:lang w:val="en-US" w:eastAsia="zh-CN"/>
        </w:rPr>
        <w:t>2025年3月</w:t>
      </w:r>
      <w:r>
        <w:rPr>
          <w:rFonts w:hint="eastAsia" w:ascii="宋体" w:hAnsi="宋体" w:eastAsia="宋体" w:cs="宋体"/>
          <w:bCs/>
          <w:color w:val="auto"/>
          <w:sz w:val="30"/>
          <w:szCs w:val="30"/>
          <w:highlight w:val="none"/>
        </w:rPr>
        <w:t xml:space="preserve"> </w:t>
      </w:r>
    </w:p>
    <w:p w14:paraId="3EF61A15">
      <w:pPr>
        <w:widowControl/>
        <w:jc w:val="left"/>
        <w:rPr>
          <w:rFonts w:hint="eastAsia" w:ascii="宋体" w:hAnsi="宋体" w:eastAsia="宋体" w:cs="宋体"/>
          <w:color w:val="auto"/>
          <w:highlight w:val="none"/>
        </w:rPr>
        <w:sectPr>
          <w:headerReference r:id="rId3" w:type="default"/>
          <w:type w:val="nextColumn"/>
          <w:pgSz w:w="11905" w:h="16838"/>
          <w:pgMar w:top="1417" w:right="1417" w:bottom="1417" w:left="1417" w:header="851" w:footer="992" w:gutter="0"/>
          <w:cols w:space="0" w:num="1"/>
          <w:rtlGutter w:val="0"/>
          <w:docGrid w:linePitch="312" w:charSpace="0"/>
        </w:sectPr>
      </w:pPr>
      <w:r>
        <w:rPr>
          <w:rFonts w:hint="eastAsia" w:ascii="宋体" w:hAnsi="宋体" w:eastAsia="宋体" w:cs="宋体"/>
          <w:b/>
          <w:bCs/>
          <w:color w:val="auto"/>
          <w:sz w:val="44"/>
          <w:highlight w:val="none"/>
        </w:rPr>
        <w:br w:type="page"/>
      </w:r>
    </w:p>
    <w:p w14:paraId="53CF38EF">
      <w:pPr>
        <w:pStyle w:val="159"/>
        <w:spacing w:line="360" w:lineRule="auto"/>
        <w:rPr>
          <w:rFonts w:hint="eastAsia" w:ascii="宋体" w:hAnsi="宋体" w:eastAsia="宋体" w:cs="宋体"/>
          <w:color w:val="auto"/>
          <w:highlight w:val="none"/>
        </w:rPr>
      </w:pPr>
    </w:p>
    <w:p w14:paraId="0D042C0C">
      <w:pPr>
        <w:spacing w:line="360" w:lineRule="auto"/>
        <w:jc w:val="center"/>
        <w:outlineLvl w:val="0"/>
        <w:rPr>
          <w:rFonts w:hint="eastAsia" w:ascii="宋体" w:hAnsi="宋体" w:eastAsia="宋体" w:cs="宋体"/>
          <w:b/>
          <w:color w:val="auto"/>
          <w:sz w:val="36"/>
          <w:szCs w:val="36"/>
          <w:highlight w:val="none"/>
        </w:rPr>
      </w:pPr>
      <w:bookmarkStart w:id="0" w:name="_Toc10649"/>
      <w:bookmarkStart w:id="1" w:name="_Toc16076"/>
      <w:r>
        <w:rPr>
          <w:rFonts w:hint="eastAsia" w:ascii="宋体" w:hAnsi="宋体" w:eastAsia="宋体" w:cs="宋体"/>
          <w:b/>
          <w:color w:val="auto"/>
          <w:sz w:val="36"/>
          <w:szCs w:val="36"/>
          <w:highlight w:val="none"/>
        </w:rPr>
        <w:t>目      录</w:t>
      </w:r>
      <w:bookmarkEnd w:id="0"/>
      <w:bookmarkEnd w:id="1"/>
    </w:p>
    <w:p w14:paraId="5280AE04">
      <w:pPr>
        <w:pStyle w:val="31"/>
        <w:tabs>
          <w:tab w:val="right" w:leader="dot" w:pos="9072"/>
          <w:tab w:val="clear" w:pos="1050"/>
          <w:tab w:val="clear" w:pos="8937"/>
        </w:tabs>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TOC \o "1-1" \h \z \u </w:instrText>
      </w:r>
      <w:r>
        <w:rPr>
          <w:rFonts w:hint="eastAsia" w:ascii="宋体" w:hAnsi="宋体" w:eastAsia="宋体" w:cs="宋体"/>
          <w:b w:val="0"/>
          <w:bCs w:val="0"/>
          <w:color w:val="auto"/>
          <w:highlight w:val="none"/>
        </w:rPr>
        <w:fldChar w:fldCharType="separate"/>
      </w:r>
    </w:p>
    <w:p w14:paraId="000F8C0A">
      <w:pPr>
        <w:pStyle w:val="31"/>
        <w:tabs>
          <w:tab w:val="right" w:leader="dot" w:pos="9072"/>
          <w:tab w:val="clear" w:pos="1050"/>
          <w:tab w:val="clear" w:pos="8937"/>
        </w:tabs>
        <w:spacing w:line="480" w:lineRule="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HYPERLINK \l _Toc7859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szCs w:val="36"/>
          <w:highlight w:val="none"/>
        </w:rPr>
        <w:t xml:space="preserve">第一章   </w:t>
      </w:r>
      <w:r>
        <w:rPr>
          <w:rFonts w:hint="eastAsia" w:ascii="宋体" w:hAnsi="宋体" w:eastAsia="宋体" w:cs="宋体"/>
          <w:b w:val="0"/>
          <w:bCs w:val="0"/>
          <w:color w:val="auto"/>
          <w:szCs w:val="36"/>
          <w:highlight w:val="none"/>
          <w:lang w:eastAsia="zh-CN"/>
        </w:rPr>
        <w:t>磋商公告</w:t>
      </w:r>
      <w:r>
        <w:rPr>
          <w:rFonts w:hint="eastAsia" w:ascii="宋体" w:hAnsi="宋体" w:eastAsia="宋体" w:cs="宋体"/>
          <w:b w:val="0"/>
          <w:bCs w:val="0"/>
          <w:color w:val="auto"/>
          <w:highlight w:val="none"/>
        </w:rPr>
        <w:tab/>
      </w: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PAGEREF _Toc7859 \h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highlight w:val="none"/>
        </w:rPr>
        <w:t>2</w:t>
      </w:r>
      <w:r>
        <w:rPr>
          <w:rFonts w:hint="eastAsia" w:ascii="宋体" w:hAnsi="宋体" w:eastAsia="宋体" w:cs="宋体"/>
          <w:b w:val="0"/>
          <w:bCs w:val="0"/>
          <w:color w:val="auto"/>
          <w:highlight w:val="none"/>
        </w:rPr>
        <w:fldChar w:fldCharType="end"/>
      </w:r>
      <w:r>
        <w:rPr>
          <w:rFonts w:hint="eastAsia" w:ascii="宋体" w:hAnsi="宋体" w:eastAsia="宋体" w:cs="宋体"/>
          <w:b w:val="0"/>
          <w:bCs w:val="0"/>
          <w:color w:val="auto"/>
          <w:highlight w:val="none"/>
        </w:rPr>
        <w:fldChar w:fldCharType="end"/>
      </w:r>
    </w:p>
    <w:p w14:paraId="3B40D1FF">
      <w:pPr>
        <w:pStyle w:val="31"/>
        <w:tabs>
          <w:tab w:val="right" w:leader="dot" w:pos="9072"/>
          <w:tab w:val="clear" w:pos="1050"/>
          <w:tab w:val="clear" w:pos="8937"/>
        </w:tabs>
        <w:spacing w:line="480" w:lineRule="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HYPERLINK \l _Toc22616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szCs w:val="36"/>
          <w:highlight w:val="none"/>
        </w:rPr>
        <w:t>第二章   供应商须知</w:t>
      </w:r>
      <w:r>
        <w:rPr>
          <w:rFonts w:hint="eastAsia" w:ascii="宋体" w:hAnsi="宋体" w:eastAsia="宋体" w:cs="宋体"/>
          <w:b w:val="0"/>
          <w:bCs w:val="0"/>
          <w:color w:val="auto"/>
          <w:highlight w:val="none"/>
        </w:rPr>
        <w:tab/>
      </w: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PAGEREF _Toc22616 \h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highlight w:val="none"/>
        </w:rPr>
        <w:t>7</w:t>
      </w:r>
      <w:r>
        <w:rPr>
          <w:rFonts w:hint="eastAsia" w:ascii="宋体" w:hAnsi="宋体" w:eastAsia="宋体" w:cs="宋体"/>
          <w:b w:val="0"/>
          <w:bCs w:val="0"/>
          <w:color w:val="auto"/>
          <w:highlight w:val="none"/>
        </w:rPr>
        <w:fldChar w:fldCharType="end"/>
      </w:r>
      <w:r>
        <w:rPr>
          <w:rFonts w:hint="eastAsia" w:ascii="宋体" w:hAnsi="宋体" w:eastAsia="宋体" w:cs="宋体"/>
          <w:b w:val="0"/>
          <w:bCs w:val="0"/>
          <w:color w:val="auto"/>
          <w:highlight w:val="none"/>
        </w:rPr>
        <w:fldChar w:fldCharType="end"/>
      </w:r>
    </w:p>
    <w:p w14:paraId="6F047F1D">
      <w:pPr>
        <w:pStyle w:val="31"/>
        <w:tabs>
          <w:tab w:val="right" w:leader="dot" w:pos="9072"/>
          <w:tab w:val="clear" w:pos="1050"/>
          <w:tab w:val="clear" w:pos="8937"/>
        </w:tabs>
        <w:spacing w:line="480" w:lineRule="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HYPERLINK \l _Toc11072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szCs w:val="36"/>
          <w:highlight w:val="none"/>
        </w:rPr>
        <w:t>第三章   评审方法和评审标准</w:t>
      </w:r>
      <w:r>
        <w:rPr>
          <w:rFonts w:hint="eastAsia" w:ascii="宋体" w:hAnsi="宋体" w:eastAsia="宋体" w:cs="宋体"/>
          <w:b w:val="0"/>
          <w:bCs w:val="0"/>
          <w:color w:val="auto"/>
          <w:highlight w:val="none"/>
        </w:rPr>
        <w:tab/>
      </w: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PAGEREF _Toc11072 \h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highlight w:val="none"/>
        </w:rPr>
        <w:t>23</w:t>
      </w:r>
      <w:r>
        <w:rPr>
          <w:rFonts w:hint="eastAsia" w:ascii="宋体" w:hAnsi="宋体" w:eastAsia="宋体" w:cs="宋体"/>
          <w:b w:val="0"/>
          <w:bCs w:val="0"/>
          <w:color w:val="auto"/>
          <w:highlight w:val="none"/>
        </w:rPr>
        <w:fldChar w:fldCharType="end"/>
      </w:r>
      <w:r>
        <w:rPr>
          <w:rFonts w:hint="eastAsia" w:ascii="宋体" w:hAnsi="宋体" w:eastAsia="宋体" w:cs="宋体"/>
          <w:b w:val="0"/>
          <w:bCs w:val="0"/>
          <w:color w:val="auto"/>
          <w:highlight w:val="none"/>
        </w:rPr>
        <w:fldChar w:fldCharType="end"/>
      </w:r>
    </w:p>
    <w:p w14:paraId="7C1C0E38">
      <w:pPr>
        <w:pStyle w:val="31"/>
        <w:tabs>
          <w:tab w:val="right" w:leader="dot" w:pos="9072"/>
          <w:tab w:val="clear" w:pos="1050"/>
          <w:tab w:val="clear" w:pos="8937"/>
        </w:tabs>
        <w:spacing w:line="480" w:lineRule="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HYPERLINK \l _Toc4851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szCs w:val="36"/>
          <w:highlight w:val="none"/>
        </w:rPr>
        <w:t>第四章   采购需求</w:t>
      </w:r>
      <w:r>
        <w:rPr>
          <w:rFonts w:hint="eastAsia" w:ascii="宋体" w:hAnsi="宋体" w:eastAsia="宋体" w:cs="宋体"/>
          <w:b w:val="0"/>
          <w:bCs w:val="0"/>
          <w:color w:val="auto"/>
          <w:highlight w:val="none"/>
        </w:rPr>
        <w:tab/>
      </w: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PAGEREF _Toc4851 \h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highlight w:val="none"/>
        </w:rPr>
        <w:t>33</w:t>
      </w:r>
      <w:r>
        <w:rPr>
          <w:rFonts w:hint="eastAsia" w:ascii="宋体" w:hAnsi="宋体" w:eastAsia="宋体" w:cs="宋体"/>
          <w:b w:val="0"/>
          <w:bCs w:val="0"/>
          <w:color w:val="auto"/>
          <w:highlight w:val="none"/>
        </w:rPr>
        <w:fldChar w:fldCharType="end"/>
      </w:r>
      <w:r>
        <w:rPr>
          <w:rFonts w:hint="eastAsia" w:ascii="宋体" w:hAnsi="宋体" w:eastAsia="宋体" w:cs="宋体"/>
          <w:b w:val="0"/>
          <w:bCs w:val="0"/>
          <w:color w:val="auto"/>
          <w:highlight w:val="none"/>
        </w:rPr>
        <w:fldChar w:fldCharType="end"/>
      </w:r>
    </w:p>
    <w:p w14:paraId="1B7D1E96">
      <w:pPr>
        <w:pStyle w:val="31"/>
        <w:tabs>
          <w:tab w:val="right" w:leader="dot" w:pos="9072"/>
          <w:tab w:val="clear" w:pos="1050"/>
          <w:tab w:val="clear" w:pos="8937"/>
        </w:tabs>
        <w:spacing w:line="480" w:lineRule="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HYPERLINK \l _Toc23242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szCs w:val="36"/>
          <w:highlight w:val="none"/>
        </w:rPr>
        <w:t xml:space="preserve">第五章 </w:t>
      </w:r>
      <w:r>
        <w:rPr>
          <w:rFonts w:hint="eastAsia" w:ascii="宋体" w:hAnsi="宋体" w:eastAsia="宋体" w:cs="宋体"/>
          <w:b w:val="0"/>
          <w:bCs w:val="0"/>
          <w:color w:val="auto"/>
          <w:szCs w:val="36"/>
          <w:highlight w:val="none"/>
          <w:lang w:val="en-US" w:eastAsia="zh-CN"/>
        </w:rPr>
        <w:t xml:space="preserve">  </w:t>
      </w:r>
      <w:r>
        <w:rPr>
          <w:rFonts w:hint="eastAsia" w:ascii="宋体" w:hAnsi="宋体" w:eastAsia="宋体" w:cs="宋体"/>
          <w:b w:val="0"/>
          <w:bCs w:val="0"/>
          <w:color w:val="auto"/>
          <w:szCs w:val="36"/>
          <w:highlight w:val="none"/>
        </w:rPr>
        <w:t>合同草案条款</w:t>
      </w:r>
      <w:r>
        <w:rPr>
          <w:rFonts w:hint="eastAsia" w:ascii="宋体" w:hAnsi="宋体" w:eastAsia="宋体" w:cs="宋体"/>
          <w:b w:val="0"/>
          <w:bCs w:val="0"/>
          <w:color w:val="auto"/>
          <w:highlight w:val="none"/>
        </w:rPr>
        <w:tab/>
      </w: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PAGEREF _Toc23242 \h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highlight w:val="none"/>
        </w:rPr>
        <w:t>40</w:t>
      </w:r>
      <w:r>
        <w:rPr>
          <w:rFonts w:hint="eastAsia" w:ascii="宋体" w:hAnsi="宋体" w:eastAsia="宋体" w:cs="宋体"/>
          <w:b w:val="0"/>
          <w:bCs w:val="0"/>
          <w:color w:val="auto"/>
          <w:highlight w:val="none"/>
        </w:rPr>
        <w:fldChar w:fldCharType="end"/>
      </w:r>
      <w:r>
        <w:rPr>
          <w:rFonts w:hint="eastAsia" w:ascii="宋体" w:hAnsi="宋体" w:eastAsia="宋体" w:cs="宋体"/>
          <w:b w:val="0"/>
          <w:bCs w:val="0"/>
          <w:color w:val="auto"/>
          <w:highlight w:val="none"/>
        </w:rPr>
        <w:fldChar w:fldCharType="end"/>
      </w:r>
    </w:p>
    <w:p w14:paraId="234EC0F8">
      <w:pPr>
        <w:pStyle w:val="31"/>
        <w:tabs>
          <w:tab w:val="right" w:leader="dot" w:pos="9072"/>
          <w:tab w:val="clear" w:pos="1050"/>
          <w:tab w:val="clear" w:pos="8937"/>
        </w:tabs>
        <w:spacing w:line="480" w:lineRule="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HYPERLINK \l _Toc26082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szCs w:val="36"/>
          <w:highlight w:val="none"/>
        </w:rPr>
        <w:t xml:space="preserve">第六章 </w:t>
      </w:r>
      <w:r>
        <w:rPr>
          <w:rFonts w:hint="eastAsia" w:ascii="宋体" w:hAnsi="宋体" w:eastAsia="宋体" w:cs="宋体"/>
          <w:b w:val="0"/>
          <w:bCs w:val="0"/>
          <w:color w:val="auto"/>
          <w:szCs w:val="36"/>
          <w:highlight w:val="none"/>
          <w:lang w:val="en-US" w:eastAsia="zh-CN"/>
        </w:rPr>
        <w:t xml:space="preserve">  </w:t>
      </w:r>
      <w:r>
        <w:rPr>
          <w:rFonts w:hint="eastAsia" w:ascii="宋体" w:hAnsi="宋体" w:eastAsia="宋体" w:cs="宋体"/>
          <w:b w:val="0"/>
          <w:bCs w:val="0"/>
          <w:color w:val="auto"/>
          <w:szCs w:val="36"/>
          <w:highlight w:val="none"/>
        </w:rPr>
        <w:t>响应文件格式</w:t>
      </w:r>
      <w:r>
        <w:rPr>
          <w:rFonts w:hint="eastAsia" w:ascii="宋体" w:hAnsi="宋体" w:eastAsia="宋体" w:cs="宋体"/>
          <w:b w:val="0"/>
          <w:bCs w:val="0"/>
          <w:color w:val="auto"/>
          <w:highlight w:val="none"/>
        </w:rPr>
        <w:tab/>
      </w: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PAGEREF _Toc26082 \h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highlight w:val="none"/>
        </w:rPr>
        <w:t>43</w:t>
      </w:r>
      <w:r>
        <w:rPr>
          <w:rFonts w:hint="eastAsia" w:ascii="宋体" w:hAnsi="宋体" w:eastAsia="宋体" w:cs="宋体"/>
          <w:b w:val="0"/>
          <w:bCs w:val="0"/>
          <w:color w:val="auto"/>
          <w:highlight w:val="none"/>
        </w:rPr>
        <w:fldChar w:fldCharType="end"/>
      </w:r>
      <w:r>
        <w:rPr>
          <w:rFonts w:hint="eastAsia" w:ascii="宋体" w:hAnsi="宋体" w:eastAsia="宋体" w:cs="宋体"/>
          <w:b w:val="0"/>
          <w:bCs w:val="0"/>
          <w:color w:val="auto"/>
          <w:highlight w:val="none"/>
        </w:rPr>
        <w:fldChar w:fldCharType="end"/>
      </w:r>
    </w:p>
    <w:p w14:paraId="15D2133C">
      <w:pPr>
        <w:pStyle w:val="31"/>
        <w:spacing w:line="360" w:lineRule="auto"/>
        <w:rPr>
          <w:rFonts w:hint="eastAsia" w:ascii="宋体" w:hAnsi="宋体" w:eastAsia="宋体" w:cs="宋体"/>
          <w:b w:val="0"/>
          <w:bCs w:val="0"/>
          <w:color w:val="auto"/>
          <w:sz w:val="36"/>
          <w:szCs w:val="36"/>
          <w:highlight w:val="none"/>
        </w:rPr>
      </w:pPr>
      <w:r>
        <w:rPr>
          <w:rFonts w:hint="eastAsia" w:ascii="宋体" w:hAnsi="宋体" w:eastAsia="宋体" w:cs="宋体"/>
          <w:b w:val="0"/>
          <w:bCs w:val="0"/>
          <w:color w:val="auto"/>
          <w:highlight w:val="none"/>
        </w:rPr>
        <w:fldChar w:fldCharType="end"/>
      </w:r>
    </w:p>
    <w:p w14:paraId="7EA3DE25">
      <w:pPr>
        <w:spacing w:line="360" w:lineRule="auto"/>
        <w:jc w:val="center"/>
        <w:outlineLvl w:val="0"/>
        <w:rPr>
          <w:rFonts w:hint="eastAsia" w:ascii="宋体" w:hAnsi="宋体" w:eastAsia="宋体" w:cs="宋体"/>
          <w:b w:val="0"/>
          <w:bCs w:val="0"/>
          <w:color w:val="auto"/>
          <w:sz w:val="36"/>
          <w:szCs w:val="36"/>
          <w:highlight w:val="none"/>
        </w:rPr>
        <w:sectPr>
          <w:headerReference r:id="rId5" w:type="first"/>
          <w:footerReference r:id="rId8" w:type="first"/>
          <w:headerReference r:id="rId4" w:type="default"/>
          <w:footerReference r:id="rId6" w:type="default"/>
          <w:footerReference r:id="rId7" w:type="even"/>
          <w:type w:val="nextColumn"/>
          <w:pgSz w:w="11905" w:h="16838"/>
          <w:pgMar w:top="1417" w:right="1417" w:bottom="1417" w:left="1417" w:header="851" w:footer="992" w:gutter="0"/>
          <w:pgNumType w:start="1"/>
          <w:cols w:space="0" w:num="1"/>
          <w:rtlGutter w:val="0"/>
          <w:docGrid w:linePitch="462" w:charSpace="0"/>
        </w:sectPr>
      </w:pPr>
    </w:p>
    <w:p w14:paraId="680C6371">
      <w:pPr>
        <w:spacing w:line="360" w:lineRule="auto"/>
        <w:jc w:val="center"/>
        <w:outlineLvl w:val="0"/>
        <w:rPr>
          <w:rFonts w:hint="eastAsia" w:ascii="宋体" w:hAnsi="宋体" w:eastAsia="宋体" w:cs="宋体"/>
          <w:b/>
          <w:color w:val="auto"/>
          <w:sz w:val="36"/>
          <w:szCs w:val="36"/>
          <w:highlight w:val="none"/>
          <w:lang w:eastAsia="zh-CN"/>
        </w:rPr>
      </w:pPr>
      <w:bookmarkStart w:id="2" w:name="_Toc7859"/>
      <w:r>
        <w:rPr>
          <w:rFonts w:hint="eastAsia" w:ascii="宋体" w:hAnsi="宋体" w:eastAsia="宋体" w:cs="宋体"/>
          <w:b/>
          <w:color w:val="auto"/>
          <w:sz w:val="36"/>
          <w:szCs w:val="36"/>
          <w:highlight w:val="none"/>
        </w:rPr>
        <w:t xml:space="preserve">第一章   </w:t>
      </w:r>
      <w:bookmarkStart w:id="3" w:name="_Toc35393621"/>
      <w:bookmarkStart w:id="4" w:name="_Toc28359079"/>
      <w:bookmarkStart w:id="5" w:name="_Toc28359002"/>
      <w:bookmarkStart w:id="6" w:name="_Toc35393790"/>
      <w:bookmarkStart w:id="7" w:name="_Hlk24379207"/>
      <w:r>
        <w:rPr>
          <w:rFonts w:hint="eastAsia" w:ascii="宋体" w:hAnsi="宋体" w:eastAsia="宋体" w:cs="宋体"/>
          <w:b/>
          <w:color w:val="auto"/>
          <w:sz w:val="36"/>
          <w:szCs w:val="36"/>
          <w:highlight w:val="none"/>
          <w:lang w:eastAsia="zh-CN"/>
        </w:rPr>
        <w:t>磋商公告</w:t>
      </w:r>
      <w:bookmarkEnd w:id="2"/>
    </w:p>
    <w:p w14:paraId="6C9F586B">
      <w:pPr>
        <w:spacing w:line="360" w:lineRule="auto"/>
        <w:ind w:firstLine="480" w:firstLineChars="200"/>
        <w:rPr>
          <w:rFonts w:hint="eastAsia" w:ascii="宋体" w:hAnsi="宋体" w:eastAsia="宋体" w:cs="宋体"/>
          <w:color w:val="auto"/>
          <w:sz w:val="24"/>
          <w:highlight w:val="none"/>
        </w:rPr>
      </w:pPr>
    </w:p>
    <w:p w14:paraId="394DE4C9">
      <w:pPr>
        <w:pStyle w:val="4"/>
        <w:spacing w:before="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一、项目基本情况</w:t>
      </w:r>
      <w:bookmarkEnd w:id="3"/>
      <w:bookmarkEnd w:id="4"/>
      <w:bookmarkEnd w:id="5"/>
      <w:bookmarkEnd w:id="6"/>
    </w:p>
    <w:p w14:paraId="50123B50">
      <w:pPr>
        <w:tabs>
          <w:tab w:val="left" w:pos="3240"/>
          <w:tab w:val="left" w:pos="3420"/>
        </w:tabs>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1.项目编号：</w:t>
      </w:r>
      <w:r>
        <w:rPr>
          <w:rFonts w:hint="eastAsia" w:ascii="宋体" w:hAnsi="宋体" w:eastAsia="宋体" w:cs="宋体"/>
          <w:color w:val="auto"/>
          <w:sz w:val="24"/>
          <w:highlight w:val="none"/>
          <w:u w:val="single"/>
        </w:rPr>
        <w:fldChar w:fldCharType="begin"/>
      </w:r>
      <w:r>
        <w:rPr>
          <w:rFonts w:hint="eastAsia" w:ascii="宋体" w:hAnsi="宋体" w:eastAsia="宋体" w:cs="宋体"/>
          <w:color w:val="auto"/>
          <w:sz w:val="24"/>
          <w:highlight w:val="none"/>
          <w:u w:val="single"/>
        </w:rPr>
        <w:instrText xml:space="preserve"> HYPERLINK "http://219.232.204.193:8080/frontend/plan/project_detail.html?projectUuid=0269372c-e6b6-45e9-b716-1e67d26bce24" </w:instrText>
      </w:r>
      <w:r>
        <w:rPr>
          <w:rFonts w:hint="eastAsia" w:ascii="宋体" w:hAnsi="宋体" w:eastAsia="宋体" w:cs="宋体"/>
          <w:color w:val="auto"/>
          <w:sz w:val="24"/>
          <w:highlight w:val="none"/>
          <w:u w:val="single"/>
        </w:rPr>
        <w:fldChar w:fldCharType="separate"/>
      </w:r>
      <w:r>
        <w:rPr>
          <w:rFonts w:hint="eastAsia" w:ascii="宋体" w:hAnsi="宋体" w:cs="宋体"/>
          <w:color w:val="auto"/>
          <w:sz w:val="24"/>
          <w:highlight w:val="none"/>
          <w:u w:val="single"/>
          <w:lang w:eastAsia="zh-CN"/>
        </w:rPr>
        <w:t>11011325210200018728-XM001</w:t>
      </w:r>
      <w:r>
        <w:rPr>
          <w:rFonts w:hint="eastAsia" w:ascii="宋体" w:hAnsi="宋体" w:eastAsia="宋体" w:cs="宋体"/>
          <w:color w:val="auto"/>
          <w:sz w:val="24"/>
          <w:highlight w:val="none"/>
          <w:u w:val="single"/>
        </w:rPr>
        <w:fldChar w:fldCharType="end"/>
      </w:r>
    </w:p>
    <w:p w14:paraId="4DBD561A">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2.项目名称：</w:t>
      </w:r>
      <w:r>
        <w:rPr>
          <w:rFonts w:hint="eastAsia" w:ascii="宋体" w:hAnsi="宋体" w:cs="宋体"/>
          <w:color w:val="auto"/>
          <w:sz w:val="24"/>
          <w:highlight w:val="none"/>
          <w:u w:val="single"/>
          <w:lang w:val="en-US" w:eastAsia="zh-CN"/>
        </w:rPr>
        <w:t>2025年交通扣留扣押车辆保管费</w:t>
      </w:r>
    </w:p>
    <w:p w14:paraId="1E11F7C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3.采购方式：</w:t>
      </w:r>
      <w:r>
        <w:rPr>
          <w:rFonts w:hint="eastAsia" w:ascii="宋体" w:hAnsi="宋体" w:eastAsia="宋体" w:cs="宋体"/>
          <w:color w:val="auto"/>
          <w:sz w:val="24"/>
          <w:highlight w:val="none"/>
          <w:u w:val="single"/>
        </w:rPr>
        <w:t>竞争性磋商</w:t>
      </w:r>
    </w:p>
    <w:bookmarkEnd w:id="7"/>
    <w:p w14:paraId="2042CB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4.项目预算金额：</w:t>
      </w:r>
      <w:r>
        <w:rPr>
          <w:rFonts w:hint="eastAsia" w:ascii="宋体" w:hAnsi="宋体" w:cs="宋体"/>
          <w:color w:val="auto"/>
          <w:sz w:val="24"/>
          <w:highlight w:val="none"/>
          <w:u w:val="single"/>
          <w:lang w:val="en-US" w:eastAsia="zh-CN"/>
        </w:rPr>
        <w:t>358.352565</w:t>
      </w:r>
      <w:r>
        <w:rPr>
          <w:rFonts w:hint="eastAsia" w:ascii="宋体" w:hAnsi="宋体" w:eastAsia="宋体" w:cs="宋体"/>
          <w:color w:val="auto"/>
          <w:sz w:val="24"/>
          <w:highlight w:val="none"/>
        </w:rPr>
        <w:t>万元</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项目最高限价：</w:t>
      </w:r>
      <w:r>
        <w:rPr>
          <w:rFonts w:hint="eastAsia" w:ascii="宋体" w:hAnsi="宋体" w:cs="宋体"/>
          <w:color w:val="auto"/>
          <w:sz w:val="24"/>
          <w:highlight w:val="none"/>
          <w:u w:val="single"/>
          <w:lang w:val="en-US" w:eastAsia="zh-CN"/>
        </w:rPr>
        <w:t>358.352565</w:t>
      </w:r>
      <w:r>
        <w:rPr>
          <w:rFonts w:hint="eastAsia" w:ascii="宋体" w:hAnsi="宋体" w:eastAsia="宋体" w:cs="宋体"/>
          <w:color w:val="auto"/>
          <w:sz w:val="24"/>
          <w:highlight w:val="none"/>
        </w:rPr>
        <w:t>万元（人民币）。</w:t>
      </w:r>
    </w:p>
    <w:p w14:paraId="21BBD28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5.采购需求：</w:t>
      </w:r>
    </w:p>
    <w:p w14:paraId="56962D3F">
      <w:pPr>
        <w:keepNext w:val="0"/>
        <w:keepLines w:val="0"/>
        <w:pageBreakBefore w:val="0"/>
        <w:widowControl/>
        <w:kinsoku/>
        <w:wordWrap/>
        <w:overflowPunct/>
        <w:topLinePunct w:val="0"/>
        <w:autoSpaceDE/>
        <w:autoSpaceDN/>
        <w:bidi w:val="0"/>
        <w:adjustRightInd w:val="0"/>
        <w:snapToGrid w:val="0"/>
        <w:spacing w:line="360" w:lineRule="auto"/>
        <w:ind w:left="3" w:leftChars="0" w:firstLine="475" w:firstLineChars="198"/>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）根据《中华人民共和国行政强制法》第二十六条规定，依法查封、扣押或者拖移至停车场的车辆，在法律规定的保管期(交通违法车辆扣押期限120日）内，产生的停车费用由行政机关承担。</w:t>
      </w:r>
    </w:p>
    <w:p w14:paraId="53ED25BF">
      <w:pPr>
        <w:keepNext w:val="0"/>
        <w:keepLines w:val="0"/>
        <w:pageBreakBefore w:val="0"/>
        <w:widowControl/>
        <w:kinsoku/>
        <w:wordWrap/>
        <w:overflowPunct/>
        <w:topLinePunct w:val="0"/>
        <w:autoSpaceDE/>
        <w:autoSpaceDN/>
        <w:bidi w:val="0"/>
        <w:adjustRightInd w:val="0"/>
        <w:snapToGrid w:val="0"/>
        <w:spacing w:line="360" w:lineRule="auto"/>
        <w:ind w:left="3" w:leftChars="0" w:firstLine="475" w:firstLineChars="198"/>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24"/>
          <w:highlight w:val="none"/>
          <w:lang w:eastAsia="zh-CN"/>
        </w:rPr>
        <w:t xml:space="preserve">  交通支队扣留、扣押停车保管项目是对违法车辆，事故车辆保管服务项目。停车场不得停放其他社会车辆，违法车辆与事故车辆分区停放，按要求配备停车场所需设备及人员，专人24小时巡视，即时对进出车辆登记及系统录入，对存放场内车辆按要求进行清洗，对事故车辆零配件按要求进行保管登记。配合支队完成各项停车保管工作。</w:t>
      </w:r>
    </w:p>
    <w:p w14:paraId="5F231AD9">
      <w:pPr>
        <w:keepNext w:val="0"/>
        <w:keepLines w:val="0"/>
        <w:pageBreakBefore w:val="0"/>
        <w:widowControl/>
        <w:kinsoku/>
        <w:wordWrap/>
        <w:overflowPunct/>
        <w:topLinePunct w:val="0"/>
        <w:autoSpaceDE/>
        <w:autoSpaceDN/>
        <w:bidi w:val="0"/>
        <w:adjustRightInd w:val="0"/>
        <w:snapToGrid w:val="0"/>
        <w:spacing w:line="360" w:lineRule="auto"/>
        <w:ind w:left="3" w:leftChars="0" w:firstLine="475" w:firstLineChars="19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为保障顺义区日常交通执法整治工作，根据顺义区整体现状，结合实际工作需要，拟将本区划分为三个区域分别设置依法扣留扣押车辆的停车场地，分别为：城东地区停车场、城中心区停车场和城西地区停车场。</w:t>
      </w:r>
    </w:p>
    <w:p w14:paraId="49214E28">
      <w:pPr>
        <w:pStyle w:val="43"/>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为保证工作需要此项目拟设定三</w:t>
      </w:r>
      <w:r>
        <w:rPr>
          <w:rFonts w:hint="eastAsia" w:ascii="宋体" w:hAnsi="宋体" w:eastAsia="宋体" w:cs="宋体"/>
          <w:color w:val="auto"/>
          <w:szCs w:val="24"/>
          <w:highlight w:val="none"/>
          <w:lang w:eastAsia="zh-CN"/>
        </w:rPr>
        <w:t>包</w:t>
      </w:r>
      <w:r>
        <w:rPr>
          <w:rFonts w:hint="eastAsia" w:ascii="宋体" w:hAnsi="宋体" w:eastAsia="宋体" w:cs="宋体"/>
          <w:color w:val="auto"/>
          <w:szCs w:val="24"/>
          <w:highlight w:val="none"/>
        </w:rPr>
        <w:t>，内容及金额如下：</w:t>
      </w:r>
    </w:p>
    <w:tbl>
      <w:tblPr>
        <w:tblStyle w:val="44"/>
        <w:tblW w:w="95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
        <w:gridCol w:w="3755"/>
        <w:gridCol w:w="2160"/>
        <w:gridCol w:w="2746"/>
      </w:tblGrid>
      <w:tr w14:paraId="7F755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914" w:type="dxa"/>
            <w:vAlign w:val="center"/>
          </w:tcPr>
          <w:p w14:paraId="73967285">
            <w:pPr>
              <w:pStyle w:val="29"/>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包号</w:t>
            </w:r>
          </w:p>
        </w:tc>
        <w:tc>
          <w:tcPr>
            <w:tcW w:w="3755" w:type="dxa"/>
            <w:vAlign w:val="center"/>
          </w:tcPr>
          <w:p w14:paraId="182FD1C1">
            <w:pPr>
              <w:pStyle w:val="29"/>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包名称</w:t>
            </w:r>
          </w:p>
        </w:tc>
        <w:tc>
          <w:tcPr>
            <w:tcW w:w="2160" w:type="dxa"/>
            <w:tcBorders>
              <w:right w:val="single" w:color="auto" w:sz="4" w:space="0"/>
            </w:tcBorders>
            <w:vAlign w:val="center"/>
          </w:tcPr>
          <w:p w14:paraId="64C9B4BD">
            <w:pPr>
              <w:pStyle w:val="29"/>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各包采购预算</w:t>
            </w:r>
          </w:p>
        </w:tc>
        <w:tc>
          <w:tcPr>
            <w:tcW w:w="2746" w:type="dxa"/>
            <w:tcBorders>
              <w:left w:val="single" w:color="auto" w:sz="4" w:space="0"/>
            </w:tcBorders>
            <w:vAlign w:val="center"/>
          </w:tcPr>
          <w:p w14:paraId="6CC13113">
            <w:pPr>
              <w:pStyle w:val="29"/>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服务要求</w:t>
            </w:r>
          </w:p>
        </w:tc>
      </w:tr>
      <w:tr w14:paraId="51A47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7" w:hRule="atLeast"/>
          <w:jc w:val="center"/>
        </w:trPr>
        <w:tc>
          <w:tcPr>
            <w:tcW w:w="914" w:type="dxa"/>
            <w:vAlign w:val="center"/>
          </w:tcPr>
          <w:p w14:paraId="23A8EA65">
            <w:pPr>
              <w:pStyle w:val="29"/>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default" w:ascii="宋体" w:hAnsi="宋体" w:eastAsia="宋体" w:cs="宋体"/>
                <w:color w:val="auto"/>
                <w:kern w:val="2"/>
                <w:sz w:val="24"/>
                <w:szCs w:val="24"/>
                <w:highlight w:val="none"/>
                <w:lang w:val="en-US" w:eastAsia="zh-CN"/>
              </w:rPr>
            </w:pPr>
            <w:r>
              <w:rPr>
                <w:rFonts w:hint="eastAsia" w:hAnsi="宋体" w:cs="宋体"/>
                <w:color w:val="auto"/>
                <w:kern w:val="2"/>
                <w:sz w:val="24"/>
                <w:szCs w:val="24"/>
                <w:highlight w:val="none"/>
                <w:lang w:val="en-US" w:eastAsia="zh-CN"/>
              </w:rPr>
              <w:t>1</w:t>
            </w:r>
          </w:p>
        </w:tc>
        <w:tc>
          <w:tcPr>
            <w:tcW w:w="3755" w:type="dxa"/>
            <w:vAlign w:val="center"/>
          </w:tcPr>
          <w:p w14:paraId="1654907D">
            <w:pPr>
              <w:pStyle w:val="29"/>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宋体" w:hAnsi="宋体" w:eastAsia="宋体" w:cs="宋体"/>
                <w:color w:val="auto"/>
                <w:kern w:val="2"/>
                <w:sz w:val="24"/>
                <w:szCs w:val="24"/>
                <w:highlight w:val="none"/>
                <w:u w:val="none"/>
              </w:rPr>
            </w:pPr>
            <w:r>
              <w:rPr>
                <w:rFonts w:hint="eastAsia" w:hAnsi="宋体" w:cs="宋体"/>
                <w:color w:val="auto"/>
                <w:sz w:val="24"/>
                <w:szCs w:val="24"/>
                <w:highlight w:val="none"/>
                <w:u w:val="none"/>
                <w:lang w:val="en-US" w:eastAsia="zh-CN"/>
              </w:rPr>
              <w:t>2025年交通扣留扣押车辆保管费(城东区)</w:t>
            </w:r>
          </w:p>
        </w:tc>
        <w:tc>
          <w:tcPr>
            <w:tcW w:w="2160" w:type="dxa"/>
            <w:tcBorders>
              <w:right w:val="single" w:color="auto" w:sz="4" w:space="0"/>
            </w:tcBorders>
            <w:vAlign w:val="center"/>
          </w:tcPr>
          <w:p w14:paraId="451D9CA5">
            <w:pPr>
              <w:pStyle w:val="29"/>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highlight w:val="none"/>
                <w:u w:val="none"/>
              </w:rPr>
              <w:t>116.932955</w:t>
            </w:r>
            <w:r>
              <w:rPr>
                <w:rFonts w:hint="eastAsia" w:ascii="宋体" w:hAnsi="宋体" w:eastAsia="宋体" w:cs="宋体"/>
                <w:color w:val="auto"/>
                <w:kern w:val="2"/>
                <w:sz w:val="24"/>
                <w:szCs w:val="24"/>
                <w:highlight w:val="none"/>
              </w:rPr>
              <w:t>万元</w:t>
            </w:r>
          </w:p>
        </w:tc>
        <w:tc>
          <w:tcPr>
            <w:tcW w:w="2746" w:type="dxa"/>
            <w:tcBorders>
              <w:left w:val="single" w:color="auto" w:sz="4" w:space="0"/>
            </w:tcBorders>
            <w:vAlign w:val="center"/>
          </w:tcPr>
          <w:p w14:paraId="14DA27C6">
            <w:pPr>
              <w:pStyle w:val="29"/>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eastAsia" w:ascii="宋体" w:hAnsi="宋体" w:eastAsia="宋体" w:cs="宋体"/>
                <w:color w:val="auto"/>
                <w:sz w:val="24"/>
                <w:highlight w:val="none"/>
                <w:u w:val="none"/>
                <w:lang w:val="en-US" w:eastAsia="zh-CN"/>
              </w:rPr>
            </w:pPr>
            <w:r>
              <w:rPr>
                <w:rFonts w:hint="eastAsia" w:ascii="宋体" w:hAnsi="宋体" w:eastAsia="宋体" w:cs="宋体"/>
                <w:color w:val="auto"/>
                <w:kern w:val="0"/>
                <w:sz w:val="24"/>
                <w:highlight w:val="none"/>
              </w:rPr>
              <w:t>详见第四章《采购需求》</w:t>
            </w:r>
          </w:p>
        </w:tc>
      </w:tr>
      <w:tr w14:paraId="6436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914" w:type="dxa"/>
            <w:vAlign w:val="center"/>
          </w:tcPr>
          <w:p w14:paraId="789D92CC">
            <w:pPr>
              <w:pStyle w:val="29"/>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default" w:ascii="宋体" w:hAnsi="宋体" w:eastAsia="宋体" w:cs="宋体"/>
                <w:color w:val="auto"/>
                <w:kern w:val="2"/>
                <w:sz w:val="24"/>
                <w:szCs w:val="24"/>
                <w:highlight w:val="none"/>
                <w:lang w:val="en-US" w:eastAsia="zh-CN"/>
              </w:rPr>
            </w:pPr>
            <w:r>
              <w:rPr>
                <w:rFonts w:hint="eastAsia" w:hAnsi="宋体" w:cs="宋体"/>
                <w:color w:val="auto"/>
                <w:kern w:val="2"/>
                <w:sz w:val="24"/>
                <w:szCs w:val="24"/>
                <w:highlight w:val="none"/>
                <w:lang w:val="en-US" w:eastAsia="zh-CN"/>
              </w:rPr>
              <w:t>2</w:t>
            </w:r>
          </w:p>
        </w:tc>
        <w:tc>
          <w:tcPr>
            <w:tcW w:w="3755" w:type="dxa"/>
            <w:vAlign w:val="center"/>
          </w:tcPr>
          <w:p w14:paraId="15CC4BE3">
            <w:pPr>
              <w:pStyle w:val="29"/>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宋体" w:hAnsi="宋体" w:eastAsia="宋体" w:cs="宋体"/>
                <w:color w:val="auto"/>
                <w:kern w:val="2"/>
                <w:sz w:val="24"/>
                <w:szCs w:val="24"/>
                <w:highlight w:val="none"/>
              </w:rPr>
            </w:pPr>
            <w:r>
              <w:rPr>
                <w:rFonts w:hint="eastAsia" w:hAnsi="宋体" w:cs="宋体"/>
                <w:color w:val="auto"/>
                <w:sz w:val="24"/>
                <w:szCs w:val="24"/>
                <w:highlight w:val="none"/>
                <w:u w:val="none"/>
                <w:lang w:val="en-US" w:eastAsia="zh-CN"/>
              </w:rPr>
              <w:t>2025年交通扣留扣押车辆保管费(城中区)</w:t>
            </w:r>
          </w:p>
        </w:tc>
        <w:tc>
          <w:tcPr>
            <w:tcW w:w="2160" w:type="dxa"/>
            <w:tcBorders>
              <w:right w:val="single" w:color="auto" w:sz="4" w:space="0"/>
            </w:tcBorders>
            <w:vAlign w:val="center"/>
          </w:tcPr>
          <w:p w14:paraId="2B575B08">
            <w:pPr>
              <w:pStyle w:val="29"/>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highlight w:val="none"/>
                <w:u w:val="none"/>
              </w:rPr>
              <w:t>112.496655</w:t>
            </w:r>
            <w:r>
              <w:rPr>
                <w:rFonts w:hint="eastAsia" w:ascii="宋体" w:hAnsi="宋体" w:eastAsia="宋体" w:cs="宋体"/>
                <w:color w:val="auto"/>
                <w:kern w:val="2"/>
                <w:sz w:val="24"/>
                <w:szCs w:val="24"/>
                <w:highlight w:val="none"/>
              </w:rPr>
              <w:t>万元</w:t>
            </w:r>
          </w:p>
        </w:tc>
        <w:tc>
          <w:tcPr>
            <w:tcW w:w="2746" w:type="dxa"/>
            <w:tcBorders>
              <w:left w:val="single" w:color="auto" w:sz="4" w:space="0"/>
            </w:tcBorders>
            <w:vAlign w:val="center"/>
          </w:tcPr>
          <w:p w14:paraId="578C40DA">
            <w:pPr>
              <w:pStyle w:val="29"/>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eastAsia" w:ascii="宋体" w:hAnsi="宋体" w:eastAsia="宋体" w:cs="宋体"/>
                <w:color w:val="auto"/>
                <w:sz w:val="24"/>
                <w:highlight w:val="none"/>
                <w:u w:val="none"/>
              </w:rPr>
            </w:pPr>
            <w:r>
              <w:rPr>
                <w:rFonts w:hint="eastAsia" w:ascii="宋体" w:hAnsi="宋体" w:eastAsia="宋体" w:cs="宋体"/>
                <w:color w:val="auto"/>
                <w:kern w:val="0"/>
                <w:sz w:val="24"/>
                <w:highlight w:val="none"/>
              </w:rPr>
              <w:t>详见第四章《采购需求》</w:t>
            </w:r>
          </w:p>
        </w:tc>
      </w:tr>
      <w:tr w14:paraId="54140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atLeast"/>
          <w:jc w:val="center"/>
        </w:trPr>
        <w:tc>
          <w:tcPr>
            <w:tcW w:w="914" w:type="dxa"/>
            <w:vAlign w:val="center"/>
          </w:tcPr>
          <w:p w14:paraId="4B25ED3C">
            <w:pPr>
              <w:pStyle w:val="29"/>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default" w:ascii="宋体" w:hAnsi="宋体" w:eastAsia="宋体" w:cs="宋体"/>
                <w:color w:val="auto"/>
                <w:kern w:val="2"/>
                <w:sz w:val="24"/>
                <w:szCs w:val="24"/>
                <w:highlight w:val="none"/>
                <w:lang w:val="en-US" w:eastAsia="zh-CN"/>
              </w:rPr>
            </w:pPr>
            <w:r>
              <w:rPr>
                <w:rFonts w:hint="eastAsia" w:hAnsi="宋体" w:cs="宋体"/>
                <w:color w:val="auto"/>
                <w:kern w:val="2"/>
                <w:sz w:val="24"/>
                <w:szCs w:val="24"/>
                <w:highlight w:val="none"/>
                <w:lang w:val="en-US" w:eastAsia="zh-CN"/>
              </w:rPr>
              <w:t>3</w:t>
            </w:r>
          </w:p>
        </w:tc>
        <w:tc>
          <w:tcPr>
            <w:tcW w:w="3755" w:type="dxa"/>
            <w:vAlign w:val="center"/>
          </w:tcPr>
          <w:p w14:paraId="4BCB078C">
            <w:pPr>
              <w:pStyle w:val="29"/>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宋体" w:hAnsi="宋体" w:eastAsia="宋体" w:cs="宋体"/>
                <w:color w:val="auto"/>
                <w:kern w:val="2"/>
                <w:sz w:val="24"/>
                <w:szCs w:val="24"/>
                <w:highlight w:val="none"/>
              </w:rPr>
            </w:pPr>
            <w:r>
              <w:rPr>
                <w:rFonts w:hint="eastAsia" w:hAnsi="宋体" w:cs="宋体"/>
                <w:color w:val="auto"/>
                <w:sz w:val="24"/>
                <w:szCs w:val="24"/>
                <w:highlight w:val="none"/>
                <w:u w:val="none"/>
                <w:lang w:val="en-US" w:eastAsia="zh-CN"/>
              </w:rPr>
              <w:t>2025年交通扣留扣押车辆保管费(城西区)</w:t>
            </w:r>
          </w:p>
        </w:tc>
        <w:tc>
          <w:tcPr>
            <w:tcW w:w="2160" w:type="dxa"/>
            <w:tcBorders>
              <w:right w:val="single" w:color="auto" w:sz="4" w:space="0"/>
            </w:tcBorders>
            <w:vAlign w:val="center"/>
          </w:tcPr>
          <w:p w14:paraId="62272FED">
            <w:pPr>
              <w:pStyle w:val="29"/>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highlight w:val="none"/>
                <w:u w:val="none"/>
              </w:rPr>
              <w:t>128.922955</w:t>
            </w:r>
            <w:r>
              <w:rPr>
                <w:rFonts w:hint="eastAsia" w:ascii="宋体" w:hAnsi="宋体" w:eastAsia="宋体" w:cs="宋体"/>
                <w:color w:val="auto"/>
                <w:kern w:val="2"/>
                <w:sz w:val="24"/>
                <w:szCs w:val="24"/>
                <w:highlight w:val="none"/>
              </w:rPr>
              <w:t>万元</w:t>
            </w:r>
          </w:p>
        </w:tc>
        <w:tc>
          <w:tcPr>
            <w:tcW w:w="2746" w:type="dxa"/>
            <w:tcBorders>
              <w:left w:val="single" w:color="auto" w:sz="4" w:space="0"/>
            </w:tcBorders>
            <w:vAlign w:val="center"/>
          </w:tcPr>
          <w:p w14:paraId="7FB2B8A8">
            <w:pPr>
              <w:pStyle w:val="29"/>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eastAsia" w:ascii="宋体" w:hAnsi="宋体" w:eastAsia="宋体" w:cs="宋体"/>
                <w:color w:val="auto"/>
                <w:sz w:val="24"/>
                <w:highlight w:val="none"/>
                <w:u w:val="none"/>
              </w:rPr>
            </w:pPr>
            <w:r>
              <w:rPr>
                <w:rFonts w:hint="eastAsia" w:ascii="宋体" w:hAnsi="宋体" w:eastAsia="宋体" w:cs="宋体"/>
                <w:color w:val="auto"/>
                <w:kern w:val="0"/>
                <w:sz w:val="24"/>
                <w:highlight w:val="none"/>
              </w:rPr>
              <w:t>详见第四章《采购需求》</w:t>
            </w:r>
          </w:p>
        </w:tc>
      </w:tr>
    </w:tbl>
    <w:p w14:paraId="20F90B34">
      <w:pPr>
        <w:bidi w:val="0"/>
        <w:rPr>
          <w:rFonts w:hint="eastAsia"/>
          <w:color w:val="auto"/>
          <w:highlight w:val="none"/>
        </w:rPr>
      </w:pPr>
    </w:p>
    <w:p w14:paraId="3243EFBB">
      <w:pPr>
        <w:keepNext w:val="0"/>
        <w:keepLines w:val="0"/>
        <w:pageBreakBefore w:val="0"/>
        <w:widowControl w:val="0"/>
        <w:kinsoku/>
        <w:wordWrap/>
        <w:overflowPunct/>
        <w:topLinePunct w:val="0"/>
        <w:autoSpaceDE/>
        <w:autoSpaceDN/>
        <w:bidi w:val="0"/>
        <w:adjustRightInd/>
        <w:snapToGrid w:val="0"/>
        <w:spacing w:line="360" w:lineRule="auto"/>
        <w:ind w:left="843" w:leftChars="228" w:hanging="364" w:hangingChars="15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6.合同履行期限：</w:t>
      </w:r>
      <w:r>
        <w:rPr>
          <w:rFonts w:hint="eastAsia" w:ascii="宋体" w:hAnsi="宋体" w:eastAsia="宋体" w:cs="宋体"/>
          <w:color w:val="auto"/>
          <w:sz w:val="24"/>
          <w:highlight w:val="none"/>
          <w:u w:val="single"/>
        </w:rPr>
        <w:t>自合同签订生效之日起12个月。</w:t>
      </w:r>
    </w:p>
    <w:p w14:paraId="7792AAF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7.本项目是否接受联合体：</w:t>
      </w:r>
      <w:r>
        <w:rPr>
          <w:rFonts w:hint="eastAsia" w:ascii="宋体" w:hAnsi="宋体" w:eastAsia="宋体" w:cs="宋体"/>
          <w:color w:val="auto"/>
          <w:highlight w:val="none"/>
        </w:rPr>
        <w:t>□</w:t>
      </w:r>
      <w:r>
        <w:rPr>
          <w:rFonts w:hint="eastAsia" w:ascii="宋体" w:hAnsi="宋体" w:eastAsia="宋体" w:cs="宋体"/>
          <w:color w:val="auto"/>
          <w:sz w:val="24"/>
          <w:highlight w:val="none"/>
        </w:rPr>
        <w:t xml:space="preserve">是  </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否。</w:t>
      </w:r>
    </w:p>
    <w:p w14:paraId="7E6DFC97">
      <w:pPr>
        <w:pStyle w:val="4"/>
        <w:spacing w:before="0" w:line="360" w:lineRule="auto"/>
        <w:jc w:val="left"/>
        <w:rPr>
          <w:rFonts w:hint="eastAsia" w:ascii="宋体" w:hAnsi="宋体" w:eastAsia="宋体" w:cs="宋体"/>
          <w:color w:val="auto"/>
          <w:sz w:val="24"/>
          <w:szCs w:val="24"/>
          <w:highlight w:val="none"/>
        </w:rPr>
      </w:pPr>
      <w:bookmarkStart w:id="8" w:name="_Toc35393622"/>
      <w:bookmarkStart w:id="9" w:name="_Toc28359003"/>
      <w:bookmarkStart w:id="10" w:name="_Toc28359080"/>
      <w:bookmarkStart w:id="11" w:name="_Toc35393791"/>
      <w:r>
        <w:rPr>
          <w:rFonts w:hint="eastAsia" w:ascii="宋体" w:hAnsi="宋体" w:eastAsia="宋体" w:cs="宋体"/>
          <w:color w:val="auto"/>
          <w:sz w:val="24"/>
          <w:szCs w:val="24"/>
          <w:highlight w:val="none"/>
        </w:rPr>
        <w:t>二、申请人的资格要求（须同时满足）</w:t>
      </w:r>
      <w:bookmarkEnd w:id="8"/>
      <w:bookmarkEnd w:id="9"/>
      <w:bookmarkEnd w:id="10"/>
      <w:bookmarkEnd w:id="11"/>
    </w:p>
    <w:p w14:paraId="1DE83D1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1.满足《中华人民共和国政府采购法》第二十二条规定；</w:t>
      </w:r>
    </w:p>
    <w:p w14:paraId="4A44BDEE">
      <w:pPr>
        <w:spacing w:line="360" w:lineRule="auto"/>
        <w:ind w:firstLine="480" w:firstLineChars="200"/>
        <w:rPr>
          <w:rFonts w:hint="eastAsia" w:ascii="宋体" w:hAnsi="宋体" w:eastAsia="宋体" w:cs="宋体"/>
          <w:color w:val="auto"/>
          <w:sz w:val="24"/>
          <w:highlight w:val="none"/>
        </w:rPr>
      </w:pPr>
      <w:bookmarkStart w:id="12" w:name="_Toc28359004"/>
      <w:bookmarkStart w:id="13" w:name="_Toc28359081"/>
      <w:r>
        <w:rPr>
          <w:rFonts w:hint="eastAsia" w:ascii="宋体" w:hAnsi="宋体" w:eastAsia="宋体" w:cs="宋体"/>
          <w:color w:val="auto"/>
          <w:sz w:val="24"/>
          <w:highlight w:val="none"/>
        </w:rPr>
        <w:t>2.落实政府采购政策需满足的资格要求：</w:t>
      </w:r>
    </w:p>
    <w:p w14:paraId="10A5E59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中小企业政策</w:t>
      </w:r>
    </w:p>
    <w:p w14:paraId="2CE9E566">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sz w:val="24"/>
          <w:highlight w:val="none"/>
        </w:rPr>
        <w:t>本项目不专门面向中小企业预留采购份额。</w:t>
      </w:r>
    </w:p>
    <w:p w14:paraId="51201A6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 xml:space="preserve">本项目专门面向 </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 xml:space="preserve">中小 </w:t>
      </w:r>
      <w:r>
        <w:rPr>
          <w:rFonts w:hint="eastAsia" w:ascii="宋体" w:hAnsi="宋体" w:eastAsia="宋体" w:cs="宋体"/>
          <w:color w:val="auto"/>
          <w:highlight w:val="none"/>
        </w:rPr>
        <w:t>□</w:t>
      </w:r>
      <w:r>
        <w:rPr>
          <w:rFonts w:hint="eastAsia" w:ascii="宋体" w:hAnsi="宋体" w:eastAsia="宋体" w:cs="宋体"/>
          <w:color w:val="auto"/>
          <w:sz w:val="24"/>
          <w:highlight w:val="none"/>
        </w:rPr>
        <w:t>小微企业  采购。即：提供的货物全部由符合政策要求的中小/小微企业制造、服务全部由符合政策要求的中小/小微企业承接。</w:t>
      </w:r>
    </w:p>
    <w:p w14:paraId="1C66A139">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highlight w:val="none"/>
        </w:rPr>
        <w:t>□</w:t>
      </w:r>
      <w:r>
        <w:rPr>
          <w:rFonts w:hint="eastAsia" w:ascii="宋体" w:hAnsi="宋体" w:eastAsia="宋体" w:cs="宋体"/>
          <w:color w:val="auto"/>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0FB5F4B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其它落实政府采购政策的资格要求（如有）：</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25F19B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w:t>
      </w:r>
    </w:p>
    <w:p w14:paraId="0810208E">
      <w:pPr>
        <w:tabs>
          <w:tab w:val="left" w:pos="900"/>
          <w:tab w:val="left" w:pos="1134"/>
          <w:tab w:val="left" w:pos="1589"/>
          <w:tab w:val="left" w:pos="5521"/>
        </w:tabs>
        <w:snapToGrid w:val="0"/>
        <w:spacing w:line="360" w:lineRule="auto"/>
        <w:ind w:left="0" w:leftChars="0" w:firstLine="729" w:firstLineChars="304"/>
        <w:rPr>
          <w:rFonts w:hint="eastAsia" w:ascii="宋体" w:hAnsi="宋体" w:eastAsia="宋体" w:cs="宋体"/>
          <w:color w:val="auto"/>
          <w:sz w:val="24"/>
          <w:highlight w:val="none"/>
        </w:rPr>
      </w:pPr>
      <w:r>
        <w:rPr>
          <w:rFonts w:hint="eastAsia" w:ascii="宋体" w:hAnsi="宋体" w:eastAsia="宋体" w:cs="宋体"/>
          <w:color w:val="auto"/>
          <w:sz w:val="24"/>
          <w:highlight w:val="none"/>
        </w:rPr>
        <w:t>3.1本项目是否属于政府购买服务：</w:t>
      </w:r>
    </w:p>
    <w:p w14:paraId="5E120B3D">
      <w:pPr>
        <w:tabs>
          <w:tab w:val="left" w:pos="900"/>
          <w:tab w:val="left" w:pos="1134"/>
          <w:tab w:val="left" w:pos="1589"/>
          <w:tab w:val="left" w:pos="5521"/>
        </w:tabs>
        <w:snapToGrid w:val="0"/>
        <w:spacing w:line="360" w:lineRule="auto"/>
        <w:ind w:left="991" w:leftChars="472" w:firstLine="2"/>
        <w:rPr>
          <w:rFonts w:hint="eastAsia" w:ascii="宋体" w:hAnsi="宋体" w:eastAsia="宋体" w:cs="宋体"/>
          <w:color w:val="auto"/>
          <w:sz w:val="24"/>
          <w:highlight w:val="none"/>
        </w:rPr>
      </w:pPr>
      <w:r>
        <w:rPr>
          <w:rFonts w:hint="eastAsia" w:ascii="宋体" w:hAnsi="宋体" w:eastAsia="宋体" w:cs="宋体"/>
          <w:color w:val="auto"/>
          <w:highlight w:val="none"/>
        </w:rPr>
        <w:t>□</w:t>
      </w:r>
      <w:r>
        <w:rPr>
          <w:rFonts w:hint="eastAsia" w:ascii="宋体" w:hAnsi="宋体" w:eastAsia="宋体" w:cs="宋体"/>
          <w:color w:val="auto"/>
          <w:sz w:val="24"/>
          <w:highlight w:val="none"/>
        </w:rPr>
        <w:t>否</w:t>
      </w:r>
    </w:p>
    <w:p w14:paraId="128FC3D5">
      <w:pPr>
        <w:tabs>
          <w:tab w:val="left" w:pos="0"/>
          <w:tab w:val="left" w:pos="1134"/>
          <w:tab w:val="left" w:pos="1589"/>
          <w:tab w:val="left" w:pos="5521"/>
        </w:tabs>
        <w:snapToGrid w:val="0"/>
        <w:spacing w:line="360" w:lineRule="auto"/>
        <w:ind w:left="991" w:leftChars="472" w:firstLine="2"/>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是，公益一类事业单位、使用事业编制且由财政拨款保障的群团组织，不得作为承接主体；</w:t>
      </w:r>
    </w:p>
    <w:p w14:paraId="458912BD">
      <w:pPr>
        <w:tabs>
          <w:tab w:val="left" w:pos="900"/>
          <w:tab w:val="left" w:pos="1134"/>
          <w:tab w:val="left" w:pos="1589"/>
          <w:tab w:val="left" w:pos="5521"/>
        </w:tabs>
        <w:snapToGrid w:val="0"/>
        <w:spacing w:line="360" w:lineRule="auto"/>
        <w:ind w:firstLine="720" w:firstLineChars="3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 本项目是否接受分支机构参与投标：</w:t>
      </w:r>
      <w:r>
        <w:rPr>
          <w:rFonts w:hint="eastAsia" w:ascii="宋体" w:hAnsi="宋体" w:eastAsia="宋体" w:cs="宋体"/>
          <w:color w:val="auto"/>
          <w:sz w:val="24"/>
          <w:highlight w:val="none"/>
        </w:rPr>
        <w:t>□是</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■否</w:t>
      </w:r>
      <w:r>
        <w:rPr>
          <w:rFonts w:hint="eastAsia" w:ascii="宋体" w:hAnsi="宋体" w:eastAsia="宋体" w:cs="宋体"/>
          <w:color w:val="auto"/>
          <w:sz w:val="24"/>
          <w:highlight w:val="none"/>
          <w:lang w:val="en-US" w:eastAsia="zh-CN"/>
        </w:rPr>
        <w:t xml:space="preserve"> </w:t>
      </w:r>
    </w:p>
    <w:p w14:paraId="76AD47A5">
      <w:pPr>
        <w:tabs>
          <w:tab w:val="left" w:pos="900"/>
          <w:tab w:val="left" w:pos="1134"/>
          <w:tab w:val="left" w:pos="1589"/>
          <w:tab w:val="left" w:pos="5521"/>
        </w:tabs>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其他特定资格要求：</w:t>
      </w:r>
    </w:p>
    <w:p w14:paraId="19374B61">
      <w:pPr>
        <w:tabs>
          <w:tab w:val="left" w:pos="900"/>
          <w:tab w:val="left" w:pos="1134"/>
          <w:tab w:val="left" w:pos="1589"/>
          <w:tab w:val="left" w:pos="5521"/>
        </w:tabs>
        <w:snapToGrid w:val="0"/>
        <w:spacing w:line="360" w:lineRule="auto"/>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none"/>
          <w:lang w:val="en-US" w:eastAsia="zh-CN"/>
        </w:rPr>
        <w:t xml:space="preserve">3.3.1 </w:t>
      </w:r>
      <w:r>
        <w:rPr>
          <w:rFonts w:hint="eastAsia" w:ascii="宋体" w:hAnsi="宋体" w:eastAsia="宋体" w:cs="宋体"/>
          <w:color w:val="auto"/>
          <w:sz w:val="24"/>
          <w:highlight w:val="none"/>
          <w:u w:val="single"/>
        </w:rPr>
        <w:t>供应商须具有北京市公共停车场经营备案资质</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p>
    <w:p w14:paraId="3BE9A5C2">
      <w:pPr>
        <w:spacing w:line="360" w:lineRule="auto"/>
        <w:ind w:firstLine="480" w:firstLineChars="200"/>
        <w:rPr>
          <w:rFonts w:hint="eastAsia" w:ascii="宋体" w:hAnsi="宋体" w:eastAsia="宋体" w:cs="宋体"/>
          <w:i/>
          <w:iCs/>
          <w:color w:val="auto"/>
          <w:sz w:val="24"/>
          <w:highlight w:val="none"/>
          <w:u w:val="single"/>
        </w:rPr>
      </w:pPr>
    </w:p>
    <w:bookmarkEnd w:id="12"/>
    <w:bookmarkEnd w:id="13"/>
    <w:p w14:paraId="003389EA">
      <w:pPr>
        <w:pStyle w:val="4"/>
        <w:widowControl/>
        <w:spacing w:before="0" w:line="360" w:lineRule="auto"/>
        <w:jc w:val="left"/>
        <w:rPr>
          <w:rFonts w:hint="eastAsia" w:ascii="宋体" w:hAnsi="宋体" w:eastAsia="宋体" w:cs="宋体"/>
          <w:color w:val="auto"/>
          <w:sz w:val="24"/>
          <w:szCs w:val="24"/>
          <w:highlight w:val="none"/>
        </w:rPr>
      </w:pPr>
      <w:bookmarkStart w:id="14" w:name="_Toc35393623"/>
      <w:bookmarkStart w:id="15" w:name="_Toc35393792"/>
      <w:r>
        <w:rPr>
          <w:rFonts w:hint="eastAsia" w:ascii="宋体" w:hAnsi="宋体" w:eastAsia="宋体" w:cs="宋体"/>
          <w:color w:val="auto"/>
          <w:sz w:val="24"/>
          <w:szCs w:val="24"/>
          <w:highlight w:val="none"/>
        </w:rPr>
        <w:t>三、获取采购文件</w:t>
      </w:r>
      <w:bookmarkEnd w:id="14"/>
      <w:bookmarkEnd w:id="15"/>
    </w:p>
    <w:p w14:paraId="79A2E54B">
      <w:pPr>
        <w:adjustRightInd w:val="0"/>
        <w:snapToGrid w:val="0"/>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1.时间：</w:t>
      </w:r>
      <w:r>
        <w:rPr>
          <w:rFonts w:hint="eastAsia" w:ascii="宋体" w:hAnsi="宋体" w:cs="宋体"/>
          <w:color w:val="auto"/>
          <w:sz w:val="24"/>
          <w:highlight w:val="none"/>
          <w:u w:val="single"/>
          <w:lang w:val="en-US" w:eastAsia="zh-CN"/>
        </w:rPr>
        <w:t>2025</w:t>
      </w:r>
      <w:r>
        <w:rPr>
          <w:rFonts w:hint="eastAsia" w:ascii="宋体" w:hAnsi="宋体" w:eastAsia="宋体" w:cs="宋体"/>
          <w:color w:val="auto"/>
          <w:sz w:val="24"/>
          <w:highlight w:val="none"/>
          <w:lang w:bidi="ar"/>
        </w:rPr>
        <w:t>年</w:t>
      </w:r>
      <w:r>
        <w:rPr>
          <w:rFonts w:hint="eastAsia" w:ascii="宋体" w:hAnsi="宋体" w:eastAsia="宋体" w:cs="宋体"/>
          <w:color w:val="auto"/>
          <w:sz w:val="24"/>
          <w:highlight w:val="none"/>
          <w:u w:val="single"/>
          <w:lang w:val="en-US" w:eastAsia="zh-CN"/>
        </w:rPr>
        <w:t>03</w:t>
      </w:r>
      <w:r>
        <w:rPr>
          <w:rFonts w:hint="eastAsia" w:ascii="宋体" w:hAnsi="宋体" w:eastAsia="宋体" w:cs="宋体"/>
          <w:color w:val="auto"/>
          <w:sz w:val="24"/>
          <w:highlight w:val="none"/>
          <w:lang w:bidi="ar"/>
        </w:rPr>
        <w:t>月</w:t>
      </w:r>
      <w:r>
        <w:rPr>
          <w:rFonts w:hint="eastAsia" w:ascii="宋体" w:hAnsi="宋体" w:cs="宋体"/>
          <w:color w:val="auto"/>
          <w:sz w:val="24"/>
          <w:highlight w:val="none"/>
          <w:u w:val="single"/>
          <w:lang w:val="en-US" w:eastAsia="zh-CN" w:bidi="ar"/>
        </w:rPr>
        <w:t>19</w:t>
      </w:r>
      <w:r>
        <w:rPr>
          <w:rFonts w:hint="eastAsia" w:ascii="宋体" w:hAnsi="宋体" w:eastAsia="宋体" w:cs="宋体"/>
          <w:color w:val="auto"/>
          <w:sz w:val="24"/>
          <w:highlight w:val="none"/>
          <w:lang w:bidi="ar"/>
        </w:rPr>
        <w:t>日至</w:t>
      </w:r>
      <w:r>
        <w:rPr>
          <w:rFonts w:hint="eastAsia" w:ascii="宋体" w:hAnsi="宋体" w:cs="宋体"/>
          <w:color w:val="auto"/>
          <w:sz w:val="24"/>
          <w:highlight w:val="none"/>
          <w:u w:val="single"/>
          <w:lang w:val="en-US" w:eastAsia="zh-CN"/>
        </w:rPr>
        <w:t>2025</w:t>
      </w:r>
      <w:r>
        <w:rPr>
          <w:rFonts w:hint="eastAsia" w:ascii="宋体" w:hAnsi="宋体" w:eastAsia="宋体" w:cs="宋体"/>
          <w:color w:val="auto"/>
          <w:sz w:val="24"/>
          <w:highlight w:val="none"/>
          <w:lang w:bidi="ar"/>
        </w:rPr>
        <w:t>年</w:t>
      </w:r>
      <w:r>
        <w:rPr>
          <w:rFonts w:hint="eastAsia" w:ascii="宋体" w:hAnsi="宋体" w:eastAsia="宋体" w:cs="宋体"/>
          <w:color w:val="auto"/>
          <w:sz w:val="24"/>
          <w:highlight w:val="none"/>
          <w:u w:val="single"/>
          <w:lang w:val="en-US" w:eastAsia="zh-CN"/>
        </w:rPr>
        <w:t>03</w:t>
      </w:r>
      <w:r>
        <w:rPr>
          <w:rFonts w:hint="eastAsia" w:ascii="宋体" w:hAnsi="宋体" w:eastAsia="宋体" w:cs="宋体"/>
          <w:color w:val="auto"/>
          <w:sz w:val="24"/>
          <w:highlight w:val="none"/>
          <w:lang w:bidi="ar"/>
        </w:rPr>
        <w:t>月</w:t>
      </w:r>
      <w:r>
        <w:rPr>
          <w:rFonts w:hint="eastAsia" w:ascii="宋体" w:hAnsi="宋体" w:cs="宋体"/>
          <w:color w:val="auto"/>
          <w:sz w:val="24"/>
          <w:highlight w:val="none"/>
          <w:u w:val="single"/>
          <w:lang w:val="en-US" w:eastAsia="zh-CN"/>
        </w:rPr>
        <w:t>25</w:t>
      </w:r>
      <w:r>
        <w:rPr>
          <w:rFonts w:hint="eastAsia" w:ascii="宋体" w:hAnsi="宋体" w:eastAsia="宋体" w:cs="宋体"/>
          <w:color w:val="auto"/>
          <w:sz w:val="24"/>
          <w:highlight w:val="none"/>
          <w:lang w:bidi="ar"/>
        </w:rPr>
        <w:t>日，每天上午</w:t>
      </w:r>
      <w:r>
        <w:rPr>
          <w:rFonts w:hint="eastAsia" w:ascii="宋体" w:hAnsi="宋体" w:eastAsia="宋体" w:cs="宋体"/>
          <w:color w:val="auto"/>
          <w:sz w:val="24"/>
          <w:highlight w:val="none"/>
          <w:u w:val="single"/>
          <w:lang w:bidi="ar"/>
        </w:rPr>
        <w:t>09:00</w:t>
      </w:r>
      <w:r>
        <w:rPr>
          <w:rFonts w:hint="eastAsia" w:ascii="宋体" w:hAnsi="宋体" w:eastAsia="宋体" w:cs="宋体"/>
          <w:color w:val="auto"/>
          <w:sz w:val="24"/>
          <w:highlight w:val="none"/>
          <w:lang w:bidi="ar"/>
        </w:rPr>
        <w:t>至</w:t>
      </w:r>
      <w:r>
        <w:rPr>
          <w:rFonts w:hint="eastAsia" w:ascii="宋体" w:hAnsi="宋体" w:eastAsia="宋体" w:cs="宋体"/>
          <w:color w:val="auto"/>
          <w:sz w:val="24"/>
          <w:highlight w:val="none"/>
          <w:u w:val="single"/>
          <w:lang w:bidi="ar"/>
        </w:rPr>
        <w:t>12:00</w:t>
      </w:r>
      <w:r>
        <w:rPr>
          <w:rFonts w:hint="eastAsia" w:ascii="宋体" w:hAnsi="宋体" w:eastAsia="宋体" w:cs="宋体"/>
          <w:color w:val="auto"/>
          <w:sz w:val="24"/>
          <w:highlight w:val="none"/>
          <w:lang w:bidi="ar"/>
        </w:rPr>
        <w:t>，下午</w:t>
      </w:r>
      <w:r>
        <w:rPr>
          <w:rFonts w:hint="eastAsia" w:ascii="宋体" w:hAnsi="宋体" w:eastAsia="宋体" w:cs="宋体"/>
          <w:color w:val="auto"/>
          <w:sz w:val="24"/>
          <w:highlight w:val="none"/>
          <w:u w:val="single"/>
          <w:lang w:bidi="ar"/>
        </w:rPr>
        <w:t>12:00</w:t>
      </w:r>
      <w:r>
        <w:rPr>
          <w:rFonts w:hint="eastAsia" w:ascii="宋体" w:hAnsi="宋体" w:eastAsia="宋体" w:cs="宋体"/>
          <w:color w:val="auto"/>
          <w:sz w:val="24"/>
          <w:highlight w:val="none"/>
          <w:lang w:bidi="ar"/>
        </w:rPr>
        <w:t>至</w:t>
      </w:r>
      <w:r>
        <w:rPr>
          <w:rFonts w:hint="eastAsia" w:ascii="宋体" w:hAnsi="宋体" w:eastAsia="宋体" w:cs="宋体"/>
          <w:color w:val="auto"/>
          <w:sz w:val="24"/>
          <w:highlight w:val="none"/>
          <w:u w:val="single"/>
          <w:lang w:bidi="ar"/>
        </w:rPr>
        <w:t>17:00</w:t>
      </w:r>
      <w:r>
        <w:rPr>
          <w:rFonts w:hint="eastAsia" w:ascii="宋体" w:hAnsi="宋体" w:eastAsia="宋体" w:cs="宋体"/>
          <w:color w:val="auto"/>
          <w:sz w:val="24"/>
          <w:highlight w:val="none"/>
          <w:lang w:bidi="ar"/>
        </w:rPr>
        <w:t>（北京时间，法定节假日除外）。</w:t>
      </w:r>
    </w:p>
    <w:p w14:paraId="6631A938">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2.地点：北京市政府采购电子交易平台</w:t>
      </w:r>
    </w:p>
    <w:p w14:paraId="62D3EBCB">
      <w:pPr>
        <w:widowControl/>
        <w:adjustRightInd w:val="0"/>
        <w:snapToGrid w:val="0"/>
        <w:spacing w:line="360" w:lineRule="auto"/>
        <w:ind w:firstLine="480" w:firstLineChars="200"/>
        <w:jc w:val="left"/>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3.方式：供应商使用CA数字证书或电子营业执照登录北京市政府采购电子交易平台（http://zbcg-bjzc.zhongcy.com/bjczj-portal-site/index.html#/home）获取电子版竞争性磋商文件。</w:t>
      </w:r>
    </w:p>
    <w:p w14:paraId="3154E09E">
      <w:pPr>
        <w:widowControl/>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4.售价：0元。</w:t>
      </w:r>
    </w:p>
    <w:p w14:paraId="50A27E0C">
      <w:pPr>
        <w:tabs>
          <w:tab w:val="left" w:pos="900"/>
          <w:tab w:val="left" w:pos="1980"/>
        </w:tabs>
        <w:snapToGrid w:val="0"/>
        <w:spacing w:line="360" w:lineRule="auto"/>
        <w:ind w:left="840"/>
        <w:rPr>
          <w:rFonts w:hint="eastAsia" w:ascii="宋体" w:hAnsi="宋体" w:eastAsia="宋体" w:cs="宋体"/>
          <w:color w:val="auto"/>
          <w:sz w:val="24"/>
          <w:highlight w:val="none"/>
        </w:rPr>
      </w:pPr>
    </w:p>
    <w:p w14:paraId="7F6DF1D7">
      <w:pPr>
        <w:pStyle w:val="4"/>
        <w:widowControl/>
        <w:spacing w:before="0" w:line="360" w:lineRule="auto"/>
        <w:jc w:val="left"/>
        <w:rPr>
          <w:rFonts w:hint="eastAsia" w:ascii="宋体" w:hAnsi="宋体" w:eastAsia="宋体" w:cs="宋体"/>
          <w:color w:val="auto"/>
          <w:sz w:val="24"/>
          <w:szCs w:val="24"/>
          <w:highlight w:val="none"/>
        </w:rPr>
      </w:pPr>
      <w:bookmarkStart w:id="16" w:name="_Toc28359005"/>
      <w:bookmarkStart w:id="17" w:name="_Toc35393624"/>
      <w:bookmarkStart w:id="18" w:name="_Toc35393793"/>
      <w:bookmarkStart w:id="19" w:name="_Toc28359082"/>
      <w:r>
        <w:rPr>
          <w:rFonts w:hint="eastAsia" w:ascii="宋体" w:hAnsi="宋体" w:eastAsia="宋体" w:cs="宋体"/>
          <w:color w:val="auto"/>
          <w:sz w:val="24"/>
          <w:szCs w:val="24"/>
          <w:highlight w:val="none"/>
        </w:rPr>
        <w:t>四、</w:t>
      </w:r>
      <w:bookmarkEnd w:id="16"/>
      <w:bookmarkEnd w:id="17"/>
      <w:bookmarkEnd w:id="18"/>
      <w:bookmarkEnd w:id="19"/>
      <w:r>
        <w:rPr>
          <w:rFonts w:hint="eastAsia" w:ascii="宋体" w:hAnsi="宋体" w:eastAsia="宋体" w:cs="宋体"/>
          <w:color w:val="auto"/>
          <w:sz w:val="24"/>
          <w:szCs w:val="24"/>
          <w:highlight w:val="none"/>
        </w:rPr>
        <w:t>响应文件提交</w:t>
      </w:r>
    </w:p>
    <w:p w14:paraId="4D011D0D">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lang w:bidi="ar"/>
        </w:rPr>
        <w:t>截止时间：</w:t>
      </w:r>
      <w:r>
        <w:rPr>
          <w:rFonts w:hint="eastAsia" w:ascii="宋体" w:hAnsi="宋体" w:cs="宋体"/>
          <w:color w:val="auto"/>
          <w:sz w:val="24"/>
          <w:highlight w:val="none"/>
          <w:u w:val="single"/>
          <w:lang w:val="en-US" w:eastAsia="zh-CN"/>
        </w:rPr>
        <w:t>2025</w:t>
      </w:r>
      <w:r>
        <w:rPr>
          <w:rFonts w:hint="eastAsia" w:ascii="宋体" w:hAnsi="宋体" w:eastAsia="宋体" w:cs="宋体"/>
          <w:color w:val="auto"/>
          <w:sz w:val="24"/>
          <w:highlight w:val="none"/>
          <w:lang w:bidi="ar"/>
        </w:rPr>
        <w:t>年</w:t>
      </w:r>
      <w:r>
        <w:rPr>
          <w:rFonts w:hint="eastAsia" w:ascii="宋体" w:hAnsi="宋体" w:eastAsia="宋体" w:cs="宋体"/>
          <w:color w:val="auto"/>
          <w:sz w:val="24"/>
          <w:highlight w:val="none"/>
          <w:u w:val="single"/>
          <w:lang w:val="en-US" w:eastAsia="zh-CN"/>
        </w:rPr>
        <w:t>03</w:t>
      </w:r>
      <w:r>
        <w:rPr>
          <w:rFonts w:hint="eastAsia" w:ascii="宋体" w:hAnsi="宋体" w:eastAsia="宋体" w:cs="宋体"/>
          <w:color w:val="auto"/>
          <w:sz w:val="24"/>
          <w:highlight w:val="none"/>
          <w:lang w:bidi="ar"/>
        </w:rPr>
        <w:t>月</w:t>
      </w:r>
      <w:r>
        <w:rPr>
          <w:rFonts w:hint="eastAsia" w:ascii="宋体" w:hAnsi="宋体" w:cs="宋体"/>
          <w:color w:val="auto"/>
          <w:sz w:val="24"/>
          <w:highlight w:val="none"/>
          <w:u w:val="single"/>
          <w:lang w:val="en-US" w:eastAsia="zh-CN"/>
        </w:rPr>
        <w:t>31</w:t>
      </w:r>
      <w:r>
        <w:rPr>
          <w:rFonts w:hint="eastAsia" w:ascii="宋体" w:hAnsi="宋体" w:eastAsia="宋体" w:cs="宋体"/>
          <w:color w:val="auto"/>
          <w:sz w:val="24"/>
          <w:highlight w:val="none"/>
          <w:lang w:bidi="ar"/>
        </w:rPr>
        <w:t>日</w:t>
      </w:r>
      <w:r>
        <w:rPr>
          <w:rFonts w:hint="eastAsia" w:ascii="宋体" w:hAnsi="宋体" w:eastAsia="宋体" w:cs="宋体"/>
          <w:color w:val="auto"/>
          <w:sz w:val="24"/>
          <w:highlight w:val="none"/>
          <w:u w:val="single"/>
          <w:lang w:val="en-US" w:eastAsia="zh-CN"/>
        </w:rPr>
        <w:t>09</w:t>
      </w:r>
      <w:r>
        <w:rPr>
          <w:rFonts w:hint="eastAsia" w:ascii="宋体" w:hAnsi="宋体" w:eastAsia="宋体" w:cs="宋体"/>
          <w:color w:val="auto"/>
          <w:sz w:val="24"/>
          <w:highlight w:val="none"/>
          <w:lang w:bidi="ar"/>
        </w:rPr>
        <w:t>点</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lang w:bidi="ar"/>
        </w:rPr>
        <w:t>分</w:t>
      </w:r>
      <w:r>
        <w:rPr>
          <w:rFonts w:hint="eastAsia" w:ascii="宋体" w:hAnsi="宋体" w:eastAsia="宋体" w:cs="宋体"/>
          <w:bCs/>
          <w:color w:val="auto"/>
          <w:sz w:val="24"/>
          <w:highlight w:val="none"/>
          <w:lang w:bidi="ar"/>
        </w:rPr>
        <w:t>（北京时间）</w:t>
      </w:r>
      <w:r>
        <w:rPr>
          <w:rFonts w:hint="eastAsia" w:ascii="宋体" w:hAnsi="宋体" w:eastAsia="宋体" w:cs="宋体"/>
          <w:iCs/>
          <w:color w:val="auto"/>
          <w:sz w:val="24"/>
          <w:highlight w:val="none"/>
          <w:lang w:bidi="ar"/>
        </w:rPr>
        <w:t>。</w:t>
      </w:r>
    </w:p>
    <w:p w14:paraId="1E82677E">
      <w:pPr>
        <w:spacing w:line="360" w:lineRule="auto"/>
        <w:ind w:firstLine="480" w:firstLineChars="200"/>
        <w:rPr>
          <w:rFonts w:hint="eastAsia" w:ascii="宋体" w:hAnsi="宋体" w:eastAsia="宋体" w:cs="宋体"/>
          <w:color w:val="auto"/>
          <w:sz w:val="24"/>
          <w:highlight w:val="none"/>
          <w:lang w:val="zh-TW" w:bidi="ar"/>
        </w:rPr>
      </w:pPr>
      <w:r>
        <w:rPr>
          <w:rFonts w:hint="eastAsia" w:ascii="宋体" w:hAnsi="宋体" w:eastAsia="宋体" w:cs="宋体"/>
          <w:color w:val="auto"/>
          <w:sz w:val="24"/>
          <w:highlight w:val="none"/>
          <w:lang w:bidi="ar"/>
        </w:rPr>
        <w:t>地点：</w:t>
      </w:r>
      <w:r>
        <w:rPr>
          <w:rFonts w:hint="eastAsia" w:ascii="宋体" w:hAnsi="宋体" w:eastAsia="宋体" w:cs="宋体"/>
          <w:color w:val="auto"/>
          <w:sz w:val="24"/>
          <w:highlight w:val="none"/>
          <w:u w:val="single"/>
          <w:lang w:bidi="ar"/>
        </w:rPr>
        <w:t>北京市顺义区复兴东街3号院顺义区政务服务中心6号电梯厅二层</w:t>
      </w:r>
      <w:r>
        <w:rPr>
          <w:rFonts w:hint="eastAsia" w:ascii="宋体" w:hAnsi="宋体" w:eastAsia="宋体" w:cs="宋体"/>
          <w:color w:val="auto"/>
          <w:sz w:val="24"/>
          <w:highlight w:val="none"/>
          <w:u w:val="single"/>
          <w:lang w:val="en-US" w:eastAsia="zh-CN" w:bidi="ar"/>
        </w:rPr>
        <w:t>竞标室</w:t>
      </w:r>
      <w:r>
        <w:rPr>
          <w:rFonts w:hint="eastAsia" w:ascii="宋体" w:hAnsi="宋体" w:eastAsia="宋体" w:cs="宋体"/>
          <w:color w:val="auto"/>
          <w:sz w:val="24"/>
          <w:highlight w:val="none"/>
          <w:u w:val="single"/>
          <w:lang w:bidi="ar"/>
        </w:rPr>
        <w:t>（具体标室号开标当天见一层大屏幕）</w:t>
      </w:r>
      <w:r>
        <w:rPr>
          <w:rFonts w:hint="eastAsia" w:ascii="宋体" w:hAnsi="宋体" w:eastAsia="宋体" w:cs="宋体"/>
          <w:color w:val="auto"/>
          <w:sz w:val="24"/>
          <w:highlight w:val="none"/>
          <w:lang w:val="zh-TW" w:bidi="ar"/>
        </w:rPr>
        <w:t>。</w:t>
      </w:r>
    </w:p>
    <w:p w14:paraId="45C473B9">
      <w:pPr>
        <w:spacing w:line="360" w:lineRule="auto"/>
        <w:ind w:firstLine="480" w:firstLineChars="200"/>
        <w:rPr>
          <w:rFonts w:hint="eastAsia" w:ascii="宋体" w:hAnsi="宋体" w:eastAsia="宋体" w:cs="宋体"/>
          <w:color w:val="auto"/>
          <w:sz w:val="24"/>
          <w:highlight w:val="none"/>
          <w:lang w:val="zh-TW" w:bidi="ar"/>
        </w:rPr>
      </w:pPr>
    </w:p>
    <w:p w14:paraId="24476EEF">
      <w:pPr>
        <w:pStyle w:val="4"/>
        <w:spacing w:before="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五、开启</w:t>
      </w:r>
    </w:p>
    <w:p w14:paraId="3D339175">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lang w:bidi="ar"/>
        </w:rPr>
        <w:t>时间：</w:t>
      </w:r>
      <w:r>
        <w:rPr>
          <w:rFonts w:hint="eastAsia" w:ascii="宋体" w:hAnsi="宋体" w:cs="宋体"/>
          <w:color w:val="auto"/>
          <w:sz w:val="24"/>
          <w:highlight w:val="none"/>
          <w:u w:val="single"/>
          <w:lang w:val="en-US" w:eastAsia="zh-CN"/>
        </w:rPr>
        <w:t>2025</w:t>
      </w:r>
      <w:r>
        <w:rPr>
          <w:rFonts w:hint="eastAsia" w:ascii="宋体" w:hAnsi="宋体" w:eastAsia="宋体" w:cs="宋体"/>
          <w:color w:val="auto"/>
          <w:sz w:val="24"/>
          <w:highlight w:val="none"/>
          <w:lang w:bidi="ar"/>
        </w:rPr>
        <w:t>年</w:t>
      </w:r>
      <w:r>
        <w:rPr>
          <w:rFonts w:hint="eastAsia" w:ascii="宋体" w:hAnsi="宋体" w:eastAsia="宋体" w:cs="宋体"/>
          <w:color w:val="auto"/>
          <w:sz w:val="24"/>
          <w:highlight w:val="none"/>
          <w:u w:val="single"/>
          <w:lang w:val="en-US" w:eastAsia="zh-CN"/>
        </w:rPr>
        <w:t>03</w:t>
      </w:r>
      <w:r>
        <w:rPr>
          <w:rFonts w:hint="eastAsia" w:ascii="宋体" w:hAnsi="宋体" w:eastAsia="宋体" w:cs="宋体"/>
          <w:color w:val="auto"/>
          <w:sz w:val="24"/>
          <w:highlight w:val="none"/>
          <w:lang w:bidi="ar"/>
        </w:rPr>
        <w:t>月</w:t>
      </w:r>
      <w:r>
        <w:rPr>
          <w:rFonts w:hint="eastAsia" w:ascii="宋体" w:hAnsi="宋体" w:cs="宋体"/>
          <w:color w:val="auto"/>
          <w:sz w:val="24"/>
          <w:highlight w:val="none"/>
          <w:u w:val="single"/>
          <w:lang w:val="en-US" w:eastAsia="zh-CN"/>
        </w:rPr>
        <w:t>31</w:t>
      </w:r>
      <w:r>
        <w:rPr>
          <w:rFonts w:hint="eastAsia" w:ascii="宋体" w:hAnsi="宋体" w:eastAsia="宋体" w:cs="宋体"/>
          <w:color w:val="auto"/>
          <w:sz w:val="24"/>
          <w:highlight w:val="none"/>
          <w:lang w:bidi="ar"/>
        </w:rPr>
        <w:t>日</w:t>
      </w:r>
      <w:r>
        <w:rPr>
          <w:rFonts w:hint="eastAsia" w:ascii="宋体" w:hAnsi="宋体" w:eastAsia="宋体" w:cs="宋体"/>
          <w:color w:val="auto"/>
          <w:sz w:val="24"/>
          <w:highlight w:val="none"/>
          <w:u w:val="single"/>
          <w:lang w:val="en-US" w:eastAsia="zh-CN"/>
        </w:rPr>
        <w:t>09</w:t>
      </w:r>
      <w:r>
        <w:rPr>
          <w:rFonts w:hint="eastAsia" w:ascii="宋体" w:hAnsi="宋体" w:eastAsia="宋体" w:cs="宋体"/>
          <w:color w:val="auto"/>
          <w:sz w:val="24"/>
          <w:highlight w:val="none"/>
          <w:lang w:bidi="ar"/>
        </w:rPr>
        <w:t>点</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lang w:bidi="ar"/>
        </w:rPr>
        <w:t>分</w:t>
      </w:r>
      <w:r>
        <w:rPr>
          <w:rFonts w:hint="eastAsia" w:ascii="宋体" w:hAnsi="宋体" w:eastAsia="宋体" w:cs="宋体"/>
          <w:bCs/>
          <w:color w:val="auto"/>
          <w:sz w:val="24"/>
          <w:highlight w:val="none"/>
          <w:lang w:bidi="ar"/>
        </w:rPr>
        <w:t>（北京时间）</w:t>
      </w:r>
      <w:r>
        <w:rPr>
          <w:rFonts w:hint="eastAsia" w:ascii="宋体" w:hAnsi="宋体" w:eastAsia="宋体" w:cs="宋体"/>
          <w:iCs/>
          <w:color w:val="auto"/>
          <w:sz w:val="24"/>
          <w:highlight w:val="none"/>
          <w:lang w:bidi="ar"/>
        </w:rPr>
        <w:t>。</w:t>
      </w:r>
    </w:p>
    <w:p w14:paraId="6675D143">
      <w:pPr>
        <w:spacing w:line="360" w:lineRule="auto"/>
        <w:ind w:firstLine="480" w:firstLineChars="200"/>
        <w:rPr>
          <w:rFonts w:hint="eastAsia" w:ascii="宋体" w:hAnsi="宋体" w:eastAsia="宋体" w:cs="宋体"/>
          <w:color w:val="auto"/>
          <w:sz w:val="24"/>
          <w:highlight w:val="none"/>
          <w:lang w:val="zh-TW" w:bidi="ar"/>
        </w:rPr>
      </w:pPr>
      <w:r>
        <w:rPr>
          <w:rFonts w:hint="eastAsia" w:ascii="宋体" w:hAnsi="宋体" w:eastAsia="宋体" w:cs="宋体"/>
          <w:color w:val="auto"/>
          <w:sz w:val="24"/>
          <w:highlight w:val="none"/>
          <w:lang w:bidi="ar"/>
        </w:rPr>
        <w:t>地点：</w:t>
      </w:r>
      <w:r>
        <w:rPr>
          <w:rFonts w:hint="eastAsia" w:ascii="宋体" w:hAnsi="宋体" w:eastAsia="宋体" w:cs="宋体"/>
          <w:color w:val="auto"/>
          <w:sz w:val="24"/>
          <w:highlight w:val="none"/>
          <w:u w:val="single"/>
          <w:lang w:bidi="ar"/>
        </w:rPr>
        <w:t>北京市顺义区复兴东街3号院顺义区政务服务中心6号电梯厅二层</w:t>
      </w:r>
      <w:r>
        <w:rPr>
          <w:rFonts w:hint="eastAsia" w:ascii="宋体" w:hAnsi="宋体" w:eastAsia="宋体" w:cs="宋体"/>
          <w:color w:val="auto"/>
          <w:sz w:val="24"/>
          <w:highlight w:val="none"/>
          <w:u w:val="single"/>
          <w:lang w:val="en-US" w:eastAsia="zh-CN" w:bidi="ar"/>
        </w:rPr>
        <w:t>竞标室</w:t>
      </w:r>
      <w:r>
        <w:rPr>
          <w:rFonts w:hint="eastAsia" w:ascii="宋体" w:hAnsi="宋体" w:eastAsia="宋体" w:cs="宋体"/>
          <w:color w:val="auto"/>
          <w:sz w:val="24"/>
          <w:highlight w:val="none"/>
          <w:u w:val="single"/>
          <w:lang w:bidi="ar"/>
        </w:rPr>
        <w:t>（具体标室号开标当天见一层大屏幕）</w:t>
      </w:r>
      <w:r>
        <w:rPr>
          <w:rFonts w:hint="eastAsia" w:ascii="宋体" w:hAnsi="宋体" w:eastAsia="宋体" w:cs="宋体"/>
          <w:color w:val="auto"/>
          <w:sz w:val="24"/>
          <w:highlight w:val="none"/>
          <w:lang w:val="zh-TW" w:bidi="ar"/>
        </w:rPr>
        <w:t>。</w:t>
      </w:r>
    </w:p>
    <w:p w14:paraId="0B606EEF">
      <w:pPr>
        <w:spacing w:line="360" w:lineRule="auto"/>
        <w:ind w:firstLine="480" w:firstLineChars="200"/>
        <w:rPr>
          <w:rFonts w:hint="eastAsia" w:ascii="宋体" w:hAnsi="宋体" w:eastAsia="宋体" w:cs="宋体"/>
          <w:bCs/>
          <w:color w:val="auto"/>
          <w:sz w:val="24"/>
          <w:highlight w:val="none"/>
          <w:u w:val="single"/>
        </w:rPr>
      </w:pPr>
    </w:p>
    <w:p w14:paraId="3D0E1240">
      <w:pPr>
        <w:pStyle w:val="4"/>
        <w:spacing w:before="0" w:line="360" w:lineRule="auto"/>
        <w:jc w:val="left"/>
        <w:rPr>
          <w:rFonts w:hint="eastAsia" w:ascii="宋体" w:hAnsi="宋体" w:eastAsia="宋体" w:cs="宋体"/>
          <w:color w:val="auto"/>
          <w:sz w:val="24"/>
          <w:szCs w:val="24"/>
          <w:highlight w:val="none"/>
        </w:rPr>
      </w:pPr>
      <w:bookmarkStart w:id="20" w:name="_Toc28359007"/>
      <w:bookmarkStart w:id="21" w:name="_Toc28359084"/>
      <w:bookmarkStart w:id="22" w:name="_Toc35393625"/>
      <w:bookmarkStart w:id="23" w:name="_Toc35393794"/>
      <w:r>
        <w:rPr>
          <w:rFonts w:hint="eastAsia" w:ascii="宋体" w:hAnsi="宋体" w:eastAsia="宋体" w:cs="宋体"/>
          <w:color w:val="auto"/>
          <w:sz w:val="24"/>
          <w:szCs w:val="24"/>
          <w:highlight w:val="none"/>
        </w:rPr>
        <w:t>六、公告期限</w:t>
      </w:r>
      <w:bookmarkEnd w:id="20"/>
      <w:bookmarkEnd w:id="21"/>
      <w:bookmarkEnd w:id="22"/>
      <w:bookmarkEnd w:id="23"/>
    </w:p>
    <w:p w14:paraId="5AD3719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自本公告发布之日起3个工作日。</w:t>
      </w:r>
    </w:p>
    <w:p w14:paraId="24684D6A">
      <w:pPr>
        <w:pStyle w:val="4"/>
        <w:spacing w:before="0" w:line="360" w:lineRule="auto"/>
        <w:jc w:val="left"/>
        <w:rPr>
          <w:rFonts w:hint="eastAsia" w:ascii="宋体" w:hAnsi="宋体" w:eastAsia="宋体" w:cs="宋体"/>
          <w:color w:val="auto"/>
          <w:sz w:val="24"/>
          <w:szCs w:val="24"/>
          <w:highlight w:val="none"/>
        </w:rPr>
      </w:pPr>
      <w:bookmarkStart w:id="24" w:name="_Toc35393626"/>
      <w:bookmarkStart w:id="25" w:name="_Toc35393795"/>
      <w:r>
        <w:rPr>
          <w:rFonts w:hint="eastAsia" w:ascii="宋体" w:hAnsi="宋体" w:eastAsia="宋体" w:cs="宋体"/>
          <w:color w:val="auto"/>
          <w:sz w:val="24"/>
          <w:szCs w:val="24"/>
          <w:highlight w:val="none"/>
        </w:rPr>
        <w:t>七、其他补充事宜</w:t>
      </w:r>
      <w:bookmarkEnd w:id="24"/>
      <w:bookmarkEnd w:id="25"/>
    </w:p>
    <w:p w14:paraId="4CE33D8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1本项目需要落实的政府采购政策：</w:t>
      </w:r>
    </w:p>
    <w:p w14:paraId="19AA143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（1）《中华人民共和国政府采购法》（主席令第 68 号）；</w:t>
      </w:r>
    </w:p>
    <w:p w14:paraId="154C083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《中华人民共和国政府采购法实施条例》（中华人民共和国国务院令第 658 号）；</w:t>
      </w:r>
    </w:p>
    <w:p w14:paraId="4A03D64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（3）《政府采购竞争性磋商采购方式管理办法》-财库[2014]214号；</w:t>
      </w:r>
    </w:p>
    <w:p w14:paraId="6516D32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（4）《财政部关于政府采购竞争性磋商采购方式管理暂行办法有关问题的补充通知》-财库[2015]124 号；</w:t>
      </w:r>
    </w:p>
    <w:p w14:paraId="4DB25B9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（5）《政府采购促进中小企业发展管理办法》－财库［2020］46号；</w:t>
      </w:r>
    </w:p>
    <w:p w14:paraId="7D45942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（6）《财政部关于在政府采购活动中查询及使用信用记录有关问题的通知》-财办库[2016]125 号。  </w:t>
      </w:r>
    </w:p>
    <w:p w14:paraId="40C411B5">
      <w:pPr>
        <w:widowControl/>
        <w:adjustRightInd w:val="0"/>
        <w:snapToGrid w:val="0"/>
        <w:spacing w:line="360" w:lineRule="auto"/>
        <w:ind w:firstLine="480" w:firstLineChars="200"/>
        <w:jc w:val="left"/>
        <w:rPr>
          <w:rFonts w:hint="eastAsia" w:ascii="宋体" w:hAnsi="宋体" w:eastAsia="宋体" w:cs="宋体"/>
          <w:bCs/>
          <w:color w:val="auto"/>
          <w:sz w:val="24"/>
          <w:highlight w:val="none"/>
          <w:lang w:bidi="ar"/>
        </w:rPr>
      </w:pPr>
      <w:r>
        <w:rPr>
          <w:rFonts w:hint="eastAsia" w:ascii="宋体" w:hAnsi="宋体" w:eastAsia="宋体" w:cs="宋体"/>
          <w:color w:val="auto"/>
          <w:sz w:val="24"/>
          <w:highlight w:val="none"/>
          <w:lang w:val="en-US" w:eastAsia="zh-CN" w:bidi="ar"/>
        </w:rPr>
        <w:t>2</w:t>
      </w:r>
      <w:r>
        <w:rPr>
          <w:rFonts w:hint="eastAsia" w:ascii="宋体" w:hAnsi="宋体" w:eastAsia="宋体" w:cs="宋体"/>
          <w:color w:val="auto"/>
          <w:sz w:val="24"/>
          <w:highlight w:val="none"/>
          <w:lang w:bidi="ar"/>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w:t>
      </w:r>
      <w:r>
        <w:rPr>
          <w:rFonts w:hint="eastAsia" w:ascii="宋体" w:hAnsi="宋体" w:eastAsia="宋体" w:cs="宋体"/>
          <w:bCs/>
          <w:color w:val="auto"/>
          <w:sz w:val="24"/>
          <w:highlight w:val="none"/>
          <w:lang w:bidi="ar"/>
        </w:rPr>
        <w:t>CA数字证书</w:t>
      </w:r>
      <w:r>
        <w:rPr>
          <w:rFonts w:hint="eastAsia" w:ascii="宋体" w:hAnsi="宋体" w:eastAsia="宋体" w:cs="宋体"/>
          <w:color w:val="auto"/>
          <w:sz w:val="24"/>
          <w:highlight w:val="none"/>
          <w:lang w:bidi="ar"/>
        </w:rPr>
        <w:t>或电子营业执照</w:t>
      </w:r>
      <w:r>
        <w:rPr>
          <w:rFonts w:hint="eastAsia" w:ascii="宋体" w:hAnsi="宋体" w:eastAsia="宋体" w:cs="宋体"/>
          <w:bCs/>
          <w:color w:val="auto"/>
          <w:sz w:val="24"/>
          <w:highlight w:val="none"/>
          <w:lang w:bidi="ar"/>
        </w:rPr>
        <w:t>情况确认是否符合本项目电子化采购流程要求。</w:t>
      </w:r>
    </w:p>
    <w:p w14:paraId="15F7111B">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CA数字证书服务热线 010-58511086</w:t>
      </w:r>
    </w:p>
    <w:p w14:paraId="23027C2C">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电子营业执照服务热线 400-699-7000</w:t>
      </w:r>
    </w:p>
    <w:p w14:paraId="27847C5D">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 xml:space="preserve">技术支持服务热线    010-86483801    </w:t>
      </w:r>
    </w:p>
    <w:p w14:paraId="61A2AA4D">
      <w:pPr>
        <w:widowControl/>
        <w:adjustRightInd w:val="0"/>
        <w:snapToGrid w:val="0"/>
        <w:spacing w:line="360" w:lineRule="auto"/>
        <w:ind w:firstLine="480" w:firstLineChars="200"/>
        <w:jc w:val="left"/>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val="en-US" w:eastAsia="zh-CN" w:bidi="ar"/>
        </w:rPr>
        <w:t>2</w:t>
      </w:r>
      <w:r>
        <w:rPr>
          <w:rFonts w:hint="eastAsia" w:ascii="宋体" w:hAnsi="宋体" w:eastAsia="宋体" w:cs="宋体"/>
          <w:color w:val="auto"/>
          <w:sz w:val="24"/>
          <w:highlight w:val="none"/>
          <w:lang w:bidi="ar"/>
        </w:rPr>
        <w:t>.1办理CA数字证书或电子营业执照</w:t>
      </w:r>
    </w:p>
    <w:p w14:paraId="755DB070">
      <w:pPr>
        <w:widowControl/>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供应商登录北京市政府采购电子交易平台查阅 “用户指南”—“操作指南”—“市场主体CA办理操作流程指引” /“电子营业执照使用指南”，按照程序要求办理。</w:t>
      </w:r>
    </w:p>
    <w:p w14:paraId="22482F02">
      <w:pPr>
        <w:adjustRightInd w:val="0"/>
        <w:snapToGrid w:val="0"/>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val="en-US" w:eastAsia="zh-CN" w:bidi="ar"/>
        </w:rPr>
        <w:t>2</w:t>
      </w:r>
      <w:r>
        <w:rPr>
          <w:rFonts w:hint="eastAsia" w:ascii="宋体" w:hAnsi="宋体" w:eastAsia="宋体" w:cs="宋体"/>
          <w:color w:val="auto"/>
          <w:sz w:val="24"/>
          <w:highlight w:val="none"/>
          <w:lang w:bidi="ar"/>
        </w:rPr>
        <w:t>.2注册</w:t>
      </w:r>
    </w:p>
    <w:p w14:paraId="148F1F0C">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供应商登录北京市政府采购电子交易平台“用户指南”—“操作指南”—“市场主体注册入库操作流程指引”进行自助注册绑定。</w:t>
      </w:r>
    </w:p>
    <w:p w14:paraId="1E72522B">
      <w:pPr>
        <w:widowControl/>
        <w:adjustRightInd w:val="0"/>
        <w:snapToGrid w:val="0"/>
        <w:spacing w:line="360" w:lineRule="auto"/>
        <w:ind w:firstLine="480" w:firstLineChars="200"/>
        <w:jc w:val="left"/>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val="en-US" w:eastAsia="zh-CN" w:bidi="ar"/>
        </w:rPr>
        <w:t>2</w:t>
      </w:r>
      <w:r>
        <w:rPr>
          <w:rFonts w:hint="eastAsia" w:ascii="宋体" w:hAnsi="宋体" w:eastAsia="宋体" w:cs="宋体"/>
          <w:color w:val="auto"/>
          <w:sz w:val="24"/>
          <w:highlight w:val="none"/>
          <w:lang w:bidi="ar"/>
        </w:rPr>
        <w:t>.3驱动、客户端下载</w:t>
      </w:r>
    </w:p>
    <w:p w14:paraId="0F601577">
      <w:pPr>
        <w:widowControl/>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供应商登录北京市政府采购电子交易平台“用户指南”—“工具下载”—“招标采购系统文件驱动安装包”下载相关驱动。</w:t>
      </w:r>
    </w:p>
    <w:p w14:paraId="10F587A8">
      <w:pPr>
        <w:adjustRightInd w:val="0"/>
        <w:snapToGrid w:val="0"/>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供应商登录北京市政府采购电子交易平台“用户指南”—“工具下载”—“投标文件编制工具”下载相关客户端。</w:t>
      </w:r>
    </w:p>
    <w:p w14:paraId="19ED1485">
      <w:pPr>
        <w:adjustRightInd w:val="0"/>
        <w:snapToGrid w:val="0"/>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val="en-US" w:eastAsia="zh-CN" w:bidi="ar"/>
        </w:rPr>
        <w:t>2</w:t>
      </w:r>
      <w:r>
        <w:rPr>
          <w:rFonts w:hint="eastAsia" w:ascii="宋体" w:hAnsi="宋体" w:eastAsia="宋体" w:cs="宋体"/>
          <w:color w:val="auto"/>
          <w:sz w:val="24"/>
          <w:highlight w:val="none"/>
          <w:lang w:bidi="ar"/>
        </w:rPr>
        <w:t>.4 获取电子竞争性磋商文件</w:t>
      </w:r>
    </w:p>
    <w:p w14:paraId="1C2F6F51">
      <w:pPr>
        <w:adjustRightInd w:val="0"/>
        <w:snapToGrid w:val="0"/>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供应商使用CA数字证书或电子营业执照登录北京市政府采购电子交易平台获取电子竞争性磋商文件。</w:t>
      </w:r>
    </w:p>
    <w:p w14:paraId="01F039A6">
      <w:pPr>
        <w:adjustRightInd w:val="0"/>
        <w:snapToGrid w:val="0"/>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w:t>
      </w:r>
    </w:p>
    <w:p w14:paraId="385E4874">
      <w:pPr>
        <w:adjustRightInd w:val="0"/>
        <w:snapToGrid w:val="0"/>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val="en-US" w:eastAsia="zh-CN" w:bidi="ar"/>
        </w:rPr>
        <w:t>2</w:t>
      </w:r>
      <w:r>
        <w:rPr>
          <w:rFonts w:hint="eastAsia" w:ascii="宋体" w:hAnsi="宋体" w:eastAsia="宋体" w:cs="宋体"/>
          <w:color w:val="auto"/>
          <w:sz w:val="24"/>
          <w:highlight w:val="none"/>
          <w:lang w:bidi="ar"/>
        </w:rPr>
        <w:t>.5编制电子响应文件</w:t>
      </w:r>
    </w:p>
    <w:p w14:paraId="7418E1A9">
      <w:pPr>
        <w:adjustRightInd w:val="0"/>
        <w:snapToGrid w:val="0"/>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供应商应使用电子投标客户端编制电子响应文件并进行线上响应，供应商电子响应文件需要加密并加盖电子签章</w:t>
      </w:r>
      <w:r>
        <w:rPr>
          <w:rFonts w:hint="eastAsia" w:ascii="宋体" w:hAnsi="宋体" w:eastAsia="宋体" w:cs="宋体"/>
          <w:bCs/>
          <w:color w:val="auto"/>
          <w:sz w:val="24"/>
          <w:highlight w:val="none"/>
          <w:lang w:bidi="ar"/>
        </w:rPr>
        <w:t>，如无法按照要求在电子响应文件中加盖电子签章和加密，请及时通过技术支持服务热线联系技术人员</w:t>
      </w:r>
      <w:r>
        <w:rPr>
          <w:rFonts w:hint="eastAsia" w:ascii="宋体" w:hAnsi="宋体" w:eastAsia="宋体" w:cs="宋体"/>
          <w:color w:val="auto"/>
          <w:sz w:val="24"/>
          <w:highlight w:val="none"/>
          <w:lang w:bidi="ar"/>
        </w:rPr>
        <w:t>。</w:t>
      </w:r>
    </w:p>
    <w:p w14:paraId="1637A211">
      <w:pPr>
        <w:widowControl/>
        <w:spacing w:line="360" w:lineRule="auto"/>
        <w:ind w:firstLine="480" w:firstLineChars="200"/>
        <w:jc w:val="left"/>
        <w:rPr>
          <w:rFonts w:hint="eastAsia" w:ascii="宋体" w:hAnsi="宋体" w:eastAsia="宋体" w:cs="宋体"/>
          <w:color w:val="auto"/>
          <w:sz w:val="24"/>
          <w:highlight w:val="none"/>
          <w:lang w:val="zh-TW" w:bidi="ar"/>
        </w:rPr>
      </w:pPr>
      <w:r>
        <w:rPr>
          <w:rFonts w:hint="eastAsia" w:ascii="宋体" w:hAnsi="宋体" w:eastAsia="宋体" w:cs="宋体"/>
          <w:color w:val="auto"/>
          <w:sz w:val="24"/>
          <w:highlight w:val="none"/>
          <w:lang w:val="en-US" w:eastAsia="zh-CN" w:bidi="ar"/>
        </w:rPr>
        <w:t>2</w:t>
      </w:r>
      <w:r>
        <w:rPr>
          <w:rFonts w:hint="eastAsia" w:ascii="宋体" w:hAnsi="宋体" w:eastAsia="宋体" w:cs="宋体"/>
          <w:color w:val="auto"/>
          <w:sz w:val="24"/>
          <w:highlight w:val="none"/>
          <w:lang w:val="zh-TW" w:eastAsia="zh-TW" w:bidi="ar"/>
        </w:rPr>
        <w:t>.6</w:t>
      </w:r>
      <w:r>
        <w:rPr>
          <w:rFonts w:hint="eastAsia" w:ascii="宋体" w:hAnsi="宋体" w:eastAsia="宋体" w:cs="宋体"/>
          <w:color w:val="auto"/>
          <w:sz w:val="24"/>
          <w:highlight w:val="none"/>
          <w:lang w:val="zh-TW" w:bidi="ar"/>
        </w:rPr>
        <w:t>提交电子响应文件</w:t>
      </w:r>
    </w:p>
    <w:p w14:paraId="651D2B49">
      <w:pPr>
        <w:widowControl/>
        <w:spacing w:line="360" w:lineRule="auto"/>
        <w:ind w:firstLine="480" w:firstLineChars="200"/>
        <w:jc w:val="left"/>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供应商应于</w:t>
      </w:r>
      <w:r>
        <w:rPr>
          <w:rFonts w:hint="eastAsia" w:ascii="宋体" w:hAnsi="宋体" w:eastAsia="宋体" w:cs="宋体"/>
          <w:color w:val="auto"/>
          <w:sz w:val="24"/>
          <w:highlight w:val="none"/>
        </w:rPr>
        <w:t>响应文件提交</w:t>
      </w:r>
      <w:r>
        <w:rPr>
          <w:rFonts w:hint="eastAsia" w:ascii="宋体" w:hAnsi="宋体" w:eastAsia="宋体" w:cs="宋体"/>
          <w:color w:val="auto"/>
          <w:sz w:val="24"/>
          <w:highlight w:val="none"/>
          <w:lang w:bidi="ar"/>
        </w:rPr>
        <w:t>截止时间前在平台提交电子响应文件，上传电子响应文件过程中请保持与互联网的连接畅通。</w:t>
      </w:r>
    </w:p>
    <w:p w14:paraId="65B834BD">
      <w:pPr>
        <w:spacing w:line="360" w:lineRule="auto"/>
        <w:ind w:firstLine="480" w:firstLineChars="200"/>
        <w:rPr>
          <w:rFonts w:hint="eastAsia" w:ascii="宋体" w:hAnsi="宋体" w:eastAsia="宋体" w:cs="宋体"/>
          <w:color w:val="auto"/>
          <w:sz w:val="24"/>
          <w:highlight w:val="none"/>
          <w:lang w:eastAsia="zh-TW"/>
        </w:rPr>
      </w:pPr>
      <w:r>
        <w:rPr>
          <w:rFonts w:hint="eastAsia" w:ascii="宋体" w:hAnsi="宋体" w:eastAsia="宋体" w:cs="宋体"/>
          <w:color w:val="auto"/>
          <w:sz w:val="24"/>
          <w:highlight w:val="none"/>
          <w:lang w:val="en-US" w:eastAsia="zh-CN" w:bidi="ar"/>
        </w:rPr>
        <w:t>2</w:t>
      </w:r>
      <w:r>
        <w:rPr>
          <w:rFonts w:hint="eastAsia" w:ascii="宋体" w:hAnsi="宋体" w:eastAsia="宋体" w:cs="宋体"/>
          <w:color w:val="auto"/>
          <w:sz w:val="24"/>
          <w:highlight w:val="none"/>
          <w:lang w:val="zh-TW" w:bidi="ar"/>
        </w:rPr>
        <w:t>.</w:t>
      </w:r>
      <w:r>
        <w:rPr>
          <w:rFonts w:hint="eastAsia" w:ascii="宋体" w:hAnsi="宋体" w:eastAsia="宋体" w:cs="宋体"/>
          <w:color w:val="auto"/>
          <w:sz w:val="24"/>
          <w:highlight w:val="none"/>
          <w:lang w:val="zh-TW" w:eastAsia="zh-TW" w:bidi="ar"/>
        </w:rPr>
        <w:t xml:space="preserve">7 </w:t>
      </w:r>
      <w:r>
        <w:rPr>
          <w:rFonts w:hint="eastAsia" w:ascii="宋体" w:hAnsi="宋体" w:eastAsia="宋体" w:cs="宋体"/>
          <w:color w:val="auto"/>
          <w:sz w:val="24"/>
          <w:highlight w:val="none"/>
          <w:lang w:val="zh-TW" w:bidi="ar"/>
        </w:rPr>
        <w:t>开启响应文件</w:t>
      </w:r>
    </w:p>
    <w:p w14:paraId="0AC8B83D">
      <w:pPr>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rPr>
        <w:t>供应商于</w:t>
      </w:r>
      <w:r>
        <w:rPr>
          <w:rFonts w:hint="eastAsia" w:ascii="宋体" w:hAnsi="宋体" w:eastAsia="宋体" w:cs="宋体"/>
          <w:color w:val="auto"/>
          <w:sz w:val="24"/>
          <w:highlight w:val="none"/>
          <w:lang w:val="zh-TW" w:bidi="ar"/>
        </w:rPr>
        <w:t>磋商文件规定的开启时间、在开启地点使用</w:t>
      </w:r>
      <w:r>
        <w:rPr>
          <w:rFonts w:hint="eastAsia" w:ascii="宋体" w:hAnsi="宋体" w:eastAsia="宋体" w:cs="宋体"/>
          <w:color w:val="auto"/>
          <w:sz w:val="24"/>
          <w:highlight w:val="none"/>
          <w:lang w:bidi="ar"/>
        </w:rPr>
        <w:t>CA数字证书或电子营业执照</w:t>
      </w:r>
      <w:r>
        <w:rPr>
          <w:rFonts w:hint="eastAsia" w:ascii="宋体" w:hAnsi="宋体" w:eastAsia="宋体" w:cs="宋体"/>
          <w:color w:val="auto"/>
          <w:sz w:val="24"/>
          <w:highlight w:val="none"/>
          <w:lang w:val="zh-TW" w:bidi="ar"/>
        </w:rPr>
        <w:t>登录</w:t>
      </w:r>
      <w:r>
        <w:rPr>
          <w:rFonts w:hint="eastAsia" w:ascii="宋体" w:hAnsi="宋体" w:eastAsia="宋体" w:cs="宋体"/>
          <w:color w:val="auto"/>
          <w:sz w:val="24"/>
          <w:highlight w:val="none"/>
          <w:lang w:bidi="ar"/>
        </w:rPr>
        <w:t>北京市政府采购电子交易平台解密并开启响应文件。如因供应商问题，解密不成功，则</w:t>
      </w:r>
      <w:r>
        <w:rPr>
          <w:rFonts w:hint="eastAsia" w:ascii="宋体" w:hAnsi="宋体" w:eastAsia="宋体" w:cs="宋体"/>
          <w:b/>
          <w:color w:val="auto"/>
          <w:sz w:val="24"/>
          <w:highlight w:val="none"/>
          <w:lang w:bidi="ar"/>
        </w:rPr>
        <w:t>响应无效</w:t>
      </w:r>
      <w:r>
        <w:rPr>
          <w:rFonts w:hint="eastAsia" w:ascii="宋体" w:hAnsi="宋体" w:eastAsia="宋体" w:cs="宋体"/>
          <w:color w:val="auto"/>
          <w:sz w:val="24"/>
          <w:highlight w:val="none"/>
          <w:lang w:bidi="ar"/>
        </w:rPr>
        <w:t>。</w:t>
      </w:r>
    </w:p>
    <w:p w14:paraId="15DC6766">
      <w:pPr>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br w:type="page"/>
      </w:r>
    </w:p>
    <w:p w14:paraId="69AE517F">
      <w:pPr>
        <w:spacing w:line="360" w:lineRule="auto"/>
        <w:ind w:firstLine="480" w:firstLineChars="200"/>
        <w:rPr>
          <w:rFonts w:hint="eastAsia" w:ascii="宋体" w:hAnsi="宋体" w:eastAsia="宋体" w:cs="宋体"/>
          <w:color w:val="auto"/>
          <w:sz w:val="24"/>
          <w:highlight w:val="none"/>
          <w:lang w:val="zh-TW" w:eastAsia="zh-CN" w:bidi="ar"/>
        </w:rPr>
      </w:pPr>
      <w:r>
        <w:rPr>
          <w:rFonts w:hint="eastAsia" w:ascii="宋体" w:hAnsi="宋体" w:eastAsia="宋体" w:cs="宋体"/>
          <w:color w:val="auto"/>
          <w:sz w:val="24"/>
          <w:highlight w:val="none"/>
          <w:lang w:val="en-US" w:eastAsia="zh-CN" w:bidi="ar"/>
        </w:rPr>
        <w:t>2</w:t>
      </w:r>
      <w:r>
        <w:rPr>
          <w:rFonts w:hint="eastAsia" w:ascii="宋体" w:hAnsi="宋体" w:eastAsia="宋体" w:cs="宋体"/>
          <w:color w:val="auto"/>
          <w:sz w:val="24"/>
          <w:highlight w:val="none"/>
          <w:lang w:val="zh-TW" w:eastAsia="zh-CN" w:bidi="ar"/>
        </w:rPr>
        <w:t>.</w:t>
      </w:r>
      <w:r>
        <w:rPr>
          <w:rFonts w:hint="eastAsia" w:ascii="宋体" w:hAnsi="宋体" w:eastAsia="宋体" w:cs="宋体"/>
          <w:color w:val="auto"/>
          <w:sz w:val="24"/>
          <w:highlight w:val="none"/>
          <w:lang w:val="en-US" w:eastAsia="zh-CN" w:bidi="ar"/>
        </w:rPr>
        <w:t>8</w:t>
      </w:r>
      <w:r>
        <w:rPr>
          <w:rFonts w:hint="eastAsia" w:ascii="宋体" w:hAnsi="宋体" w:eastAsia="宋体" w:cs="宋体"/>
          <w:color w:val="auto"/>
          <w:sz w:val="24"/>
          <w:highlight w:val="none"/>
          <w:lang w:val="zh-TW" w:eastAsia="zh-TW" w:bidi="ar"/>
        </w:rPr>
        <w:t xml:space="preserve"> </w:t>
      </w:r>
      <w:r>
        <w:rPr>
          <w:rFonts w:hint="eastAsia" w:ascii="宋体" w:hAnsi="宋体" w:eastAsia="宋体" w:cs="宋体"/>
          <w:color w:val="auto"/>
          <w:sz w:val="24"/>
          <w:highlight w:val="none"/>
          <w:lang w:val="zh-TW" w:eastAsia="zh-CN" w:bidi="ar"/>
        </w:rPr>
        <w:t>递交响应文件</w:t>
      </w:r>
    </w:p>
    <w:p w14:paraId="69EB03EA">
      <w:pPr>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本项目采用线上递交</w:t>
      </w:r>
      <w:r>
        <w:rPr>
          <w:rFonts w:hint="eastAsia" w:ascii="宋体" w:hAnsi="宋体" w:eastAsia="宋体" w:cs="宋体"/>
          <w:color w:val="auto"/>
          <w:kern w:val="2"/>
          <w:sz w:val="24"/>
          <w:szCs w:val="24"/>
          <w:highlight w:val="none"/>
          <w:lang w:val="en-US" w:eastAsia="zh-CN" w:bidi="ar-SA"/>
        </w:rPr>
        <w:t>响应文件的方式；开标时供应商同时递交纸质响应文件2份（参考《供应商须知资料表》27款）。</w:t>
      </w:r>
    </w:p>
    <w:p w14:paraId="57AE77AF">
      <w:pPr>
        <w:spacing w:line="360" w:lineRule="auto"/>
        <w:ind w:firstLine="480" w:firstLineChars="200"/>
        <w:rPr>
          <w:rFonts w:hint="eastAsia" w:ascii="宋体" w:hAnsi="宋体" w:eastAsia="宋体" w:cs="宋体"/>
          <w:color w:val="auto"/>
          <w:sz w:val="24"/>
          <w:highlight w:val="none"/>
          <w:lang w:eastAsia="zh-TW" w:bidi="ar"/>
        </w:rPr>
      </w:pPr>
      <w:r>
        <w:rPr>
          <w:rFonts w:hint="eastAsia" w:ascii="宋体" w:hAnsi="宋体" w:eastAsia="宋体" w:cs="宋体"/>
          <w:color w:val="auto"/>
          <w:sz w:val="24"/>
          <w:highlight w:val="none"/>
          <w:lang w:val="en-US" w:eastAsia="zh-CN" w:bidi="ar"/>
        </w:rPr>
        <w:t xml:space="preserve"> </w:t>
      </w:r>
      <w:r>
        <w:rPr>
          <w:rFonts w:hint="eastAsia" w:ascii="宋体" w:hAnsi="宋体" w:eastAsia="宋体" w:cs="宋体"/>
          <w:color w:val="auto"/>
          <w:sz w:val="24"/>
          <w:highlight w:val="none"/>
          <w:lang w:val="zh-TW" w:eastAsia="zh-TW" w:bidi="ar"/>
        </w:rPr>
        <w:t>3.供应商代表须单独携带</w:t>
      </w:r>
      <w:r>
        <w:rPr>
          <w:rFonts w:hint="eastAsia" w:ascii="宋体" w:hAnsi="宋体" w:eastAsia="宋体" w:cs="宋体"/>
          <w:color w:val="auto"/>
          <w:sz w:val="24"/>
          <w:highlight w:val="none"/>
          <w:lang w:val="zh-TW" w:bidi="ar"/>
        </w:rPr>
        <w:t>按照《响应文件格式》要求填写的</w:t>
      </w:r>
      <w:r>
        <w:rPr>
          <w:rFonts w:hint="eastAsia" w:ascii="宋体" w:hAnsi="宋体" w:eastAsia="宋体" w:cs="宋体"/>
          <w:color w:val="auto"/>
          <w:sz w:val="24"/>
          <w:highlight w:val="none"/>
          <w:lang w:val="zh-TW" w:eastAsia="zh-TW" w:bidi="ar"/>
        </w:rPr>
        <w:t>“授权委托书（加盖公章）、身份证原件及复印件（加盖公章）参加磋商，如法定代表人本人参加磋商的，必须携带法定代表人身份证明（加盖公章）、身份证原件及复印件（加盖公章）</w:t>
      </w:r>
      <w:r>
        <w:rPr>
          <w:rFonts w:hint="eastAsia" w:ascii="宋体" w:hAnsi="宋体" w:eastAsia="宋体" w:cs="宋体"/>
          <w:color w:val="auto"/>
          <w:sz w:val="24"/>
          <w:highlight w:val="none"/>
          <w:lang w:val="zh-TW" w:bidi="ar"/>
        </w:rPr>
        <w:t>，准时到现场参加磋商</w:t>
      </w:r>
      <w:r>
        <w:rPr>
          <w:rFonts w:hint="eastAsia" w:ascii="宋体" w:hAnsi="宋体" w:eastAsia="宋体" w:cs="宋体"/>
          <w:color w:val="auto"/>
          <w:sz w:val="24"/>
          <w:highlight w:val="none"/>
          <w:lang w:val="zh-TW" w:eastAsia="zh-TW" w:bidi="ar"/>
        </w:rPr>
        <w:t>。</w:t>
      </w:r>
    </w:p>
    <w:p w14:paraId="7568B5B9">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lang w:val="zh-TW" w:eastAsia="zh-TW" w:bidi="ar"/>
        </w:rPr>
        <w:t>供应商需按照竞争性磋商文件要求递交纸质响应文件至磋商地点。</w:t>
      </w:r>
      <w:r>
        <w:rPr>
          <w:rFonts w:hint="eastAsia" w:ascii="宋体" w:hAnsi="宋体" w:eastAsia="宋体" w:cs="宋体"/>
          <w:b/>
          <w:color w:val="auto"/>
          <w:sz w:val="24"/>
          <w:highlight w:val="none"/>
          <w:lang w:val="zh-TW" w:eastAsia="zh-TW" w:bidi="ar"/>
        </w:rPr>
        <w:t>未按照竞争性磋商文件要求递交响应文件的，采购人及该授权采购代理均不予受理。</w:t>
      </w:r>
    </w:p>
    <w:p w14:paraId="68BA58A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5.公告媒体：本公告在中国政府采购网、北京市政府采购网上发布。</w:t>
      </w:r>
    </w:p>
    <w:p w14:paraId="7C130A22">
      <w:pPr>
        <w:spacing w:line="360" w:lineRule="auto"/>
        <w:ind w:firstLine="480" w:firstLineChars="200"/>
        <w:rPr>
          <w:rFonts w:hint="default" w:ascii="宋体" w:hAnsi="宋体" w:eastAsia="宋体" w:cs="宋体"/>
          <w:color w:val="auto"/>
          <w:sz w:val="24"/>
          <w:highlight w:val="none"/>
          <w:lang w:val="en-US" w:eastAsia="zh-CN"/>
        </w:rPr>
      </w:pPr>
    </w:p>
    <w:p w14:paraId="0209626E">
      <w:pPr>
        <w:pStyle w:val="4"/>
        <w:spacing w:before="0" w:line="360" w:lineRule="auto"/>
        <w:jc w:val="left"/>
        <w:rPr>
          <w:rFonts w:hint="eastAsia" w:ascii="宋体" w:hAnsi="宋体" w:eastAsia="宋体" w:cs="宋体"/>
          <w:color w:val="auto"/>
          <w:sz w:val="24"/>
          <w:szCs w:val="24"/>
          <w:highlight w:val="none"/>
        </w:rPr>
      </w:pPr>
      <w:bookmarkStart w:id="26" w:name="_Toc35393796"/>
      <w:bookmarkStart w:id="27" w:name="_Toc28359008"/>
      <w:bookmarkStart w:id="28" w:name="_Toc35393627"/>
      <w:bookmarkStart w:id="29" w:name="_Toc28359085"/>
      <w:r>
        <w:rPr>
          <w:rFonts w:hint="eastAsia" w:ascii="宋体" w:hAnsi="宋体" w:eastAsia="宋体" w:cs="宋体"/>
          <w:color w:val="auto"/>
          <w:sz w:val="24"/>
          <w:szCs w:val="24"/>
          <w:highlight w:val="none"/>
        </w:rPr>
        <w:t>八、对本次采购提出询问，请按以下方式联系。</w:t>
      </w:r>
      <w:bookmarkEnd w:id="26"/>
      <w:bookmarkEnd w:id="27"/>
      <w:bookmarkEnd w:id="28"/>
      <w:bookmarkEnd w:id="29"/>
    </w:p>
    <w:p w14:paraId="67E7DC2F">
      <w:pPr>
        <w:widowControl/>
        <w:spacing w:line="360" w:lineRule="auto"/>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t>　　　</w:t>
      </w:r>
      <w:r>
        <w:rPr>
          <w:rFonts w:hint="eastAsia" w:ascii="宋体" w:hAnsi="宋体" w:eastAsia="宋体" w:cs="宋体"/>
          <w:b/>
          <w:color w:val="auto"/>
          <w:sz w:val="24"/>
          <w:highlight w:val="none"/>
        </w:rPr>
        <w:t>1.采购人信息</w:t>
      </w:r>
    </w:p>
    <w:p w14:paraId="43CD8D89">
      <w:pPr>
        <w:spacing w:line="360" w:lineRule="auto"/>
        <w:ind w:left="1079" w:leftChars="371" w:hanging="300" w:hangingChars="125"/>
        <w:jc w:val="left"/>
        <w:rPr>
          <w:rFonts w:hint="eastAsia" w:ascii="宋体" w:hAnsi="宋体" w:eastAsia="宋体" w:cs="宋体"/>
          <w:color w:val="auto"/>
          <w:sz w:val="24"/>
          <w:highlight w:val="none"/>
        </w:rPr>
      </w:pPr>
      <w:bookmarkStart w:id="30" w:name="_Toc28359086"/>
      <w:bookmarkStart w:id="31" w:name="_Toc28359009"/>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u w:val="single"/>
        </w:rPr>
        <w:t>北京市公安局顺义分局</w:t>
      </w:r>
      <w:r>
        <w:rPr>
          <w:rFonts w:hint="eastAsia" w:ascii="宋体" w:hAnsi="宋体" w:eastAsia="宋体" w:cs="宋体"/>
          <w:color w:val="auto"/>
          <w:sz w:val="24"/>
          <w:highlight w:val="none"/>
        </w:rPr>
        <w:t xml:space="preserve"> </w:t>
      </w:r>
    </w:p>
    <w:p w14:paraId="0D2547B0">
      <w:pPr>
        <w:spacing w:line="360" w:lineRule="auto"/>
        <w:ind w:left="1079" w:leftChars="371" w:hanging="300" w:hangingChars="12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北京市顺义区顺平西路8号</w:t>
      </w:r>
    </w:p>
    <w:p w14:paraId="3AB46DD6">
      <w:pPr>
        <w:spacing w:line="360" w:lineRule="auto"/>
        <w:ind w:left="1079" w:leftChars="371" w:hanging="300" w:hangingChars="125"/>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张硕、010-69423674</w:t>
      </w:r>
    </w:p>
    <w:p w14:paraId="639A2568">
      <w:pPr>
        <w:spacing w:line="360" w:lineRule="auto"/>
        <w:ind w:left="1078" w:leftChars="371" w:hanging="299" w:hangingChars="124"/>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2.采购代理机构信息</w:t>
      </w:r>
      <w:bookmarkEnd w:id="30"/>
      <w:bookmarkEnd w:id="31"/>
    </w:p>
    <w:p w14:paraId="431CE884">
      <w:pPr>
        <w:spacing w:line="360" w:lineRule="auto"/>
        <w:ind w:left="1076" w:leftChars="371" w:hanging="297" w:hangingChars="124"/>
        <w:jc w:val="left"/>
        <w:rPr>
          <w:rFonts w:hint="eastAsia" w:ascii="宋体" w:hAnsi="宋体" w:eastAsia="宋体" w:cs="宋体"/>
          <w:color w:val="auto"/>
          <w:sz w:val="24"/>
          <w:highlight w:val="none"/>
        </w:rPr>
      </w:pPr>
      <w:bookmarkStart w:id="32" w:name="_Toc28359087"/>
      <w:bookmarkStart w:id="33" w:name="_Toc28359010"/>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u w:val="single"/>
        </w:rPr>
        <w:t>北京禾源工程造价咨询有限公司</w:t>
      </w:r>
    </w:p>
    <w:p w14:paraId="30EF19DB">
      <w:pPr>
        <w:spacing w:line="360" w:lineRule="auto"/>
        <w:ind w:left="1076" w:leftChars="371" w:hanging="297" w:hangingChars="124"/>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cs="宋体"/>
          <w:color w:val="auto"/>
          <w:sz w:val="24"/>
          <w:highlight w:val="none"/>
          <w:u w:val="single"/>
          <w:lang w:eastAsia="zh-CN"/>
        </w:rPr>
        <w:t>北京市顺义区仁和镇高顺云港新能科技园18号楼二层</w:t>
      </w:r>
    </w:p>
    <w:p w14:paraId="4AD173C3">
      <w:pPr>
        <w:spacing w:line="360" w:lineRule="auto"/>
        <w:ind w:left="1076" w:leftChars="371" w:hanging="297" w:hangingChars="124"/>
        <w:jc w:val="left"/>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联系方式：</w:t>
      </w:r>
      <w:r>
        <w:rPr>
          <w:rFonts w:hint="eastAsia" w:ascii="宋体" w:hAnsi="宋体" w:cs="宋体"/>
          <w:color w:val="auto"/>
          <w:sz w:val="24"/>
          <w:highlight w:val="none"/>
          <w:u w:val="single"/>
          <w:lang w:val="en-US" w:eastAsia="zh-CN"/>
        </w:rPr>
        <w:t>程亚华</w:t>
      </w:r>
      <w:r>
        <w:rPr>
          <w:rFonts w:hint="eastAsia" w:ascii="宋体" w:hAnsi="宋体" w:eastAsia="宋体" w:cs="宋体"/>
          <w:color w:val="auto"/>
          <w:sz w:val="24"/>
          <w:highlight w:val="none"/>
          <w:u w:val="single"/>
        </w:rPr>
        <w:t>、</w:t>
      </w:r>
      <w:r>
        <w:rPr>
          <w:rFonts w:hint="eastAsia" w:ascii="宋体" w:hAnsi="宋体" w:cs="宋体"/>
          <w:color w:val="auto"/>
          <w:sz w:val="24"/>
          <w:szCs w:val="20"/>
          <w:highlight w:val="none"/>
          <w:u w:val="single"/>
          <w:lang w:eastAsia="zh-CN"/>
        </w:rPr>
        <w:t>010-50933031</w:t>
      </w:r>
    </w:p>
    <w:p w14:paraId="3146C7D2">
      <w:pPr>
        <w:spacing w:line="360" w:lineRule="auto"/>
        <w:ind w:left="1078" w:leftChars="371" w:hanging="299" w:hangingChars="124"/>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rPr>
        <w:t>3.项目联系方式</w:t>
      </w:r>
      <w:bookmarkEnd w:id="32"/>
      <w:bookmarkEnd w:id="33"/>
    </w:p>
    <w:p w14:paraId="2CD82D14">
      <w:pPr>
        <w:pStyle w:val="24"/>
        <w:spacing w:line="360" w:lineRule="auto"/>
        <w:ind w:left="1076" w:leftChars="371" w:hanging="297" w:hangingChars="124"/>
        <w:rPr>
          <w:rFonts w:hint="eastAsia" w:ascii="宋体" w:hAnsi="宋体" w:eastAsia="宋体" w:cs="宋体"/>
          <w:color w:val="auto"/>
          <w:sz w:val="24"/>
          <w:highlight w:val="none"/>
          <w:u w:val="single"/>
          <w:lang w:eastAsia="zh-CN" w:bidi="ar"/>
        </w:rPr>
      </w:pPr>
      <w:r>
        <w:rPr>
          <w:rFonts w:hint="eastAsia" w:ascii="宋体" w:hAnsi="宋体" w:eastAsia="宋体" w:cs="宋体"/>
          <w:color w:val="auto"/>
          <w:sz w:val="24"/>
          <w:szCs w:val="24"/>
          <w:highlight w:val="none"/>
        </w:rPr>
        <w:t>项目联系人：</w:t>
      </w:r>
      <w:r>
        <w:rPr>
          <w:rFonts w:hint="eastAsia" w:hAnsi="宋体" w:cs="宋体"/>
          <w:color w:val="auto"/>
          <w:sz w:val="24"/>
          <w:highlight w:val="none"/>
          <w:u w:val="single"/>
          <w:lang w:eastAsia="zh-CN"/>
        </w:rPr>
        <w:t>程亚华</w:t>
      </w:r>
    </w:p>
    <w:p w14:paraId="2086CEB2">
      <w:pPr>
        <w:pStyle w:val="24"/>
        <w:spacing w:line="360" w:lineRule="auto"/>
        <w:ind w:left="1076" w:leftChars="371" w:hanging="297" w:hangingChars="124"/>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电      话：</w:t>
      </w:r>
      <w:r>
        <w:rPr>
          <w:rFonts w:hint="eastAsia" w:hAnsi="宋体" w:cs="宋体"/>
          <w:color w:val="auto"/>
          <w:sz w:val="24"/>
          <w:highlight w:val="none"/>
          <w:u w:val="single"/>
          <w:lang w:eastAsia="zh-CN"/>
        </w:rPr>
        <w:t>010-50933031</w:t>
      </w:r>
      <w:r>
        <w:rPr>
          <w:rFonts w:hint="eastAsia" w:ascii="宋体" w:hAnsi="宋体" w:eastAsia="宋体" w:cs="宋体"/>
          <w:color w:val="auto"/>
          <w:sz w:val="24"/>
          <w:szCs w:val="24"/>
          <w:highlight w:val="none"/>
        </w:rPr>
        <w:t xml:space="preserve"> </w:t>
      </w:r>
    </w:p>
    <w:p w14:paraId="0EFAAD8C">
      <w:pPr>
        <w:spacing w:line="360" w:lineRule="auto"/>
        <w:ind w:firstLine="5880" w:firstLineChars="2450"/>
        <w:jc w:val="right"/>
        <w:rPr>
          <w:rFonts w:hint="eastAsia" w:ascii="宋体" w:hAnsi="宋体" w:eastAsia="宋体" w:cs="宋体"/>
          <w:color w:val="auto"/>
          <w:sz w:val="24"/>
          <w:highlight w:val="none"/>
        </w:rPr>
      </w:pPr>
    </w:p>
    <w:p w14:paraId="15176580">
      <w:pPr>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br w:type="page"/>
      </w:r>
      <w:bookmarkStart w:id="34" w:name="_Toc127161488"/>
      <w:bookmarkStart w:id="35" w:name="_Toc353825548"/>
      <w:bookmarkStart w:id="36" w:name="_Toc195842950"/>
      <w:bookmarkStart w:id="37" w:name="_Toc226965856"/>
      <w:bookmarkStart w:id="38" w:name="_Toc22616"/>
      <w:bookmarkStart w:id="39" w:name="_Toc353873938"/>
      <w:bookmarkStart w:id="40" w:name="_Toc264969275"/>
      <w:bookmarkStart w:id="41" w:name="_Toc305158928"/>
      <w:bookmarkStart w:id="42" w:name="_Toc305158854"/>
      <w:bookmarkStart w:id="43" w:name="_Toc512937850"/>
      <w:bookmarkStart w:id="44" w:name="_Toc265228423"/>
      <w:bookmarkStart w:id="45" w:name="_Toc127151777"/>
      <w:bookmarkStart w:id="46" w:name="_Toc150774783"/>
      <w:r>
        <w:rPr>
          <w:rFonts w:hint="eastAsia" w:ascii="宋体" w:hAnsi="宋体" w:eastAsia="宋体" w:cs="宋体"/>
          <w:b/>
          <w:color w:val="auto"/>
          <w:sz w:val="36"/>
          <w:szCs w:val="36"/>
          <w:highlight w:val="none"/>
        </w:rPr>
        <w:t>第二章   供应商须知</w:t>
      </w:r>
      <w:bookmarkEnd w:id="34"/>
      <w:bookmarkEnd w:id="35"/>
      <w:bookmarkEnd w:id="36"/>
      <w:bookmarkEnd w:id="37"/>
      <w:bookmarkEnd w:id="38"/>
      <w:bookmarkEnd w:id="39"/>
      <w:bookmarkEnd w:id="40"/>
      <w:bookmarkEnd w:id="41"/>
      <w:bookmarkEnd w:id="42"/>
      <w:bookmarkEnd w:id="43"/>
      <w:bookmarkEnd w:id="44"/>
      <w:bookmarkEnd w:id="45"/>
      <w:bookmarkEnd w:id="46"/>
    </w:p>
    <w:p w14:paraId="369DE180">
      <w:pPr>
        <w:pStyle w:val="4"/>
        <w:tabs>
          <w:tab w:val="center" w:pos="4592"/>
          <w:tab w:val="left" w:pos="7860"/>
        </w:tabs>
        <w:spacing w:before="0" w:line="360" w:lineRule="auto"/>
        <w:rPr>
          <w:rFonts w:hint="eastAsia" w:ascii="宋体" w:hAnsi="宋体" w:eastAsia="宋体" w:cs="宋体"/>
          <w:b w:val="0"/>
          <w:color w:val="auto"/>
          <w:sz w:val="28"/>
          <w:highlight w:val="none"/>
        </w:rPr>
      </w:pPr>
      <w:bookmarkStart w:id="47" w:name="_Toc127151720"/>
      <w:bookmarkStart w:id="48" w:name="_Toc226965709"/>
      <w:bookmarkStart w:id="49" w:name="_Toc151190146"/>
      <w:bookmarkStart w:id="50" w:name="_Toc151193907"/>
      <w:bookmarkStart w:id="51" w:name="_Toc150509270"/>
      <w:bookmarkStart w:id="52" w:name="_Toc150774619"/>
      <w:bookmarkStart w:id="53" w:name="_Toc150480757"/>
      <w:bookmarkStart w:id="54" w:name="_Toc195842884"/>
      <w:bookmarkStart w:id="55" w:name="_Toc164351613"/>
      <w:bookmarkStart w:id="56" w:name="_Toc151193689"/>
      <w:bookmarkStart w:id="57" w:name="_Toc151193833"/>
      <w:bookmarkStart w:id="58" w:name="_Toc151193617"/>
      <w:bookmarkStart w:id="59" w:name="_Toc127161433"/>
      <w:bookmarkStart w:id="60" w:name="_Toc520356144"/>
      <w:bookmarkStart w:id="61" w:name="_Toc164608633"/>
      <w:bookmarkStart w:id="62" w:name="_Toc164229360"/>
      <w:bookmarkStart w:id="63" w:name="_Toc226309763"/>
      <w:bookmarkStart w:id="64" w:name="_Toc226337215"/>
      <w:bookmarkStart w:id="65" w:name="_Toc149720812"/>
      <w:bookmarkStart w:id="66" w:name="_Toc142311021"/>
      <w:bookmarkStart w:id="67" w:name="_Toc226965792"/>
      <w:bookmarkStart w:id="68" w:name="_Toc164608788"/>
      <w:bookmarkStart w:id="69" w:name="_Toc151193761"/>
      <w:bookmarkStart w:id="70" w:name="_Toc164229214"/>
      <w:bookmarkStart w:id="71" w:name="_Toc127151519"/>
      <w:bookmarkStart w:id="72" w:name="_Toc150774724"/>
      <w:r>
        <w:rPr>
          <w:rFonts w:hint="eastAsia" w:ascii="宋体" w:hAnsi="宋体" w:eastAsia="宋体" w:cs="宋体"/>
          <w:color w:val="auto"/>
          <w:sz w:val="28"/>
          <w:highlight w:val="none"/>
        </w:rPr>
        <w:t>供应商须知资料表</w:t>
      </w:r>
    </w:p>
    <w:p w14:paraId="78EBAE24">
      <w:pPr>
        <w:jc w:val="center"/>
        <w:rPr>
          <w:rFonts w:hint="eastAsia" w:ascii="宋体" w:hAnsi="宋体" w:eastAsia="宋体" w:cs="宋体"/>
          <w:b/>
          <w:color w:val="auto"/>
          <w:sz w:val="28"/>
          <w:szCs w:val="28"/>
          <w:highlight w:val="none"/>
        </w:rPr>
      </w:pPr>
    </w:p>
    <w:p w14:paraId="18CB00D0">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本表是对供应商须知的具体补充和修改，如有矛盾，均以本资料表为准。标记“</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”的选项意为适用于本项目，标记“</w:t>
      </w:r>
      <w:r>
        <w:rPr>
          <w:rFonts w:hint="eastAsia" w:ascii="宋体" w:hAnsi="宋体" w:eastAsia="宋体" w:cs="宋体"/>
          <w:color w:val="auto"/>
          <w:highlight w:val="none"/>
        </w:rPr>
        <w:t>□</w:t>
      </w:r>
      <w:r>
        <w:rPr>
          <w:rFonts w:hint="eastAsia" w:ascii="宋体" w:hAnsi="宋体" w:eastAsia="宋体" w:cs="宋体"/>
          <w:color w:val="auto"/>
          <w:sz w:val="24"/>
          <w:highlight w:val="none"/>
        </w:rPr>
        <w:t>”的选项意为不适用于本项目。</w:t>
      </w:r>
    </w:p>
    <w:tbl>
      <w:tblPr>
        <w:tblStyle w:val="44"/>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52"/>
        <w:gridCol w:w="1701"/>
        <w:gridCol w:w="7253"/>
      </w:tblGrid>
      <w:tr w14:paraId="2BE12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gridSpan w:val="2"/>
            <w:vAlign w:val="center"/>
          </w:tcPr>
          <w:p w14:paraId="78C2C900">
            <w:pPr>
              <w:jc w:val="center"/>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条款号</w:t>
            </w:r>
          </w:p>
        </w:tc>
        <w:tc>
          <w:tcPr>
            <w:tcW w:w="1701" w:type="dxa"/>
            <w:vAlign w:val="center"/>
          </w:tcPr>
          <w:p w14:paraId="67BF40D7">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条目</w:t>
            </w:r>
          </w:p>
        </w:tc>
        <w:tc>
          <w:tcPr>
            <w:tcW w:w="7253" w:type="dxa"/>
            <w:vAlign w:val="center"/>
          </w:tcPr>
          <w:p w14:paraId="65A8842E">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内容</w:t>
            </w:r>
          </w:p>
        </w:tc>
      </w:tr>
      <w:tr w14:paraId="7A4C0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gridSpan w:val="2"/>
            <w:vAlign w:val="center"/>
          </w:tcPr>
          <w:p w14:paraId="42F54ECD">
            <w:pPr>
              <w:pStyle w:val="24"/>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1701" w:type="dxa"/>
            <w:vAlign w:val="center"/>
          </w:tcPr>
          <w:p w14:paraId="3B52FF7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项目属性</w:t>
            </w:r>
          </w:p>
        </w:tc>
        <w:tc>
          <w:tcPr>
            <w:tcW w:w="7253" w:type="dxa"/>
            <w:vAlign w:val="center"/>
          </w:tcPr>
          <w:p w14:paraId="78CD028C">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项目属性：</w:t>
            </w:r>
          </w:p>
          <w:p w14:paraId="5C81A779">
            <w:pPr>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服务</w:t>
            </w:r>
          </w:p>
          <w:p w14:paraId="52464708">
            <w:pPr>
              <w:jc w:val="left"/>
              <w:rPr>
                <w:rFonts w:hint="eastAsia" w:ascii="宋体" w:hAnsi="宋体" w:eastAsia="宋体" w:cs="宋体"/>
                <w:color w:val="auto"/>
                <w:sz w:val="24"/>
                <w:highlight w:val="none"/>
              </w:rPr>
            </w:pPr>
            <w:r>
              <w:rPr>
                <w:rFonts w:hint="eastAsia" w:ascii="宋体" w:hAnsi="宋体" w:eastAsia="宋体" w:cs="宋体"/>
                <w:color w:val="auto"/>
                <w:highlight w:val="none"/>
              </w:rPr>
              <w:t>□</w:t>
            </w:r>
            <w:r>
              <w:rPr>
                <w:rFonts w:hint="eastAsia" w:ascii="宋体" w:hAnsi="宋体" w:eastAsia="宋体" w:cs="宋体"/>
                <w:color w:val="auto"/>
                <w:sz w:val="24"/>
                <w:highlight w:val="none"/>
              </w:rPr>
              <w:t>货物</w:t>
            </w:r>
          </w:p>
          <w:p w14:paraId="3CD0FC10">
            <w:pPr>
              <w:jc w:val="left"/>
              <w:rPr>
                <w:rFonts w:hint="eastAsia" w:ascii="宋体" w:hAnsi="宋体" w:eastAsia="宋体" w:cs="宋体"/>
                <w:color w:val="auto"/>
                <w:sz w:val="24"/>
                <w:highlight w:val="none"/>
              </w:rPr>
            </w:pPr>
            <w:r>
              <w:rPr>
                <w:rFonts w:hint="eastAsia" w:ascii="宋体" w:hAnsi="宋体" w:eastAsia="宋体" w:cs="宋体"/>
                <w:color w:val="auto"/>
                <w:highlight w:val="none"/>
              </w:rPr>
              <w:t>□</w:t>
            </w:r>
            <w:r>
              <w:rPr>
                <w:rFonts w:hint="eastAsia" w:ascii="宋体" w:hAnsi="宋体" w:eastAsia="宋体" w:cs="宋体"/>
                <w:color w:val="auto"/>
                <w:sz w:val="24"/>
                <w:highlight w:val="none"/>
              </w:rPr>
              <w:t>工程</w:t>
            </w:r>
          </w:p>
        </w:tc>
      </w:tr>
      <w:tr w14:paraId="125E9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gridSpan w:val="2"/>
            <w:vAlign w:val="center"/>
          </w:tcPr>
          <w:p w14:paraId="46E297A8">
            <w:pPr>
              <w:pStyle w:val="24"/>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1701" w:type="dxa"/>
            <w:vAlign w:val="center"/>
          </w:tcPr>
          <w:p w14:paraId="1636BC7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科研仪器设备</w:t>
            </w:r>
          </w:p>
        </w:tc>
        <w:tc>
          <w:tcPr>
            <w:tcW w:w="7253" w:type="dxa"/>
            <w:vAlign w:val="center"/>
          </w:tcPr>
          <w:p w14:paraId="78A61A0B">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是否属于科研仪器设备采购项目：</w:t>
            </w:r>
          </w:p>
          <w:p w14:paraId="4D5F97C7">
            <w:pPr>
              <w:jc w:val="left"/>
              <w:rPr>
                <w:rFonts w:hint="eastAsia" w:ascii="宋体" w:hAnsi="宋体" w:eastAsia="宋体" w:cs="宋体"/>
                <w:color w:val="auto"/>
                <w:sz w:val="24"/>
                <w:highlight w:val="none"/>
              </w:rPr>
            </w:pPr>
            <w:r>
              <w:rPr>
                <w:rFonts w:hint="eastAsia" w:ascii="宋体" w:hAnsi="宋体" w:eastAsia="宋体" w:cs="宋体"/>
                <w:color w:val="auto"/>
                <w:highlight w:val="none"/>
              </w:rPr>
              <w:t>□</w:t>
            </w:r>
            <w:r>
              <w:rPr>
                <w:rFonts w:hint="eastAsia" w:ascii="宋体" w:hAnsi="宋体" w:eastAsia="宋体" w:cs="宋体"/>
                <w:color w:val="auto"/>
                <w:sz w:val="24"/>
                <w:highlight w:val="none"/>
              </w:rPr>
              <w:t>是</w:t>
            </w:r>
          </w:p>
          <w:p w14:paraId="683932DF">
            <w:pPr>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否</w:t>
            </w:r>
          </w:p>
        </w:tc>
      </w:tr>
      <w:tr w14:paraId="144B7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gridSpan w:val="2"/>
            <w:vMerge w:val="restart"/>
            <w:vAlign w:val="center"/>
          </w:tcPr>
          <w:p w14:paraId="340CD1B1">
            <w:pPr>
              <w:pStyle w:val="24"/>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1701" w:type="dxa"/>
            <w:vAlign w:val="center"/>
          </w:tcPr>
          <w:p w14:paraId="4000E8B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现场考察</w:t>
            </w:r>
          </w:p>
        </w:tc>
        <w:tc>
          <w:tcPr>
            <w:tcW w:w="7253" w:type="dxa"/>
            <w:vAlign w:val="center"/>
          </w:tcPr>
          <w:p w14:paraId="17B66EEB">
            <w:pPr>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不组织</w:t>
            </w:r>
          </w:p>
          <w:p w14:paraId="6753F6B5">
            <w:pPr>
              <w:jc w:val="left"/>
              <w:rPr>
                <w:rFonts w:hint="eastAsia" w:ascii="宋体" w:hAnsi="宋体" w:eastAsia="宋体" w:cs="宋体"/>
                <w:bCs/>
                <w:color w:val="auto"/>
                <w:sz w:val="24"/>
                <w:highlight w:val="none"/>
              </w:rPr>
            </w:pPr>
            <w:r>
              <w:rPr>
                <w:rFonts w:hint="eastAsia" w:ascii="宋体" w:hAnsi="宋体" w:eastAsia="宋体" w:cs="宋体"/>
                <w:color w:val="auto"/>
                <w:highlight w:val="none"/>
              </w:rPr>
              <w:t>□</w:t>
            </w:r>
            <w:r>
              <w:rPr>
                <w:rFonts w:hint="eastAsia" w:ascii="宋体" w:hAnsi="宋体" w:eastAsia="宋体" w:cs="宋体"/>
                <w:color w:val="auto"/>
                <w:sz w:val="24"/>
                <w:highlight w:val="none"/>
              </w:rPr>
              <w:t>组织，考察时间：___</w:t>
            </w:r>
            <w:r>
              <w:rPr>
                <w:rFonts w:hint="eastAsia" w:ascii="宋体" w:hAnsi="宋体" w:eastAsia="宋体" w:cs="宋体"/>
                <w:color w:val="auto"/>
                <w:sz w:val="24"/>
                <w:highlight w:val="none"/>
                <w:lang w:bidi="ar"/>
              </w:rPr>
              <w:t>年</w:t>
            </w:r>
            <w:r>
              <w:rPr>
                <w:rFonts w:hint="eastAsia" w:ascii="宋体" w:hAnsi="宋体" w:eastAsia="宋体" w:cs="宋体"/>
                <w:color w:val="auto"/>
                <w:sz w:val="24"/>
                <w:highlight w:val="none"/>
              </w:rPr>
              <w:t>___</w:t>
            </w:r>
            <w:r>
              <w:rPr>
                <w:rFonts w:hint="eastAsia" w:ascii="宋体" w:hAnsi="宋体" w:eastAsia="宋体" w:cs="宋体"/>
                <w:color w:val="auto"/>
                <w:sz w:val="24"/>
                <w:highlight w:val="none"/>
                <w:lang w:bidi="ar"/>
              </w:rPr>
              <w:t>月</w:t>
            </w:r>
            <w:r>
              <w:rPr>
                <w:rFonts w:hint="eastAsia" w:ascii="宋体" w:hAnsi="宋体" w:eastAsia="宋体" w:cs="宋体"/>
                <w:color w:val="auto"/>
                <w:sz w:val="24"/>
                <w:highlight w:val="none"/>
              </w:rPr>
              <w:t>___</w:t>
            </w:r>
            <w:r>
              <w:rPr>
                <w:rFonts w:hint="eastAsia" w:ascii="宋体" w:hAnsi="宋体" w:eastAsia="宋体" w:cs="宋体"/>
                <w:color w:val="auto"/>
                <w:sz w:val="24"/>
                <w:highlight w:val="none"/>
                <w:lang w:bidi="ar"/>
              </w:rPr>
              <w:t>日</w:t>
            </w:r>
            <w:r>
              <w:rPr>
                <w:rFonts w:hint="eastAsia" w:ascii="宋体" w:hAnsi="宋体" w:eastAsia="宋体" w:cs="宋体"/>
                <w:color w:val="auto"/>
                <w:sz w:val="24"/>
                <w:highlight w:val="none"/>
              </w:rPr>
              <w:t>___</w:t>
            </w:r>
            <w:r>
              <w:rPr>
                <w:rFonts w:hint="eastAsia" w:ascii="宋体" w:hAnsi="宋体" w:eastAsia="宋体" w:cs="宋体"/>
                <w:color w:val="auto"/>
                <w:sz w:val="24"/>
                <w:highlight w:val="none"/>
                <w:lang w:bidi="ar"/>
              </w:rPr>
              <w:t>点</w:t>
            </w:r>
            <w:r>
              <w:rPr>
                <w:rFonts w:hint="eastAsia" w:ascii="宋体" w:hAnsi="宋体" w:eastAsia="宋体" w:cs="宋体"/>
                <w:color w:val="auto"/>
                <w:sz w:val="24"/>
                <w:highlight w:val="none"/>
              </w:rPr>
              <w:t>___</w:t>
            </w:r>
            <w:r>
              <w:rPr>
                <w:rFonts w:hint="eastAsia" w:ascii="宋体" w:hAnsi="宋体" w:eastAsia="宋体" w:cs="宋体"/>
                <w:color w:val="auto"/>
                <w:sz w:val="24"/>
                <w:highlight w:val="none"/>
                <w:lang w:bidi="ar"/>
              </w:rPr>
              <w:t>分</w:t>
            </w:r>
          </w:p>
          <w:p w14:paraId="2A04F02C">
            <w:pPr>
              <w:pStyle w:val="24"/>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考察地点：___________。</w:t>
            </w:r>
          </w:p>
        </w:tc>
      </w:tr>
      <w:tr w14:paraId="3BCC2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gridSpan w:val="2"/>
            <w:vMerge w:val="continue"/>
            <w:vAlign w:val="center"/>
          </w:tcPr>
          <w:p w14:paraId="2C5D6C79">
            <w:pPr>
              <w:pStyle w:val="24"/>
              <w:adjustRightInd w:val="0"/>
              <w:snapToGrid w:val="0"/>
              <w:jc w:val="center"/>
              <w:rPr>
                <w:rFonts w:hint="eastAsia" w:ascii="宋体" w:hAnsi="宋体" w:eastAsia="宋体" w:cs="宋体"/>
                <w:color w:val="auto"/>
                <w:sz w:val="24"/>
                <w:szCs w:val="24"/>
                <w:highlight w:val="none"/>
              </w:rPr>
            </w:pPr>
          </w:p>
        </w:tc>
        <w:tc>
          <w:tcPr>
            <w:tcW w:w="1701" w:type="dxa"/>
            <w:vAlign w:val="center"/>
          </w:tcPr>
          <w:p w14:paraId="268190D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磋商前答疑会</w:t>
            </w:r>
          </w:p>
        </w:tc>
        <w:tc>
          <w:tcPr>
            <w:tcW w:w="7253" w:type="dxa"/>
            <w:vAlign w:val="center"/>
          </w:tcPr>
          <w:p w14:paraId="0CAB466D">
            <w:pPr>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不召开</w:t>
            </w:r>
          </w:p>
          <w:p w14:paraId="553985AC">
            <w:pPr>
              <w:jc w:val="left"/>
              <w:rPr>
                <w:rFonts w:hint="eastAsia" w:ascii="宋体" w:hAnsi="宋体" w:eastAsia="宋体" w:cs="宋体"/>
                <w:color w:val="auto"/>
                <w:sz w:val="24"/>
                <w:highlight w:val="none"/>
              </w:rPr>
            </w:pPr>
            <w:r>
              <w:rPr>
                <w:rFonts w:hint="eastAsia" w:ascii="宋体" w:hAnsi="宋体" w:eastAsia="宋体" w:cs="宋体"/>
                <w:color w:val="auto"/>
                <w:highlight w:val="none"/>
              </w:rPr>
              <w:t>□</w:t>
            </w:r>
            <w:r>
              <w:rPr>
                <w:rFonts w:hint="eastAsia" w:ascii="宋体" w:hAnsi="宋体" w:eastAsia="宋体" w:cs="宋体"/>
                <w:color w:val="auto"/>
                <w:sz w:val="24"/>
                <w:highlight w:val="none"/>
              </w:rPr>
              <w:t>召开，召开时间：___</w:t>
            </w:r>
            <w:r>
              <w:rPr>
                <w:rFonts w:hint="eastAsia" w:ascii="宋体" w:hAnsi="宋体" w:eastAsia="宋体" w:cs="宋体"/>
                <w:color w:val="auto"/>
                <w:sz w:val="24"/>
                <w:highlight w:val="none"/>
                <w:lang w:bidi="ar"/>
              </w:rPr>
              <w:t>年</w:t>
            </w:r>
            <w:r>
              <w:rPr>
                <w:rFonts w:hint="eastAsia" w:ascii="宋体" w:hAnsi="宋体" w:eastAsia="宋体" w:cs="宋体"/>
                <w:color w:val="auto"/>
                <w:sz w:val="24"/>
                <w:highlight w:val="none"/>
              </w:rPr>
              <w:t>___</w:t>
            </w:r>
            <w:r>
              <w:rPr>
                <w:rFonts w:hint="eastAsia" w:ascii="宋体" w:hAnsi="宋体" w:eastAsia="宋体" w:cs="宋体"/>
                <w:color w:val="auto"/>
                <w:sz w:val="24"/>
                <w:highlight w:val="none"/>
                <w:lang w:bidi="ar"/>
              </w:rPr>
              <w:t>月</w:t>
            </w:r>
            <w:r>
              <w:rPr>
                <w:rFonts w:hint="eastAsia" w:ascii="宋体" w:hAnsi="宋体" w:eastAsia="宋体" w:cs="宋体"/>
                <w:color w:val="auto"/>
                <w:sz w:val="24"/>
                <w:highlight w:val="none"/>
              </w:rPr>
              <w:t>___</w:t>
            </w:r>
            <w:r>
              <w:rPr>
                <w:rFonts w:hint="eastAsia" w:ascii="宋体" w:hAnsi="宋体" w:eastAsia="宋体" w:cs="宋体"/>
                <w:color w:val="auto"/>
                <w:sz w:val="24"/>
                <w:highlight w:val="none"/>
                <w:lang w:bidi="ar"/>
              </w:rPr>
              <w:t>日</w:t>
            </w:r>
            <w:r>
              <w:rPr>
                <w:rFonts w:hint="eastAsia" w:ascii="宋体" w:hAnsi="宋体" w:eastAsia="宋体" w:cs="宋体"/>
                <w:color w:val="auto"/>
                <w:sz w:val="24"/>
                <w:highlight w:val="none"/>
              </w:rPr>
              <w:t>___</w:t>
            </w:r>
            <w:r>
              <w:rPr>
                <w:rFonts w:hint="eastAsia" w:ascii="宋体" w:hAnsi="宋体" w:eastAsia="宋体" w:cs="宋体"/>
                <w:color w:val="auto"/>
                <w:sz w:val="24"/>
                <w:highlight w:val="none"/>
                <w:lang w:bidi="ar"/>
              </w:rPr>
              <w:t>点</w:t>
            </w:r>
            <w:r>
              <w:rPr>
                <w:rFonts w:hint="eastAsia" w:ascii="宋体" w:hAnsi="宋体" w:eastAsia="宋体" w:cs="宋体"/>
                <w:color w:val="auto"/>
                <w:sz w:val="24"/>
                <w:highlight w:val="none"/>
              </w:rPr>
              <w:t>___</w:t>
            </w:r>
            <w:r>
              <w:rPr>
                <w:rFonts w:hint="eastAsia" w:ascii="宋体" w:hAnsi="宋体" w:eastAsia="宋体" w:cs="宋体"/>
                <w:color w:val="auto"/>
                <w:sz w:val="24"/>
                <w:highlight w:val="none"/>
                <w:lang w:bidi="ar"/>
              </w:rPr>
              <w:t>分</w:t>
            </w:r>
          </w:p>
          <w:p w14:paraId="6B1133AD">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召开地点：___________。</w:t>
            </w:r>
          </w:p>
        </w:tc>
      </w:tr>
      <w:tr w14:paraId="23AD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gridSpan w:val="2"/>
            <w:vAlign w:val="center"/>
          </w:tcPr>
          <w:p w14:paraId="7AC3F511">
            <w:pPr>
              <w:pStyle w:val="24"/>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4.2.5</w:t>
            </w:r>
          </w:p>
        </w:tc>
        <w:tc>
          <w:tcPr>
            <w:tcW w:w="1701" w:type="dxa"/>
            <w:vAlign w:val="center"/>
          </w:tcPr>
          <w:p w14:paraId="02D43A2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标的所属行业</w:t>
            </w:r>
          </w:p>
        </w:tc>
        <w:tc>
          <w:tcPr>
            <w:tcW w:w="7253" w:type="dxa"/>
            <w:vAlign w:val="center"/>
          </w:tcPr>
          <w:p w14:paraId="6376BD2C">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本项目采购标的对应的中小企业划分标准所属行业：</w:t>
            </w:r>
          </w:p>
          <w:tbl>
            <w:tblPr>
              <w:tblStyle w:val="44"/>
              <w:tblW w:w="70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3828"/>
              <w:gridCol w:w="2490"/>
            </w:tblGrid>
            <w:tr w14:paraId="2BD54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3" w:type="dxa"/>
                  <w:tcBorders>
                    <w:top w:val="single" w:color="auto" w:sz="4" w:space="0"/>
                    <w:left w:val="single" w:color="auto" w:sz="4" w:space="0"/>
                    <w:bottom w:val="single" w:color="auto" w:sz="4" w:space="0"/>
                    <w:right w:val="single" w:color="auto" w:sz="4" w:space="0"/>
                  </w:tcBorders>
                  <w:vAlign w:val="center"/>
                </w:tcPr>
                <w:p w14:paraId="5E20C6F9">
                  <w:pPr>
                    <w:jc w:val="center"/>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序号</w:t>
                  </w:r>
                </w:p>
              </w:tc>
              <w:tc>
                <w:tcPr>
                  <w:tcW w:w="3828" w:type="dxa"/>
                  <w:tcBorders>
                    <w:top w:val="single" w:color="auto" w:sz="4" w:space="0"/>
                    <w:left w:val="single" w:color="auto" w:sz="4" w:space="0"/>
                    <w:bottom w:val="single" w:color="auto" w:sz="4" w:space="0"/>
                    <w:right w:val="single" w:color="auto" w:sz="4" w:space="0"/>
                  </w:tcBorders>
                  <w:vAlign w:val="center"/>
                </w:tcPr>
                <w:p w14:paraId="0EB3F0C9">
                  <w:pP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标的名称</w:t>
                  </w:r>
                </w:p>
              </w:tc>
              <w:tc>
                <w:tcPr>
                  <w:tcW w:w="2490" w:type="dxa"/>
                  <w:tcBorders>
                    <w:top w:val="single" w:color="auto" w:sz="4" w:space="0"/>
                    <w:left w:val="single" w:color="auto" w:sz="4" w:space="0"/>
                    <w:bottom w:val="single" w:color="auto" w:sz="4" w:space="0"/>
                    <w:right w:val="single" w:color="auto" w:sz="4" w:space="0"/>
                  </w:tcBorders>
                  <w:vAlign w:val="center"/>
                </w:tcPr>
                <w:p w14:paraId="506C49F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中小企业划分标准所属行业</w:t>
                  </w:r>
                </w:p>
              </w:tc>
            </w:tr>
            <w:tr w14:paraId="341F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3" w:type="dxa"/>
                  <w:tcBorders>
                    <w:top w:val="single" w:color="auto" w:sz="4" w:space="0"/>
                    <w:left w:val="single" w:color="auto" w:sz="4" w:space="0"/>
                    <w:bottom w:val="single" w:color="auto" w:sz="4" w:space="0"/>
                    <w:right w:val="single" w:color="auto" w:sz="4" w:space="0"/>
                  </w:tcBorders>
                  <w:vAlign w:val="center"/>
                </w:tcPr>
                <w:p w14:paraId="1100DAD3">
                  <w:pPr>
                    <w:pStyle w:val="29"/>
                    <w:jc w:val="center"/>
                    <w:rPr>
                      <w:rFonts w:hint="eastAsia" w:ascii="宋体" w:hAnsi="宋体" w:eastAsia="宋体" w:cs="宋体"/>
                      <w:bCs/>
                      <w:color w:val="auto"/>
                      <w:sz w:val="24"/>
                      <w:highlight w:val="none"/>
                      <w:lang w:val="en-US" w:eastAsia="zh-CN"/>
                    </w:rPr>
                  </w:pPr>
                  <w:r>
                    <w:rPr>
                      <w:rFonts w:hint="eastAsia" w:ascii="宋体" w:hAnsi="宋体" w:eastAsia="宋体" w:cs="宋体"/>
                      <w:color w:val="auto"/>
                      <w:kern w:val="2"/>
                      <w:sz w:val="24"/>
                      <w:szCs w:val="24"/>
                      <w:highlight w:val="none"/>
                      <w:lang w:val="en-US" w:eastAsia="zh-CN"/>
                    </w:rPr>
                    <w:t>01</w:t>
                  </w:r>
                </w:p>
              </w:tc>
              <w:tc>
                <w:tcPr>
                  <w:tcW w:w="3828" w:type="dxa"/>
                  <w:tcBorders>
                    <w:top w:val="single" w:color="auto" w:sz="4" w:space="0"/>
                    <w:left w:val="single" w:color="auto" w:sz="4" w:space="0"/>
                    <w:bottom w:val="single" w:color="auto" w:sz="4" w:space="0"/>
                    <w:right w:val="single" w:color="auto" w:sz="4" w:space="0"/>
                  </w:tcBorders>
                  <w:vAlign w:val="center"/>
                </w:tcPr>
                <w:p w14:paraId="20E22833">
                  <w:pPr>
                    <w:pStyle w:val="29"/>
                    <w:rPr>
                      <w:rFonts w:hint="eastAsia" w:ascii="宋体" w:hAnsi="宋体" w:eastAsia="宋体" w:cs="宋体"/>
                      <w:bCs/>
                      <w:color w:val="auto"/>
                      <w:sz w:val="24"/>
                      <w:highlight w:val="none"/>
                    </w:rPr>
                  </w:pPr>
                  <w:bookmarkStart w:id="762" w:name="_GoBack"/>
                  <w:bookmarkEnd w:id="762"/>
                  <w:r>
                    <w:rPr>
                      <w:rFonts w:hint="eastAsia" w:hAnsi="宋体" w:cs="宋体"/>
                      <w:color w:val="auto"/>
                      <w:sz w:val="24"/>
                      <w:szCs w:val="24"/>
                      <w:highlight w:val="none"/>
                      <w:u w:val="none"/>
                      <w:lang w:val="en-US" w:eastAsia="zh-CN"/>
                    </w:rPr>
                    <w:t>2025年交通扣留扣押车辆保管费(城东区)</w:t>
                  </w:r>
                </w:p>
              </w:tc>
              <w:tc>
                <w:tcPr>
                  <w:tcW w:w="2490" w:type="dxa"/>
                  <w:tcBorders>
                    <w:top w:val="single" w:color="auto" w:sz="4" w:space="0"/>
                    <w:left w:val="single" w:color="auto" w:sz="4" w:space="0"/>
                    <w:bottom w:val="single" w:color="auto" w:sz="4" w:space="0"/>
                    <w:right w:val="single" w:color="auto" w:sz="4" w:space="0"/>
                  </w:tcBorders>
                  <w:vAlign w:val="center"/>
                </w:tcPr>
                <w:p w14:paraId="5C7758A4">
                  <w:pPr>
                    <w:snapToGrid w:val="0"/>
                    <w:spacing w:line="440" w:lineRule="exact"/>
                    <w:jc w:val="cente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租赁和商务服务业</w:t>
                  </w:r>
                </w:p>
              </w:tc>
            </w:tr>
            <w:tr w14:paraId="6CB34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3" w:type="dxa"/>
                  <w:tcBorders>
                    <w:top w:val="single" w:color="auto" w:sz="4" w:space="0"/>
                    <w:left w:val="single" w:color="auto" w:sz="4" w:space="0"/>
                    <w:bottom w:val="single" w:color="auto" w:sz="4" w:space="0"/>
                    <w:right w:val="single" w:color="auto" w:sz="4" w:space="0"/>
                  </w:tcBorders>
                  <w:vAlign w:val="center"/>
                </w:tcPr>
                <w:p w14:paraId="57CDEFF9">
                  <w:pPr>
                    <w:pStyle w:val="29"/>
                    <w:jc w:val="center"/>
                    <w:rPr>
                      <w:rFonts w:hint="eastAsia" w:ascii="宋体" w:hAnsi="宋体" w:eastAsia="宋体" w:cs="宋体"/>
                      <w:bCs/>
                      <w:color w:val="auto"/>
                      <w:sz w:val="24"/>
                      <w:highlight w:val="none"/>
                      <w:lang w:val="en-US" w:eastAsia="zh-CN"/>
                    </w:rPr>
                  </w:pPr>
                  <w:r>
                    <w:rPr>
                      <w:rFonts w:hint="eastAsia" w:ascii="宋体" w:hAnsi="宋体" w:eastAsia="宋体" w:cs="宋体"/>
                      <w:color w:val="auto"/>
                      <w:kern w:val="2"/>
                      <w:sz w:val="24"/>
                      <w:szCs w:val="24"/>
                      <w:highlight w:val="none"/>
                      <w:lang w:val="en-US" w:eastAsia="zh-CN"/>
                    </w:rPr>
                    <w:t>02</w:t>
                  </w:r>
                </w:p>
              </w:tc>
              <w:tc>
                <w:tcPr>
                  <w:tcW w:w="3828" w:type="dxa"/>
                  <w:tcBorders>
                    <w:top w:val="single" w:color="auto" w:sz="4" w:space="0"/>
                    <w:left w:val="single" w:color="auto" w:sz="4" w:space="0"/>
                    <w:bottom w:val="single" w:color="auto" w:sz="4" w:space="0"/>
                    <w:right w:val="single" w:color="auto" w:sz="4" w:space="0"/>
                  </w:tcBorders>
                  <w:vAlign w:val="center"/>
                </w:tcPr>
                <w:p w14:paraId="05755875">
                  <w:pPr>
                    <w:pStyle w:val="29"/>
                    <w:rPr>
                      <w:rFonts w:hint="eastAsia" w:ascii="宋体" w:hAnsi="宋体" w:eastAsia="宋体" w:cs="宋体"/>
                      <w:color w:val="auto"/>
                      <w:sz w:val="24"/>
                      <w:highlight w:val="none"/>
                    </w:rPr>
                  </w:pPr>
                  <w:r>
                    <w:rPr>
                      <w:rFonts w:hint="eastAsia" w:hAnsi="宋体" w:cs="宋体"/>
                      <w:color w:val="auto"/>
                      <w:sz w:val="24"/>
                      <w:szCs w:val="24"/>
                      <w:highlight w:val="none"/>
                      <w:u w:val="none"/>
                      <w:lang w:val="en-US" w:eastAsia="zh-CN"/>
                    </w:rPr>
                    <w:t>2025年交通扣留扣押车辆保管费(城中区)</w:t>
                  </w:r>
                </w:p>
              </w:tc>
              <w:tc>
                <w:tcPr>
                  <w:tcW w:w="2490" w:type="dxa"/>
                  <w:tcBorders>
                    <w:top w:val="single" w:color="auto" w:sz="4" w:space="0"/>
                    <w:left w:val="single" w:color="auto" w:sz="4" w:space="0"/>
                    <w:bottom w:val="single" w:color="auto" w:sz="4" w:space="0"/>
                    <w:right w:val="single" w:color="auto" w:sz="4" w:space="0"/>
                  </w:tcBorders>
                  <w:vAlign w:val="center"/>
                </w:tcPr>
                <w:p w14:paraId="4F279869">
                  <w:pPr>
                    <w:snapToGrid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租赁和商务服务业</w:t>
                  </w:r>
                </w:p>
              </w:tc>
            </w:tr>
            <w:tr w14:paraId="3E8D3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3" w:type="dxa"/>
                  <w:tcBorders>
                    <w:top w:val="single" w:color="auto" w:sz="4" w:space="0"/>
                    <w:left w:val="single" w:color="auto" w:sz="4" w:space="0"/>
                    <w:bottom w:val="single" w:color="auto" w:sz="4" w:space="0"/>
                    <w:right w:val="single" w:color="auto" w:sz="4" w:space="0"/>
                  </w:tcBorders>
                  <w:vAlign w:val="center"/>
                </w:tcPr>
                <w:p w14:paraId="590BF274">
                  <w:pPr>
                    <w:pStyle w:val="29"/>
                    <w:jc w:val="center"/>
                    <w:rPr>
                      <w:rFonts w:hint="eastAsia" w:ascii="宋体" w:hAnsi="宋体" w:eastAsia="宋体" w:cs="宋体"/>
                      <w:bCs/>
                      <w:color w:val="auto"/>
                      <w:sz w:val="24"/>
                      <w:highlight w:val="none"/>
                      <w:lang w:val="en-US" w:eastAsia="zh-CN"/>
                    </w:rPr>
                  </w:pPr>
                  <w:r>
                    <w:rPr>
                      <w:rFonts w:hint="eastAsia" w:ascii="宋体" w:hAnsi="宋体" w:eastAsia="宋体" w:cs="宋体"/>
                      <w:color w:val="auto"/>
                      <w:kern w:val="2"/>
                      <w:sz w:val="24"/>
                      <w:szCs w:val="24"/>
                      <w:highlight w:val="none"/>
                      <w:lang w:val="en-US" w:eastAsia="zh-CN"/>
                    </w:rPr>
                    <w:t>03</w:t>
                  </w:r>
                </w:p>
              </w:tc>
              <w:tc>
                <w:tcPr>
                  <w:tcW w:w="3828" w:type="dxa"/>
                  <w:tcBorders>
                    <w:top w:val="single" w:color="auto" w:sz="4" w:space="0"/>
                    <w:left w:val="single" w:color="auto" w:sz="4" w:space="0"/>
                    <w:bottom w:val="single" w:color="auto" w:sz="4" w:space="0"/>
                    <w:right w:val="single" w:color="auto" w:sz="4" w:space="0"/>
                  </w:tcBorders>
                  <w:vAlign w:val="center"/>
                </w:tcPr>
                <w:p w14:paraId="39DDFE1F">
                  <w:pPr>
                    <w:pStyle w:val="29"/>
                    <w:rPr>
                      <w:rFonts w:hint="eastAsia" w:ascii="宋体" w:hAnsi="宋体" w:eastAsia="宋体" w:cs="宋体"/>
                      <w:color w:val="auto"/>
                      <w:sz w:val="24"/>
                      <w:highlight w:val="none"/>
                    </w:rPr>
                  </w:pPr>
                  <w:r>
                    <w:rPr>
                      <w:rFonts w:hint="eastAsia" w:hAnsi="宋体" w:cs="宋体"/>
                      <w:color w:val="auto"/>
                      <w:sz w:val="24"/>
                      <w:szCs w:val="24"/>
                      <w:highlight w:val="none"/>
                      <w:u w:val="none"/>
                      <w:lang w:val="en-US" w:eastAsia="zh-CN"/>
                    </w:rPr>
                    <w:t>2025年交通扣留扣押车辆保管费(城西区)</w:t>
                  </w:r>
                </w:p>
              </w:tc>
              <w:tc>
                <w:tcPr>
                  <w:tcW w:w="2490" w:type="dxa"/>
                  <w:tcBorders>
                    <w:top w:val="single" w:color="auto" w:sz="4" w:space="0"/>
                    <w:left w:val="single" w:color="auto" w:sz="4" w:space="0"/>
                    <w:bottom w:val="single" w:color="auto" w:sz="4" w:space="0"/>
                    <w:right w:val="single" w:color="auto" w:sz="4" w:space="0"/>
                  </w:tcBorders>
                  <w:vAlign w:val="center"/>
                </w:tcPr>
                <w:p w14:paraId="5CA180AC">
                  <w:pPr>
                    <w:snapToGrid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租赁和商务服务业</w:t>
                  </w:r>
                </w:p>
              </w:tc>
            </w:tr>
          </w:tbl>
          <w:p w14:paraId="42EA6722">
            <w:pPr>
              <w:jc w:val="left"/>
              <w:rPr>
                <w:rFonts w:hint="eastAsia" w:ascii="宋体" w:hAnsi="宋体" w:eastAsia="宋体" w:cs="宋体"/>
                <w:color w:val="auto"/>
                <w:sz w:val="24"/>
                <w:highlight w:val="none"/>
              </w:rPr>
            </w:pPr>
          </w:p>
        </w:tc>
      </w:tr>
      <w:tr w14:paraId="51148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gridSpan w:val="2"/>
            <w:vAlign w:val="center"/>
          </w:tcPr>
          <w:p w14:paraId="05B1A0C6">
            <w:pPr>
              <w:pStyle w:val="24"/>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w:t>
            </w:r>
          </w:p>
        </w:tc>
        <w:tc>
          <w:tcPr>
            <w:tcW w:w="1701" w:type="dxa"/>
            <w:vAlign w:val="center"/>
          </w:tcPr>
          <w:p w14:paraId="59EE5F4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报价</w:t>
            </w:r>
          </w:p>
        </w:tc>
        <w:tc>
          <w:tcPr>
            <w:tcW w:w="7253" w:type="dxa"/>
            <w:vAlign w:val="center"/>
          </w:tcPr>
          <w:p w14:paraId="44FE10E3">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报价的特殊规定：</w:t>
            </w:r>
          </w:p>
          <w:p w14:paraId="19172087">
            <w:pPr>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无</w:t>
            </w:r>
          </w:p>
          <w:p w14:paraId="3BAA63F3">
            <w:pPr>
              <w:jc w:val="left"/>
              <w:rPr>
                <w:rFonts w:hint="eastAsia" w:ascii="宋体" w:hAnsi="宋体" w:eastAsia="宋体" w:cs="宋体"/>
                <w:color w:val="auto"/>
                <w:sz w:val="24"/>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sz w:val="24"/>
                <w:highlight w:val="none"/>
              </w:rPr>
              <w:t>有，具体情形：</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tc>
      </w:tr>
      <w:tr w14:paraId="4EC2A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gridSpan w:val="2"/>
            <w:vAlign w:val="center"/>
          </w:tcPr>
          <w:p w14:paraId="2D92822B">
            <w:pPr>
              <w:pStyle w:val="24"/>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p>
        </w:tc>
        <w:tc>
          <w:tcPr>
            <w:tcW w:w="1701" w:type="dxa"/>
            <w:vMerge w:val="restart"/>
            <w:vAlign w:val="center"/>
          </w:tcPr>
          <w:p w14:paraId="1EB3E35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磋商保证金</w:t>
            </w:r>
          </w:p>
        </w:tc>
        <w:tc>
          <w:tcPr>
            <w:tcW w:w="7253" w:type="dxa"/>
            <w:vAlign w:val="center"/>
          </w:tcPr>
          <w:p w14:paraId="5276887F">
            <w:pPr>
              <w:pStyle w:val="24"/>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磋商保证金金额：</w:t>
            </w:r>
          </w:p>
          <w:p w14:paraId="2D22C6F7">
            <w:pPr>
              <w:pStyle w:val="24"/>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01包：</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894D877">
            <w:pPr>
              <w:pStyle w:val="24"/>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包：</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CE39956">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磋商保证金收受人信息：</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highlight w:val="none"/>
              </w:rPr>
              <w:t>。</w:t>
            </w:r>
          </w:p>
        </w:tc>
      </w:tr>
      <w:tr w14:paraId="47312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gridSpan w:val="2"/>
            <w:vAlign w:val="center"/>
          </w:tcPr>
          <w:p w14:paraId="1DC6B098">
            <w:pPr>
              <w:pStyle w:val="24"/>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11.7.5</w:t>
            </w:r>
          </w:p>
        </w:tc>
        <w:tc>
          <w:tcPr>
            <w:tcW w:w="1701" w:type="dxa"/>
            <w:vMerge w:val="continue"/>
            <w:vAlign w:val="center"/>
          </w:tcPr>
          <w:p w14:paraId="5FE9EC2C">
            <w:pPr>
              <w:jc w:val="center"/>
              <w:rPr>
                <w:rFonts w:hint="eastAsia" w:ascii="宋体" w:hAnsi="宋体" w:eastAsia="宋体" w:cs="宋体"/>
                <w:color w:val="auto"/>
                <w:sz w:val="24"/>
                <w:highlight w:val="none"/>
              </w:rPr>
            </w:pPr>
          </w:p>
        </w:tc>
        <w:tc>
          <w:tcPr>
            <w:tcW w:w="7253" w:type="dxa"/>
            <w:vAlign w:val="center"/>
          </w:tcPr>
          <w:p w14:paraId="6CEA1D8F">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磋商保证金不予退还的其他情形：</w:t>
            </w:r>
          </w:p>
          <w:p w14:paraId="46A708D8">
            <w:pPr>
              <w:jc w:val="left"/>
              <w:rPr>
                <w:rFonts w:hint="eastAsia" w:ascii="宋体" w:hAnsi="宋体" w:eastAsia="宋体" w:cs="宋体"/>
                <w:color w:val="auto"/>
                <w:sz w:val="24"/>
                <w:highlight w:val="none"/>
              </w:rPr>
            </w:pPr>
            <w:r>
              <w:rPr>
                <w:rFonts w:hint="eastAsia" w:ascii="宋体" w:hAnsi="宋体" w:eastAsia="宋体" w:cs="宋体"/>
                <w:color w:val="auto"/>
                <w:highlight w:val="none"/>
              </w:rPr>
              <w:t>□</w:t>
            </w:r>
            <w:r>
              <w:rPr>
                <w:rFonts w:hint="eastAsia" w:ascii="宋体" w:hAnsi="宋体" w:eastAsia="宋体" w:cs="宋体"/>
                <w:color w:val="auto"/>
                <w:sz w:val="24"/>
                <w:highlight w:val="none"/>
              </w:rPr>
              <w:t>无</w:t>
            </w:r>
          </w:p>
          <w:p w14:paraId="05DC4084">
            <w:pPr>
              <w:pStyle w:val="24"/>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highlight w:val="none"/>
              </w:rPr>
              <w:t>□</w:t>
            </w:r>
            <w:r>
              <w:rPr>
                <w:rFonts w:hint="eastAsia" w:ascii="宋体" w:hAnsi="宋体" w:eastAsia="宋体" w:cs="宋体"/>
                <w:color w:val="auto"/>
                <w:sz w:val="24"/>
                <w:highlight w:val="none"/>
              </w:rPr>
              <w:t>有，具体情形：</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highlight w:val="none"/>
              </w:rPr>
              <w:t>。</w:t>
            </w:r>
          </w:p>
        </w:tc>
      </w:tr>
      <w:tr w14:paraId="29502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988" w:type="dxa"/>
            <w:gridSpan w:val="2"/>
            <w:vAlign w:val="center"/>
          </w:tcPr>
          <w:p w14:paraId="305C1545">
            <w:pPr>
              <w:pStyle w:val="24"/>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1701" w:type="dxa"/>
            <w:vAlign w:val="center"/>
          </w:tcPr>
          <w:p w14:paraId="4436852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响应有效期</w:t>
            </w:r>
          </w:p>
        </w:tc>
        <w:tc>
          <w:tcPr>
            <w:tcW w:w="7253" w:type="dxa"/>
            <w:vAlign w:val="center"/>
          </w:tcPr>
          <w:p w14:paraId="7DE441BA">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自响应文件提交截止之日起算</w:t>
            </w:r>
            <w:r>
              <w:rPr>
                <w:rFonts w:hint="eastAsia" w:ascii="宋体" w:hAnsi="宋体" w:eastAsia="宋体" w:cs="宋体"/>
                <w:color w:val="auto"/>
                <w:sz w:val="24"/>
                <w:highlight w:val="none"/>
                <w:u w:val="single"/>
              </w:rPr>
              <w:t xml:space="preserve">  90  </w:t>
            </w:r>
            <w:r>
              <w:rPr>
                <w:rFonts w:hint="eastAsia" w:ascii="宋体" w:hAnsi="宋体" w:eastAsia="宋体" w:cs="宋体"/>
                <w:color w:val="auto"/>
                <w:sz w:val="24"/>
                <w:highlight w:val="none"/>
              </w:rPr>
              <w:t>日历天。</w:t>
            </w:r>
          </w:p>
        </w:tc>
      </w:tr>
      <w:tr w14:paraId="645BD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gridSpan w:val="2"/>
            <w:vAlign w:val="center"/>
          </w:tcPr>
          <w:p w14:paraId="52FEB1AE">
            <w:pPr>
              <w:pStyle w:val="24"/>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w:t>
            </w:r>
          </w:p>
        </w:tc>
        <w:tc>
          <w:tcPr>
            <w:tcW w:w="1701" w:type="dxa"/>
            <w:vAlign w:val="center"/>
          </w:tcPr>
          <w:p w14:paraId="5F5B1EE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确定成交供应商</w:t>
            </w:r>
          </w:p>
        </w:tc>
        <w:tc>
          <w:tcPr>
            <w:tcW w:w="7253" w:type="dxa"/>
            <w:vAlign w:val="center"/>
          </w:tcPr>
          <w:p w14:paraId="15982AD2">
            <w:pPr>
              <w:pStyle w:val="24"/>
              <w:adjustRightInd w:val="0"/>
              <w:snapToGrid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采购人是否授权磋商小组直接确定成交供应商：</w:t>
            </w:r>
          </w:p>
          <w:p w14:paraId="3590519C">
            <w:pPr>
              <w:pStyle w:val="24"/>
              <w:adjustRightInd w:val="0"/>
              <w:snapToGrid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■否</w:t>
            </w:r>
          </w:p>
          <w:p w14:paraId="156A5C03">
            <w:pPr>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□是</w:t>
            </w:r>
          </w:p>
          <w:p w14:paraId="345BD8F8">
            <w:pPr>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成交候选人并列的，按照以下方式确定成交供应商：</w:t>
            </w:r>
          </w:p>
          <w:p w14:paraId="33841069">
            <w:pPr>
              <w:pStyle w:val="24"/>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■得分且投标报价均相同的，以</w:t>
            </w:r>
            <w:r>
              <w:rPr>
                <w:rFonts w:hint="eastAsia" w:ascii="宋体" w:hAnsi="宋体" w:eastAsia="宋体" w:cs="宋体"/>
                <w:color w:val="auto"/>
                <w:sz w:val="24"/>
                <w:highlight w:val="none"/>
                <w:u w:val="single"/>
              </w:rPr>
              <w:t>技术部分</w:t>
            </w:r>
            <w:r>
              <w:rPr>
                <w:rFonts w:hint="eastAsia" w:ascii="宋体" w:hAnsi="宋体" w:eastAsia="宋体" w:cs="宋体"/>
                <w:color w:val="auto"/>
                <w:sz w:val="24"/>
                <w:highlight w:val="none"/>
              </w:rPr>
              <w:t>得分高者为</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人</w:t>
            </w:r>
          </w:p>
          <w:p w14:paraId="7D14B0FF">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□随机抽取</w:t>
            </w:r>
          </w:p>
          <w:p w14:paraId="43AFCB4E">
            <w:pPr>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磋商小组按照第一包至第三包的顺序进行磋商，如果投标人已在此前某个分包排名第一，则该供应商商务评审部分及技术评审部分得分为“0”不再被推荐为其他分包的成交候选供应商，其余分包将按排名顺序递补排序在前且尚未成交的供应商为该分包的成交供应商。</w:t>
            </w:r>
          </w:p>
        </w:tc>
      </w:tr>
      <w:tr w14:paraId="40822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jc w:val="center"/>
        </w:trPr>
        <w:tc>
          <w:tcPr>
            <w:tcW w:w="988" w:type="dxa"/>
            <w:gridSpan w:val="2"/>
            <w:vAlign w:val="center"/>
          </w:tcPr>
          <w:p w14:paraId="0B26B170">
            <w:pPr>
              <w:pStyle w:val="24"/>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23.5</w:t>
            </w:r>
          </w:p>
        </w:tc>
        <w:tc>
          <w:tcPr>
            <w:tcW w:w="1701" w:type="dxa"/>
            <w:vAlign w:val="center"/>
          </w:tcPr>
          <w:p w14:paraId="0F4CC1D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分包</w:t>
            </w:r>
          </w:p>
        </w:tc>
        <w:tc>
          <w:tcPr>
            <w:tcW w:w="7253" w:type="dxa"/>
            <w:vAlign w:val="center"/>
          </w:tcPr>
          <w:p w14:paraId="6A2DDF2A">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本项目是否允许分包： </w:t>
            </w:r>
          </w:p>
          <w:p w14:paraId="26DA0A8D">
            <w:pPr>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不允许</w:t>
            </w:r>
          </w:p>
          <w:p w14:paraId="2238DA87">
            <w:pPr>
              <w:jc w:val="left"/>
              <w:rPr>
                <w:rFonts w:hint="eastAsia" w:ascii="宋体" w:hAnsi="宋体" w:eastAsia="宋体" w:cs="宋体"/>
                <w:color w:val="auto"/>
                <w:sz w:val="24"/>
                <w:highlight w:val="none"/>
              </w:rPr>
            </w:pPr>
            <w:r>
              <w:rPr>
                <w:rFonts w:hint="eastAsia" w:ascii="宋体" w:hAnsi="宋体" w:eastAsia="宋体" w:cs="宋体"/>
                <w:color w:val="auto"/>
                <w:highlight w:val="none"/>
              </w:rPr>
              <w:t>□</w:t>
            </w:r>
            <w:r>
              <w:rPr>
                <w:rFonts w:hint="eastAsia" w:ascii="宋体" w:hAnsi="宋体" w:eastAsia="宋体" w:cs="宋体"/>
                <w:color w:val="auto"/>
                <w:sz w:val="24"/>
                <w:highlight w:val="none"/>
              </w:rPr>
              <w:t>允许，具体要求：_______。</w:t>
            </w:r>
          </w:p>
          <w:p w14:paraId="5670EBDD">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（1）可以分包履行的具体内容：_______；</w:t>
            </w:r>
          </w:p>
          <w:p w14:paraId="4AE1B938">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（2）允许分包的金额或者比例：_______；</w:t>
            </w:r>
          </w:p>
          <w:p w14:paraId="4538B1E6">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（3）其他要求：_______。</w:t>
            </w:r>
          </w:p>
        </w:tc>
      </w:tr>
      <w:tr w14:paraId="31BF6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988" w:type="dxa"/>
            <w:gridSpan w:val="2"/>
            <w:vAlign w:val="center"/>
          </w:tcPr>
          <w:p w14:paraId="7752FEB4">
            <w:pPr>
              <w:pStyle w:val="24"/>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24.1.1</w:t>
            </w:r>
          </w:p>
        </w:tc>
        <w:tc>
          <w:tcPr>
            <w:tcW w:w="1701" w:type="dxa"/>
            <w:vAlign w:val="center"/>
          </w:tcPr>
          <w:p w14:paraId="588158B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询问</w:t>
            </w:r>
          </w:p>
        </w:tc>
        <w:tc>
          <w:tcPr>
            <w:tcW w:w="7253" w:type="dxa"/>
            <w:vAlign w:val="center"/>
          </w:tcPr>
          <w:p w14:paraId="236AED37">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询问送达形式：</w:t>
            </w:r>
            <w:r>
              <w:rPr>
                <w:rFonts w:hint="eastAsia" w:ascii="宋体" w:hAnsi="宋体" w:eastAsia="宋体" w:cs="宋体"/>
                <w:color w:val="auto"/>
                <w:sz w:val="24"/>
                <w:highlight w:val="none"/>
                <w:u w:val="single"/>
              </w:rPr>
              <w:t>书面形式（传真、电子邮件、加盖单位公章的纸质文件等）</w:t>
            </w:r>
            <w:r>
              <w:rPr>
                <w:rFonts w:hint="eastAsia" w:ascii="宋体" w:hAnsi="宋体" w:eastAsia="宋体" w:cs="宋体"/>
                <w:color w:val="auto"/>
                <w:sz w:val="24"/>
                <w:highlight w:val="none"/>
              </w:rPr>
              <w:t>。</w:t>
            </w:r>
          </w:p>
        </w:tc>
      </w:tr>
      <w:tr w14:paraId="2C69D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988" w:type="dxa"/>
            <w:gridSpan w:val="2"/>
            <w:vAlign w:val="center"/>
          </w:tcPr>
          <w:p w14:paraId="553178A3">
            <w:pPr>
              <w:pStyle w:val="24"/>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w:t>
            </w:r>
          </w:p>
        </w:tc>
        <w:tc>
          <w:tcPr>
            <w:tcW w:w="1701" w:type="dxa"/>
            <w:vAlign w:val="center"/>
          </w:tcPr>
          <w:p w14:paraId="5AA0173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联系方式</w:t>
            </w:r>
          </w:p>
        </w:tc>
        <w:tc>
          <w:tcPr>
            <w:tcW w:w="7253" w:type="dxa"/>
            <w:vAlign w:val="center"/>
          </w:tcPr>
          <w:p w14:paraId="06380EF4">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接收询问和质疑的联系方式</w:t>
            </w:r>
          </w:p>
          <w:p w14:paraId="17300012">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联系部门：</w:t>
            </w:r>
            <w:r>
              <w:rPr>
                <w:rFonts w:hint="eastAsia" w:ascii="宋体" w:hAnsi="宋体" w:eastAsia="宋体" w:cs="宋体"/>
                <w:color w:val="auto"/>
                <w:sz w:val="24"/>
                <w:highlight w:val="none"/>
                <w:u w:val="single"/>
              </w:rPr>
              <w:t>北京禾源工程造价咨询有限公司</w:t>
            </w:r>
            <w:r>
              <w:rPr>
                <w:rFonts w:hint="eastAsia" w:ascii="宋体" w:hAnsi="宋体" w:eastAsia="宋体" w:cs="宋体"/>
                <w:color w:val="auto"/>
                <w:sz w:val="24"/>
                <w:highlight w:val="none"/>
              </w:rPr>
              <w:t>；</w:t>
            </w:r>
          </w:p>
          <w:p w14:paraId="1D62559D">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cs="宋体"/>
                <w:color w:val="auto"/>
                <w:sz w:val="24"/>
                <w:highlight w:val="none"/>
                <w:u w:val="single"/>
                <w:lang w:eastAsia="zh-CN"/>
              </w:rPr>
              <w:t>程亚华</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010-50933031</w:t>
            </w:r>
            <w:r>
              <w:rPr>
                <w:rFonts w:hint="eastAsia" w:ascii="宋体" w:hAnsi="宋体" w:eastAsia="宋体" w:cs="宋体"/>
                <w:color w:val="auto"/>
                <w:sz w:val="24"/>
                <w:highlight w:val="none"/>
              </w:rPr>
              <w:t>；</w:t>
            </w:r>
          </w:p>
          <w:p w14:paraId="0D64FA26">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通讯地址：</w:t>
            </w:r>
            <w:r>
              <w:rPr>
                <w:rFonts w:hint="eastAsia" w:ascii="宋体" w:hAnsi="宋体" w:cs="宋体"/>
                <w:color w:val="auto"/>
                <w:sz w:val="24"/>
                <w:highlight w:val="none"/>
                <w:u w:val="single"/>
                <w:lang w:eastAsia="zh-CN"/>
              </w:rPr>
              <w:t>北京市顺义区仁和镇高顺云港新能科技园18号楼二层</w:t>
            </w:r>
            <w:r>
              <w:rPr>
                <w:rFonts w:hint="eastAsia" w:ascii="宋体" w:hAnsi="宋体" w:eastAsia="宋体" w:cs="宋体"/>
                <w:color w:val="auto"/>
                <w:sz w:val="24"/>
                <w:highlight w:val="none"/>
              </w:rPr>
              <w:t>。</w:t>
            </w:r>
          </w:p>
        </w:tc>
      </w:tr>
      <w:tr w14:paraId="54112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8" w:hRule="atLeast"/>
          <w:jc w:val="center"/>
        </w:trPr>
        <w:tc>
          <w:tcPr>
            <w:tcW w:w="988" w:type="dxa"/>
            <w:gridSpan w:val="2"/>
            <w:vAlign w:val="center"/>
          </w:tcPr>
          <w:p w14:paraId="194C62B8">
            <w:pPr>
              <w:pStyle w:val="24"/>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1701" w:type="dxa"/>
            <w:vAlign w:val="center"/>
          </w:tcPr>
          <w:p w14:paraId="23BA10F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代理费</w:t>
            </w:r>
          </w:p>
        </w:tc>
        <w:tc>
          <w:tcPr>
            <w:tcW w:w="7253" w:type="dxa"/>
            <w:vAlign w:val="center"/>
          </w:tcPr>
          <w:p w14:paraId="3E5104C2">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收费对象：</w:t>
            </w:r>
          </w:p>
          <w:p w14:paraId="4C349565">
            <w:pPr>
              <w:jc w:val="left"/>
              <w:rPr>
                <w:rFonts w:hint="eastAsia" w:ascii="宋体" w:hAnsi="宋体" w:eastAsia="宋体" w:cs="宋体"/>
                <w:color w:val="auto"/>
                <w:sz w:val="24"/>
                <w:highlight w:val="none"/>
              </w:rPr>
            </w:pPr>
            <w:r>
              <w:rPr>
                <w:rFonts w:hint="eastAsia" w:ascii="宋体" w:hAnsi="宋体" w:eastAsia="宋体" w:cs="宋体"/>
                <w:color w:val="auto"/>
                <w:highlight w:val="none"/>
              </w:rPr>
              <w:t>□</w:t>
            </w:r>
            <w:r>
              <w:rPr>
                <w:rFonts w:hint="eastAsia" w:ascii="宋体" w:hAnsi="宋体" w:eastAsia="宋体" w:cs="宋体"/>
                <w:color w:val="auto"/>
                <w:sz w:val="24"/>
                <w:highlight w:val="none"/>
              </w:rPr>
              <w:t>采购人</w:t>
            </w:r>
          </w:p>
          <w:p w14:paraId="48DF0267">
            <w:pPr>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成交供应商</w:t>
            </w:r>
          </w:p>
          <w:p w14:paraId="654F4D57">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收费标准：参照使用国家发展改革委《关于进一步放开建设项目专业服务价格的通知》（发改价格〔2015〕299号）文件的规定计取费用及结合市场收费，以最终中标价对应的招标代理服务费费率计取，向中标单位收取招标代理服务费；</w:t>
            </w:r>
          </w:p>
          <w:p w14:paraId="055AF2AE">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缴纳时间：</w:t>
            </w:r>
            <w:r>
              <w:rPr>
                <w:rFonts w:hint="eastAsia" w:ascii="宋体" w:hAnsi="宋体" w:eastAsia="宋体" w:cs="宋体"/>
                <w:color w:val="auto"/>
                <w:sz w:val="24"/>
                <w:highlight w:val="none"/>
                <w:u w:val="single"/>
                <w:lang w:val="en-US" w:eastAsia="zh-CN"/>
              </w:rPr>
              <w:t>由成交</w:t>
            </w:r>
            <w:r>
              <w:rPr>
                <w:rFonts w:hint="eastAsia" w:ascii="宋体" w:hAnsi="宋体" w:eastAsia="宋体" w:cs="宋体"/>
                <w:color w:val="auto"/>
                <w:sz w:val="24"/>
                <w:highlight w:val="none"/>
                <w:u w:val="single"/>
              </w:rPr>
              <w:t>人领取</w:t>
            </w:r>
            <w:r>
              <w:rPr>
                <w:rFonts w:hint="eastAsia" w:ascii="宋体" w:hAnsi="宋体" w:eastAsia="宋体" w:cs="宋体"/>
                <w:color w:val="auto"/>
                <w:sz w:val="24"/>
                <w:highlight w:val="none"/>
                <w:u w:val="single"/>
                <w:lang w:val="en-US" w:eastAsia="zh-CN"/>
              </w:rPr>
              <w:t>成交</w:t>
            </w:r>
            <w:r>
              <w:rPr>
                <w:rFonts w:hint="eastAsia" w:ascii="宋体" w:hAnsi="宋体" w:eastAsia="宋体" w:cs="宋体"/>
                <w:color w:val="auto"/>
                <w:sz w:val="24"/>
                <w:highlight w:val="none"/>
                <w:u w:val="single"/>
              </w:rPr>
              <w:t>通知书</w:t>
            </w:r>
            <w:r>
              <w:rPr>
                <w:rFonts w:hint="eastAsia" w:ascii="宋体" w:hAnsi="宋体" w:eastAsia="宋体" w:cs="宋体"/>
                <w:color w:val="auto"/>
                <w:sz w:val="24"/>
                <w:highlight w:val="none"/>
                <w:u w:val="single"/>
                <w:lang w:val="en-US" w:eastAsia="zh-CN"/>
              </w:rPr>
              <w:t>之前</w:t>
            </w:r>
            <w:r>
              <w:rPr>
                <w:rFonts w:hint="eastAsia" w:ascii="宋体" w:hAnsi="宋体" w:eastAsia="宋体" w:cs="宋体"/>
                <w:color w:val="auto"/>
                <w:sz w:val="24"/>
                <w:highlight w:val="none"/>
                <w:u w:val="single"/>
              </w:rPr>
              <w:t>向采购代理机构一次性支付招标代理服务费</w:t>
            </w:r>
            <w:r>
              <w:rPr>
                <w:rFonts w:hint="eastAsia" w:ascii="宋体" w:hAnsi="宋体" w:eastAsia="宋体" w:cs="宋体"/>
                <w:color w:val="auto"/>
                <w:sz w:val="24"/>
                <w:highlight w:val="none"/>
              </w:rPr>
              <w:t>。</w:t>
            </w:r>
          </w:p>
        </w:tc>
      </w:tr>
      <w:tr w14:paraId="4DD86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988" w:type="dxa"/>
            <w:gridSpan w:val="2"/>
            <w:vAlign w:val="center"/>
          </w:tcPr>
          <w:p w14:paraId="1E83080C">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26</w:t>
            </w:r>
          </w:p>
        </w:tc>
        <w:tc>
          <w:tcPr>
            <w:tcW w:w="1701" w:type="dxa"/>
            <w:vAlign w:val="center"/>
          </w:tcPr>
          <w:p w14:paraId="1083FA62">
            <w:pPr>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其他补充内容</w:t>
            </w:r>
          </w:p>
        </w:tc>
        <w:tc>
          <w:tcPr>
            <w:tcW w:w="7253" w:type="dxa"/>
            <w:vAlign w:val="center"/>
          </w:tcPr>
          <w:p w14:paraId="6680C107">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F06E"/>
            </w:r>
            <w:r>
              <w:rPr>
                <w:rFonts w:hint="eastAsia" w:ascii="宋体" w:hAnsi="宋体" w:eastAsia="宋体" w:cs="宋体"/>
                <w:color w:val="auto"/>
                <w:sz w:val="24"/>
                <w:highlight w:val="none"/>
              </w:rPr>
              <w:t>采用招标控制价</w:t>
            </w:r>
          </w:p>
          <w:p w14:paraId="0D5F64AB">
            <w:pPr>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rPr>
              <w:t>招标控制价为：</w:t>
            </w:r>
            <w:r>
              <w:rPr>
                <w:rFonts w:hint="eastAsia" w:ascii="宋体" w:hAnsi="宋体" w:eastAsia="宋体" w:cs="宋体"/>
                <w:color w:val="auto"/>
                <w:sz w:val="24"/>
                <w:highlight w:val="none"/>
                <w:lang w:eastAsia="zh-CN"/>
              </w:rPr>
              <w:t>第一包：</w:t>
            </w:r>
            <w:r>
              <w:rPr>
                <w:rFonts w:hint="eastAsia" w:ascii="宋体" w:hAnsi="宋体" w:cs="宋体"/>
                <w:color w:val="auto"/>
                <w:sz w:val="24"/>
                <w:highlight w:val="none"/>
                <w:u w:val="single"/>
                <w:lang w:eastAsia="zh-CN"/>
              </w:rPr>
              <w:t>116.932955</w:t>
            </w:r>
            <w:r>
              <w:rPr>
                <w:rFonts w:hint="eastAsia" w:ascii="宋体" w:hAnsi="宋体" w:eastAsia="宋体" w:cs="宋体"/>
                <w:color w:val="auto"/>
                <w:sz w:val="24"/>
                <w:highlight w:val="none"/>
                <w:u w:val="none"/>
                <w:lang w:eastAsia="zh-CN"/>
              </w:rPr>
              <w:t>万</w:t>
            </w:r>
            <w:r>
              <w:rPr>
                <w:rFonts w:hint="eastAsia" w:ascii="宋体" w:hAnsi="宋体" w:eastAsia="宋体" w:cs="宋体"/>
                <w:color w:val="auto"/>
                <w:sz w:val="24"/>
                <w:highlight w:val="none"/>
              </w:rPr>
              <w:t>元。</w:t>
            </w:r>
          </w:p>
          <w:p w14:paraId="0B9A4707">
            <w:pPr>
              <w:ind w:firstLine="240" w:firstLineChars="1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第二包：</w:t>
            </w:r>
            <w:r>
              <w:rPr>
                <w:rFonts w:hint="eastAsia" w:ascii="宋体" w:hAnsi="宋体" w:cs="宋体"/>
                <w:color w:val="auto"/>
                <w:sz w:val="24"/>
                <w:highlight w:val="none"/>
                <w:u w:val="single"/>
                <w:lang w:eastAsia="zh-CN"/>
              </w:rPr>
              <w:t>112.496655</w:t>
            </w:r>
            <w:r>
              <w:rPr>
                <w:rFonts w:hint="eastAsia" w:ascii="宋体" w:hAnsi="宋体" w:eastAsia="宋体" w:cs="宋体"/>
                <w:color w:val="auto"/>
                <w:kern w:val="2"/>
                <w:sz w:val="24"/>
                <w:szCs w:val="24"/>
                <w:highlight w:val="none"/>
              </w:rPr>
              <w:t>万元</w:t>
            </w:r>
            <w:r>
              <w:rPr>
                <w:rFonts w:hint="eastAsia" w:ascii="宋体" w:hAnsi="宋体" w:eastAsia="宋体" w:cs="宋体"/>
                <w:color w:val="auto"/>
                <w:highlight w:val="none"/>
                <w:lang w:eastAsia="zh-CN"/>
              </w:rPr>
              <w:t>。</w:t>
            </w:r>
          </w:p>
          <w:p w14:paraId="6A80AA39">
            <w:pPr>
              <w:ind w:firstLine="240" w:firstLineChars="10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highlight w:val="none"/>
                <w:lang w:val="en-US" w:eastAsia="zh-CN"/>
              </w:rPr>
              <w:t xml:space="preserve">                    第三包：</w:t>
            </w:r>
            <w:r>
              <w:rPr>
                <w:rFonts w:hint="eastAsia" w:ascii="宋体" w:hAnsi="宋体" w:cs="宋体"/>
                <w:color w:val="auto"/>
                <w:sz w:val="24"/>
                <w:highlight w:val="none"/>
                <w:u w:val="single"/>
                <w:lang w:eastAsia="zh-CN"/>
              </w:rPr>
              <w:t>128.922955</w:t>
            </w:r>
            <w:r>
              <w:rPr>
                <w:rFonts w:hint="eastAsia" w:ascii="宋体" w:hAnsi="宋体" w:eastAsia="宋体" w:cs="宋体"/>
                <w:color w:val="auto"/>
                <w:kern w:val="2"/>
                <w:sz w:val="24"/>
                <w:szCs w:val="24"/>
                <w:highlight w:val="none"/>
              </w:rPr>
              <w:t>万元</w:t>
            </w:r>
            <w:r>
              <w:rPr>
                <w:rFonts w:hint="eastAsia" w:ascii="宋体" w:hAnsi="宋体" w:eastAsia="宋体" w:cs="宋体"/>
                <w:color w:val="auto"/>
                <w:highlight w:val="none"/>
                <w:lang w:eastAsia="zh-CN"/>
              </w:rPr>
              <w:t>。</w:t>
            </w:r>
          </w:p>
          <w:p w14:paraId="1DC100B1">
            <w:pPr>
              <w:ind w:firstLine="240" w:firstLineChars="1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注：投标人的投标报价总价超过招标控制价的，按废标处理。</w:t>
            </w:r>
          </w:p>
        </w:tc>
      </w:tr>
      <w:tr w14:paraId="70A9B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jc w:val="center"/>
        </w:trPr>
        <w:tc>
          <w:tcPr>
            <w:tcW w:w="988" w:type="dxa"/>
            <w:gridSpan w:val="2"/>
            <w:vAlign w:val="center"/>
          </w:tcPr>
          <w:p w14:paraId="1C69C306">
            <w:pPr>
              <w:pStyle w:val="24"/>
              <w:adjustRightInd w:val="0"/>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7</w:t>
            </w:r>
          </w:p>
        </w:tc>
        <w:tc>
          <w:tcPr>
            <w:tcW w:w="1701" w:type="dxa"/>
            <w:vAlign w:val="center"/>
          </w:tcPr>
          <w:p w14:paraId="2D46E0A4">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纸质版</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要求</w:t>
            </w:r>
          </w:p>
        </w:tc>
        <w:tc>
          <w:tcPr>
            <w:tcW w:w="7253" w:type="dxa"/>
            <w:vAlign w:val="center"/>
          </w:tcPr>
          <w:p w14:paraId="51B52CE3">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1、递交电子文件的同时需现场递交2套纸质文件（1正1副），纸质</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 xml:space="preserve">说明及要求如下： </w:t>
            </w:r>
          </w:p>
          <w:p w14:paraId="2EA1E14A">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须用不退色的墨水填写或打印，内容与提交的电子</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 xml:space="preserve">一致，资格证明文件、商务技术文件无需分册装订。 </w:t>
            </w:r>
          </w:p>
          <w:p w14:paraId="78229259">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纸质</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需要密封并在开标现场递交。</w:t>
            </w:r>
          </w:p>
          <w:p w14:paraId="6B58EC9C">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密封袋格式和数量不限，封口处加盖投标人公章。封皮上写明： </w:t>
            </w:r>
          </w:p>
          <w:p w14:paraId="26BF2D49">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①</w:t>
            </w:r>
            <w:r>
              <w:rPr>
                <w:rFonts w:hint="eastAsia" w:ascii="宋体" w:hAnsi="宋体" w:eastAsia="宋体" w:cs="宋体"/>
                <w:color w:val="auto"/>
                <w:sz w:val="24"/>
                <w:highlight w:val="none"/>
                <w:lang w:val="en-US" w:eastAsia="zh-CN"/>
              </w:rPr>
              <w:t>响应文件</w:t>
            </w:r>
            <w:r>
              <w:rPr>
                <w:rFonts w:hint="eastAsia" w:ascii="宋体" w:hAnsi="宋体" w:eastAsia="宋体" w:cs="宋体"/>
                <w:color w:val="auto"/>
                <w:sz w:val="24"/>
                <w:highlight w:val="none"/>
              </w:rPr>
              <w:t>、②项目编号、③项目名称（如有分标段的，需要列明标段名称）、⑤投标人名称、⑥</w:t>
            </w:r>
            <w:r>
              <w:rPr>
                <w:rFonts w:hint="eastAsia" w:ascii="宋体" w:hAnsi="宋体" w:eastAsia="宋体" w:cs="宋体"/>
                <w:color w:val="auto"/>
                <w:sz w:val="24"/>
                <w:highlight w:val="none"/>
                <w:lang w:val="en-US" w:eastAsia="zh-CN"/>
              </w:rPr>
              <w:t>磋商</w:t>
            </w:r>
            <w:r>
              <w:rPr>
                <w:rFonts w:hint="eastAsia" w:ascii="宋体" w:hAnsi="宋体" w:eastAsia="宋体" w:cs="宋体"/>
                <w:color w:val="auto"/>
                <w:sz w:val="24"/>
                <w:highlight w:val="none"/>
              </w:rPr>
              <w:t xml:space="preserve">时启封。 </w:t>
            </w:r>
          </w:p>
          <w:p w14:paraId="36594271">
            <w:pPr>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2、参加</w:t>
            </w:r>
            <w:r>
              <w:rPr>
                <w:rFonts w:hint="eastAsia" w:ascii="宋体" w:hAnsi="宋体" w:eastAsia="宋体" w:cs="宋体"/>
                <w:color w:val="auto"/>
                <w:sz w:val="24"/>
                <w:highlight w:val="none"/>
                <w:lang w:val="en-US" w:eastAsia="zh-CN"/>
              </w:rPr>
              <w:t>磋商</w:t>
            </w:r>
            <w:r>
              <w:rPr>
                <w:rFonts w:hint="eastAsia" w:ascii="宋体" w:hAnsi="宋体" w:eastAsia="宋体" w:cs="宋体"/>
                <w:color w:val="auto"/>
                <w:sz w:val="24"/>
                <w:highlight w:val="none"/>
              </w:rPr>
              <w:t>的投标人代表应确保携带加密电子</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相对应的移动数字CA证书，投标人应在规定的时间内对</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进行解密，因非系统原因导致的解密失败，视为投标无效。</w:t>
            </w:r>
          </w:p>
        </w:tc>
      </w:tr>
      <w:tr w14:paraId="7B09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988" w:type="dxa"/>
            <w:gridSpan w:val="2"/>
            <w:vAlign w:val="center"/>
          </w:tcPr>
          <w:p w14:paraId="508E857B">
            <w:pPr>
              <w:pStyle w:val="24"/>
              <w:adjustRightInd w:val="0"/>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8</w:t>
            </w:r>
          </w:p>
        </w:tc>
        <w:tc>
          <w:tcPr>
            <w:tcW w:w="1701" w:type="dxa"/>
            <w:vAlign w:val="center"/>
          </w:tcPr>
          <w:p w14:paraId="2E173ABF">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签字盖章说明</w:t>
            </w:r>
          </w:p>
        </w:tc>
        <w:tc>
          <w:tcPr>
            <w:tcW w:w="7253" w:type="dxa"/>
            <w:vAlign w:val="center"/>
          </w:tcPr>
          <w:p w14:paraId="46ECE891">
            <w:pPr>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电子</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中涉及的签字、签章、盖章等均为相对应的CA电子印章；纸质版为物理章或签字、签章。</w:t>
            </w:r>
          </w:p>
        </w:tc>
      </w:tr>
      <w:tr w14:paraId="1A7FE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jc w:val="center"/>
        </w:trPr>
        <w:tc>
          <w:tcPr>
            <w:tcW w:w="988" w:type="dxa"/>
            <w:gridSpan w:val="2"/>
            <w:vAlign w:val="center"/>
          </w:tcPr>
          <w:p w14:paraId="12947DE6">
            <w:pPr>
              <w:pStyle w:val="24"/>
              <w:adjustRightInd w:val="0"/>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29</w:t>
            </w:r>
          </w:p>
        </w:tc>
        <w:tc>
          <w:tcPr>
            <w:tcW w:w="1701" w:type="dxa"/>
            <w:vAlign w:val="center"/>
          </w:tcPr>
          <w:p w14:paraId="14630637">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需要补充的其他内容</w:t>
            </w:r>
          </w:p>
        </w:tc>
        <w:tc>
          <w:tcPr>
            <w:tcW w:w="7253" w:type="dxa"/>
            <w:vAlign w:val="center"/>
          </w:tcPr>
          <w:p w14:paraId="159E9944">
            <w:pPr>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参加</w:t>
            </w:r>
            <w:r>
              <w:rPr>
                <w:rFonts w:hint="eastAsia" w:ascii="宋体" w:hAnsi="宋体" w:eastAsia="宋体" w:cs="宋体"/>
                <w:color w:val="auto"/>
                <w:sz w:val="24"/>
                <w:highlight w:val="none"/>
                <w:lang w:val="en-US" w:eastAsia="zh-CN"/>
              </w:rPr>
              <w:t>磋商</w:t>
            </w:r>
            <w:r>
              <w:rPr>
                <w:rFonts w:hint="eastAsia" w:ascii="宋体" w:hAnsi="宋体" w:eastAsia="宋体" w:cs="宋体"/>
                <w:color w:val="auto"/>
                <w:sz w:val="24"/>
                <w:highlight w:val="none"/>
              </w:rPr>
              <w:t>的投标人授权代表应手持一份纸质版授权委托书原件及身份证复印件并携带CA数字证书签名报到以证明其出席。投标人未参加</w:t>
            </w:r>
            <w:r>
              <w:rPr>
                <w:rFonts w:hint="eastAsia" w:ascii="宋体" w:hAnsi="宋体" w:eastAsia="宋体" w:cs="宋体"/>
                <w:color w:val="auto"/>
                <w:sz w:val="24"/>
                <w:highlight w:val="none"/>
                <w:lang w:val="en-US" w:eastAsia="zh-CN"/>
              </w:rPr>
              <w:t>磋商</w:t>
            </w:r>
            <w:r>
              <w:rPr>
                <w:rFonts w:hint="eastAsia" w:ascii="宋体" w:hAnsi="宋体" w:eastAsia="宋体" w:cs="宋体"/>
                <w:color w:val="auto"/>
                <w:sz w:val="24"/>
                <w:highlight w:val="none"/>
              </w:rPr>
              <w:t>的，视同放弃</w:t>
            </w:r>
            <w:r>
              <w:rPr>
                <w:rFonts w:hint="eastAsia" w:ascii="宋体" w:hAnsi="宋体" w:eastAsia="宋体" w:cs="宋体"/>
                <w:color w:val="auto"/>
                <w:sz w:val="24"/>
                <w:highlight w:val="none"/>
                <w:lang w:val="en-US" w:eastAsia="zh-CN"/>
              </w:rPr>
              <w:t>磋商</w:t>
            </w:r>
            <w:r>
              <w:rPr>
                <w:rFonts w:hint="eastAsia" w:ascii="宋体" w:hAnsi="宋体" w:eastAsia="宋体" w:cs="宋体"/>
                <w:color w:val="auto"/>
                <w:sz w:val="24"/>
                <w:highlight w:val="none"/>
              </w:rPr>
              <w:t>。参加现场</w:t>
            </w:r>
            <w:r>
              <w:rPr>
                <w:rFonts w:hint="eastAsia" w:ascii="宋体" w:hAnsi="宋体" w:eastAsia="宋体" w:cs="宋体"/>
                <w:color w:val="auto"/>
                <w:sz w:val="24"/>
                <w:highlight w:val="none"/>
                <w:lang w:val="en-US" w:eastAsia="zh-CN"/>
              </w:rPr>
              <w:t>磋商</w:t>
            </w:r>
            <w:r>
              <w:rPr>
                <w:rFonts w:hint="eastAsia" w:ascii="宋体" w:hAnsi="宋体" w:eastAsia="宋体" w:cs="宋体"/>
                <w:color w:val="auto"/>
                <w:sz w:val="24"/>
                <w:highlight w:val="none"/>
              </w:rPr>
              <w:t>的授权代表应与</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文件内的授权代表一致。投标人授权代表未携带上述材料或材料无效的，</w:t>
            </w:r>
            <w:r>
              <w:rPr>
                <w:rFonts w:hint="eastAsia" w:ascii="宋体" w:hAnsi="宋体" w:eastAsia="宋体" w:cs="宋体"/>
                <w:color w:val="auto"/>
                <w:sz w:val="24"/>
                <w:highlight w:val="none"/>
                <w:lang w:val="en-US" w:eastAsia="zh-CN"/>
              </w:rPr>
              <w:t>磋商</w:t>
            </w:r>
            <w:r>
              <w:rPr>
                <w:rFonts w:hint="eastAsia" w:ascii="宋体" w:hAnsi="宋体" w:eastAsia="宋体" w:cs="宋体"/>
                <w:color w:val="auto"/>
                <w:sz w:val="24"/>
                <w:highlight w:val="none"/>
              </w:rPr>
              <w:t>将被拒绝。</w:t>
            </w:r>
          </w:p>
        </w:tc>
      </w:tr>
      <w:tr w14:paraId="52D77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942" w:type="dxa"/>
            <w:gridSpan w:val="4"/>
            <w:noWrap w:val="0"/>
            <w:vAlign w:val="center"/>
          </w:tcPr>
          <w:p w14:paraId="08AC4D97">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适用于本须知资料表的其他条款：</w:t>
            </w:r>
          </w:p>
        </w:tc>
      </w:tr>
      <w:tr w14:paraId="51197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noWrap w:val="0"/>
            <w:vAlign w:val="center"/>
          </w:tcPr>
          <w:p w14:paraId="7D6AD699">
            <w:pPr>
              <w:pStyle w:val="24"/>
              <w:adjustRightInd w:val="0"/>
              <w:snapToGri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006" w:type="dxa"/>
            <w:gridSpan w:val="3"/>
            <w:noWrap w:val="0"/>
            <w:vAlign w:val="center"/>
          </w:tcPr>
          <w:p w14:paraId="3BC1FF7A">
            <w:pPr>
              <w:snapToGrid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供应商如果在响应文件中提供了虚假材料，在任何时候采购人都有权否决其磋商，并视情况追究其责任。</w:t>
            </w:r>
          </w:p>
        </w:tc>
      </w:tr>
    </w:tbl>
    <w:p w14:paraId="51F1A0F7">
      <w:pPr>
        <w:spacing w:before="240" w:beforeLines="100" w:after="240" w:afterLines="100"/>
        <w:jc w:val="center"/>
        <w:rPr>
          <w:rFonts w:hint="eastAsia" w:ascii="宋体" w:hAnsi="宋体" w:eastAsia="宋体" w:cs="宋体"/>
          <w:b/>
          <w:color w:val="auto"/>
          <w:sz w:val="28"/>
          <w:szCs w:val="28"/>
          <w:highlight w:val="none"/>
        </w:rPr>
      </w:pPr>
    </w:p>
    <w:p w14:paraId="334175D4">
      <w:pPr>
        <w:spacing w:before="240" w:beforeLines="100" w:after="240" w:afterLines="100"/>
        <w:jc w:val="center"/>
        <w:rPr>
          <w:rFonts w:hint="eastAsia" w:ascii="宋体" w:hAnsi="宋体" w:eastAsia="宋体" w:cs="宋体"/>
          <w:b/>
          <w:color w:val="auto"/>
          <w:sz w:val="28"/>
          <w:szCs w:val="28"/>
          <w:highlight w:val="none"/>
        </w:rPr>
      </w:pPr>
    </w:p>
    <w:p w14:paraId="6794D1E0">
      <w:pPr>
        <w:spacing w:before="240" w:beforeLines="100" w:after="240" w:afterLines="100"/>
        <w:jc w:val="center"/>
        <w:rPr>
          <w:rFonts w:hint="eastAsia" w:ascii="宋体" w:hAnsi="宋体" w:eastAsia="宋体" w:cs="宋体"/>
          <w:b/>
          <w:color w:val="auto"/>
          <w:sz w:val="28"/>
          <w:szCs w:val="28"/>
          <w:highlight w:val="none"/>
        </w:rPr>
      </w:pPr>
    </w:p>
    <w:p w14:paraId="6FCA95D0">
      <w:pPr>
        <w:spacing w:before="240" w:beforeLines="100" w:after="240" w:afterLines="100"/>
        <w:jc w:val="center"/>
        <w:rPr>
          <w:rFonts w:hint="eastAsia" w:ascii="宋体" w:hAnsi="宋体" w:eastAsia="宋体" w:cs="宋体"/>
          <w:b/>
          <w:color w:val="auto"/>
          <w:sz w:val="28"/>
          <w:szCs w:val="28"/>
          <w:highlight w:val="none"/>
        </w:rPr>
      </w:pPr>
    </w:p>
    <w:p w14:paraId="5366E800">
      <w:pPr>
        <w:spacing w:before="240" w:beforeLines="100" w:after="240" w:afterLines="100"/>
        <w:jc w:val="center"/>
        <w:rPr>
          <w:rFonts w:hint="eastAsia" w:ascii="宋体" w:hAnsi="宋体" w:eastAsia="宋体" w:cs="宋体"/>
          <w:b/>
          <w:color w:val="auto"/>
          <w:sz w:val="28"/>
          <w:szCs w:val="28"/>
          <w:highlight w:val="none"/>
        </w:rPr>
      </w:pPr>
    </w:p>
    <w:p w14:paraId="021D3E2F">
      <w:pPr>
        <w:pStyle w:val="31"/>
        <w:rPr>
          <w:rFonts w:hint="eastAsia" w:ascii="宋体" w:hAnsi="宋体" w:eastAsia="宋体" w:cs="宋体"/>
          <w:b/>
          <w:color w:val="auto"/>
          <w:sz w:val="28"/>
          <w:szCs w:val="28"/>
          <w:highlight w:val="none"/>
        </w:rPr>
      </w:pPr>
    </w:p>
    <w:p w14:paraId="50185E62">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6C9B2950">
      <w:pPr>
        <w:spacing w:before="240" w:beforeLines="100" w:after="240" w:afterLines="10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供应商须知</w:t>
      </w:r>
    </w:p>
    <w:p w14:paraId="780BF845">
      <w:pPr>
        <w:pStyle w:val="4"/>
        <w:tabs>
          <w:tab w:val="center" w:pos="4592"/>
          <w:tab w:val="left" w:pos="7860"/>
        </w:tabs>
        <w:spacing w:before="0" w:line="360" w:lineRule="auto"/>
        <w:jc w:val="left"/>
        <w:rPr>
          <w:rFonts w:hint="eastAsia" w:ascii="宋体" w:hAnsi="宋体" w:eastAsia="宋体" w:cs="宋体"/>
          <w:color w:val="auto"/>
          <w:sz w:val="28"/>
          <w:highlight w:val="none"/>
        </w:rPr>
      </w:pPr>
      <w:bookmarkStart w:id="73" w:name="_Toc520356143"/>
      <w:bookmarkStart w:id="74" w:name="_Toc127151518"/>
      <w:r>
        <w:rPr>
          <w:rFonts w:hint="eastAsia" w:ascii="宋体" w:hAnsi="宋体" w:eastAsia="宋体" w:cs="宋体"/>
          <w:color w:val="auto"/>
          <w:sz w:val="28"/>
          <w:highlight w:val="none"/>
        </w:rPr>
        <w:tab/>
      </w:r>
      <w:bookmarkStart w:id="75" w:name="_Toc226965791"/>
      <w:bookmarkStart w:id="76" w:name="_Toc150509269"/>
      <w:bookmarkStart w:id="77" w:name="_Toc226965708"/>
      <w:bookmarkStart w:id="78" w:name="_Toc151193760"/>
      <w:bookmarkStart w:id="79" w:name="_Toc151193906"/>
      <w:bookmarkStart w:id="80" w:name="_Toc151193688"/>
      <w:bookmarkStart w:id="81" w:name="_Toc150774618"/>
      <w:bookmarkStart w:id="82" w:name="_Toc195842883"/>
      <w:bookmarkStart w:id="83" w:name="_Toc151193616"/>
      <w:bookmarkStart w:id="84" w:name="_Toc305158786"/>
      <w:bookmarkStart w:id="85" w:name="_Toc151190145"/>
      <w:bookmarkStart w:id="86" w:name="_Toc305158860"/>
      <w:bookmarkStart w:id="87" w:name="_Toc150774723"/>
      <w:bookmarkStart w:id="88" w:name="_Toc226309762"/>
      <w:bookmarkStart w:id="89" w:name="_Toc226337214"/>
      <w:bookmarkStart w:id="90" w:name="_Toc142311020"/>
      <w:bookmarkStart w:id="91" w:name="_Toc265228356"/>
      <w:bookmarkStart w:id="92" w:name="_Toc264969208"/>
      <w:bookmarkStart w:id="93" w:name="_Toc151193832"/>
      <w:bookmarkStart w:id="94" w:name="_Toc150480756"/>
      <w:r>
        <w:rPr>
          <w:rFonts w:hint="eastAsia" w:ascii="宋体" w:hAnsi="宋体" w:eastAsia="宋体" w:cs="宋体"/>
          <w:color w:val="auto"/>
          <w:sz w:val="28"/>
          <w:highlight w:val="none"/>
        </w:rPr>
        <w:t>一   说  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hint="eastAsia" w:ascii="宋体" w:hAnsi="宋体" w:eastAsia="宋体" w:cs="宋体"/>
          <w:color w:val="auto"/>
          <w:sz w:val="28"/>
          <w:highlight w:val="none"/>
        </w:rPr>
        <w:tab/>
      </w:r>
    </w:p>
    <w:p w14:paraId="3AFFA125">
      <w:pPr>
        <w:numPr>
          <w:ilvl w:val="0"/>
          <w:numId w:val="9"/>
        </w:numPr>
        <w:tabs>
          <w:tab w:val="left" w:pos="360"/>
          <w:tab w:val="clear" w:pos="900"/>
        </w:tabs>
        <w:snapToGrid w:val="0"/>
        <w:spacing w:line="360" w:lineRule="auto"/>
        <w:ind w:left="357" w:hanging="357"/>
        <w:outlineLvl w:val="1"/>
        <w:rPr>
          <w:rFonts w:hint="eastAsia" w:ascii="宋体" w:hAnsi="宋体" w:eastAsia="宋体" w:cs="宋体"/>
          <w:color w:val="auto"/>
          <w:sz w:val="24"/>
          <w:highlight w:val="none"/>
        </w:rPr>
      </w:pPr>
      <w:bookmarkStart w:id="95" w:name="_Toc305158787"/>
      <w:bookmarkStart w:id="96" w:name="_Toc265228357"/>
      <w:bookmarkStart w:id="97" w:name="_Toc305158861"/>
      <w:bookmarkStart w:id="98" w:name="_Toc264969209"/>
      <w:r>
        <w:rPr>
          <w:rFonts w:hint="eastAsia" w:ascii="宋体" w:hAnsi="宋体" w:eastAsia="宋体" w:cs="宋体"/>
          <w:color w:val="auto"/>
          <w:sz w:val="24"/>
          <w:highlight w:val="none"/>
        </w:rPr>
        <w:t>采购人、采购代理机构、供应商</w:t>
      </w:r>
      <w:bookmarkEnd w:id="95"/>
      <w:bookmarkEnd w:id="96"/>
      <w:bookmarkEnd w:id="97"/>
      <w:bookmarkEnd w:id="98"/>
      <w:r>
        <w:rPr>
          <w:rFonts w:hint="eastAsia" w:ascii="宋体" w:hAnsi="宋体" w:eastAsia="宋体" w:cs="宋体"/>
          <w:color w:val="auto"/>
          <w:sz w:val="24"/>
          <w:highlight w:val="none"/>
        </w:rPr>
        <w:t>、联合体</w:t>
      </w:r>
    </w:p>
    <w:p w14:paraId="752ADFBD">
      <w:pPr>
        <w:numPr>
          <w:ilvl w:val="1"/>
          <w:numId w:val="9"/>
        </w:numPr>
        <w:tabs>
          <w:tab w:val="left" w:pos="1080"/>
          <w:tab w:val="left" w:pos="2014"/>
          <w:tab w:val="left" w:pos="5521"/>
        </w:tabs>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采购人、采购代理机构：指依法进行政府采购的国家机关、事业单位、团体组织，及其委托的采购代理机构。本项目采购人、采购代理机构见第一章《</w:t>
      </w:r>
      <w:r>
        <w:rPr>
          <w:rFonts w:hint="eastAsia" w:ascii="宋体" w:hAnsi="宋体" w:eastAsia="宋体" w:cs="宋体"/>
          <w:color w:val="auto"/>
          <w:sz w:val="24"/>
          <w:highlight w:val="none"/>
          <w:lang w:eastAsia="zh-CN"/>
        </w:rPr>
        <w:t>磋商公告</w:t>
      </w:r>
      <w:r>
        <w:rPr>
          <w:rFonts w:hint="eastAsia" w:ascii="宋体" w:hAnsi="宋体" w:eastAsia="宋体" w:cs="宋体"/>
          <w:color w:val="auto"/>
          <w:sz w:val="24"/>
          <w:highlight w:val="none"/>
        </w:rPr>
        <w:t>》。</w:t>
      </w:r>
    </w:p>
    <w:p w14:paraId="54436231">
      <w:pPr>
        <w:numPr>
          <w:ilvl w:val="1"/>
          <w:numId w:val="9"/>
        </w:numPr>
        <w:tabs>
          <w:tab w:val="left" w:pos="1080"/>
          <w:tab w:val="left" w:pos="2014"/>
          <w:tab w:val="left" w:pos="5521"/>
        </w:tabs>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供应商（也称“申请人”）：指向采购人提供货物、工程或者服务的法人、其他组织或者自然人。</w:t>
      </w:r>
    </w:p>
    <w:p w14:paraId="4B06D5BD">
      <w:pPr>
        <w:numPr>
          <w:ilvl w:val="1"/>
          <w:numId w:val="9"/>
        </w:numPr>
        <w:tabs>
          <w:tab w:val="left" w:pos="1080"/>
          <w:tab w:val="left" w:pos="2014"/>
          <w:tab w:val="left" w:pos="5521"/>
        </w:tabs>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联合体：指两个以上的自然人、法人或者其他组织组成一个联合体，以一个供应商的身份共同参加政府采购。</w:t>
      </w:r>
    </w:p>
    <w:p w14:paraId="2A952C58">
      <w:pPr>
        <w:numPr>
          <w:ilvl w:val="0"/>
          <w:numId w:val="9"/>
        </w:numPr>
        <w:tabs>
          <w:tab w:val="left" w:pos="360"/>
          <w:tab w:val="clear" w:pos="900"/>
        </w:tabs>
        <w:snapToGrid w:val="0"/>
        <w:spacing w:line="360" w:lineRule="auto"/>
        <w:ind w:left="357" w:hanging="357"/>
        <w:outlineLvl w:val="1"/>
        <w:rPr>
          <w:rFonts w:hint="eastAsia" w:ascii="宋体" w:hAnsi="宋体" w:eastAsia="宋体" w:cs="宋体"/>
          <w:color w:val="auto"/>
          <w:sz w:val="24"/>
          <w:highlight w:val="none"/>
        </w:rPr>
      </w:pPr>
      <w:bookmarkStart w:id="99" w:name="_Toc164229361"/>
      <w:bookmarkStart w:id="100" w:name="_Toc164608634"/>
      <w:bookmarkStart w:id="101" w:name="_Toc164608789"/>
      <w:bookmarkStart w:id="102" w:name="_Toc305158862"/>
      <w:bookmarkStart w:id="103" w:name="_Toc305158788"/>
      <w:bookmarkStart w:id="104" w:name="_Toc195842885"/>
      <w:bookmarkStart w:id="105" w:name="_Toc226337216"/>
      <w:bookmarkStart w:id="106" w:name="_Toc226965710"/>
      <w:bookmarkStart w:id="107" w:name="_Toc264969210"/>
      <w:bookmarkStart w:id="108" w:name="_Toc150509271"/>
      <w:bookmarkStart w:id="109" w:name="_Toc151193834"/>
      <w:bookmarkStart w:id="110" w:name="_Toc150774725"/>
      <w:bookmarkStart w:id="111" w:name="_Toc151193690"/>
      <w:bookmarkStart w:id="112" w:name="_Toc164351614"/>
      <w:bookmarkStart w:id="113" w:name="_Toc226965793"/>
      <w:bookmarkStart w:id="114" w:name="_Toc151193618"/>
      <w:bookmarkStart w:id="115" w:name="_Toc164229215"/>
      <w:bookmarkStart w:id="116" w:name="_Toc226309764"/>
      <w:bookmarkStart w:id="117" w:name="_Toc150774620"/>
      <w:bookmarkStart w:id="118" w:name="_Toc142311022"/>
      <w:bookmarkStart w:id="119" w:name="_Toc265228358"/>
      <w:bookmarkStart w:id="120" w:name="_Toc151190147"/>
      <w:bookmarkStart w:id="121" w:name="_Toc127161434"/>
      <w:bookmarkStart w:id="122" w:name="_Toc127151520"/>
      <w:bookmarkStart w:id="123" w:name="_Toc149720813"/>
      <w:bookmarkStart w:id="124" w:name="_Toc151193762"/>
      <w:bookmarkStart w:id="125" w:name="_Toc151193908"/>
      <w:bookmarkStart w:id="126" w:name="_Toc127151721"/>
      <w:bookmarkStart w:id="127" w:name="_Toc150480758"/>
      <w:r>
        <w:rPr>
          <w:rFonts w:hint="eastAsia" w:ascii="宋体" w:hAnsi="宋体" w:eastAsia="宋体" w:cs="宋体"/>
          <w:color w:val="auto"/>
          <w:sz w:val="24"/>
          <w:highlight w:val="none"/>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hint="eastAsia" w:ascii="宋体" w:hAnsi="宋体" w:eastAsia="宋体" w:cs="宋体"/>
          <w:color w:val="auto"/>
          <w:sz w:val="24"/>
          <w:highlight w:val="none"/>
        </w:rPr>
        <w:t>、项目属性、科研仪器设备采购</w:t>
      </w:r>
    </w:p>
    <w:p w14:paraId="1ECE981C">
      <w:pPr>
        <w:numPr>
          <w:ilvl w:val="1"/>
          <w:numId w:val="9"/>
        </w:numPr>
        <w:tabs>
          <w:tab w:val="left" w:pos="1080"/>
          <w:tab w:val="left" w:pos="2014"/>
        </w:tabs>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资金来源为财政性资金和/或本项目采购中无法与财政性资金分割的非财政性资金。</w:t>
      </w:r>
    </w:p>
    <w:p w14:paraId="28A569E4">
      <w:pPr>
        <w:numPr>
          <w:ilvl w:val="1"/>
          <w:numId w:val="9"/>
        </w:numPr>
        <w:tabs>
          <w:tab w:val="left" w:pos="1080"/>
          <w:tab w:val="left" w:pos="2014"/>
        </w:tabs>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项目属性见《供应商须知资料表》。</w:t>
      </w:r>
    </w:p>
    <w:p w14:paraId="4CB1F829">
      <w:pPr>
        <w:numPr>
          <w:ilvl w:val="1"/>
          <w:numId w:val="9"/>
        </w:numPr>
        <w:tabs>
          <w:tab w:val="left" w:pos="1080"/>
          <w:tab w:val="left" w:pos="2014"/>
        </w:tabs>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是否属于科研仪器设备采购见《供应商须知资料表》。</w:t>
      </w:r>
    </w:p>
    <w:p w14:paraId="4D33105F">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现场考察、磋商前答疑会</w:t>
      </w:r>
    </w:p>
    <w:p w14:paraId="3BE1D56B">
      <w:pPr>
        <w:numPr>
          <w:ilvl w:val="1"/>
          <w:numId w:val="9"/>
        </w:numPr>
        <w:tabs>
          <w:tab w:val="left" w:pos="1080"/>
          <w:tab w:val="left" w:pos="2014"/>
        </w:tabs>
        <w:snapToGrid w:val="0"/>
        <w:spacing w:line="360" w:lineRule="auto"/>
        <w:ind w:left="1080" w:hanging="720"/>
        <w:rPr>
          <w:rFonts w:hint="eastAsia" w:ascii="宋体" w:hAnsi="宋体" w:eastAsia="宋体" w:cs="宋体"/>
          <w:color w:val="auto"/>
          <w:sz w:val="28"/>
          <w:highlight w:val="none"/>
        </w:rPr>
      </w:pPr>
      <w:r>
        <w:rPr>
          <w:rFonts w:hint="eastAsia" w:ascii="宋体" w:hAnsi="宋体" w:eastAsia="宋体" w:cs="宋体"/>
          <w:color w:val="auto"/>
          <w:sz w:val="24"/>
          <w:highlight w:val="none"/>
        </w:rPr>
        <w:t>若《供应商须知资料表》中规定了组织现场考察、召开磋商前答疑会，则供应商应按要求在规定的时间和地点参加。</w:t>
      </w:r>
      <w:bookmarkStart w:id="128" w:name="_Toc151193764"/>
      <w:bookmarkStart w:id="129" w:name="_Toc226309766"/>
      <w:bookmarkStart w:id="130" w:name="_Toc151193692"/>
      <w:bookmarkStart w:id="131" w:name="_Toc226965795"/>
      <w:bookmarkStart w:id="132" w:name="_Toc305158864"/>
      <w:bookmarkStart w:id="133" w:name="_Toc151193620"/>
      <w:bookmarkStart w:id="134" w:name="_Toc195842887"/>
      <w:bookmarkStart w:id="135" w:name="_Toc151193836"/>
      <w:bookmarkStart w:id="136" w:name="_Toc150774622"/>
      <w:bookmarkStart w:id="137" w:name="_Toc226965712"/>
      <w:bookmarkStart w:id="138" w:name="_Toc150509273"/>
      <w:bookmarkStart w:id="139" w:name="_Toc127151522"/>
      <w:bookmarkStart w:id="140" w:name="_Toc150480760"/>
      <w:bookmarkStart w:id="141" w:name="_Toc305158790"/>
      <w:bookmarkStart w:id="142" w:name="_Toc150774727"/>
      <w:bookmarkStart w:id="143" w:name="_Toc151190149"/>
      <w:bookmarkStart w:id="144" w:name="_Toc264969212"/>
      <w:bookmarkStart w:id="145" w:name="_Toc520356146"/>
      <w:bookmarkStart w:id="146" w:name="_Toc142311024"/>
      <w:bookmarkStart w:id="147" w:name="_Toc151193910"/>
      <w:bookmarkStart w:id="148" w:name="_Toc226337218"/>
      <w:bookmarkStart w:id="149" w:name="_Toc265228360"/>
    </w:p>
    <w:p w14:paraId="233E08EE">
      <w:pPr>
        <w:numPr>
          <w:ilvl w:val="1"/>
          <w:numId w:val="9"/>
        </w:numPr>
        <w:tabs>
          <w:tab w:val="left" w:pos="1080"/>
          <w:tab w:val="left" w:pos="2014"/>
        </w:tabs>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由于未参加现场考察或磋商前答疑会而导致对项目实际情况不了解，影响响应文件编制、报价准确性、综合因素响应不全面等问题的，由供应商自行承担不利评审后果。</w:t>
      </w:r>
    </w:p>
    <w:p w14:paraId="7F0FE62A">
      <w:pPr>
        <w:numPr>
          <w:ilvl w:val="0"/>
          <w:numId w:val="9"/>
        </w:numPr>
        <w:tabs>
          <w:tab w:val="left" w:pos="360"/>
          <w:tab w:val="clear" w:pos="900"/>
        </w:tabs>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政府采购政策（包括但不限于下列具体政策要求）</w:t>
      </w:r>
    </w:p>
    <w:p w14:paraId="49DBCDDD">
      <w:pPr>
        <w:numPr>
          <w:ilvl w:val="1"/>
          <w:numId w:val="9"/>
        </w:numPr>
        <w:tabs>
          <w:tab w:val="left" w:pos="1080"/>
          <w:tab w:val="left" w:pos="2014"/>
        </w:tabs>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采购本国货物、工程和服务</w:t>
      </w:r>
    </w:p>
    <w:p w14:paraId="603467A5">
      <w:pPr>
        <w:numPr>
          <w:ilvl w:val="2"/>
          <w:numId w:val="9"/>
        </w:numPr>
        <w:tabs>
          <w:tab w:val="left" w:pos="2014"/>
        </w:tabs>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政府采购应当采购本国货物、工程和服务。但有《</w:t>
      </w:r>
      <w:r>
        <w:rPr>
          <w:rFonts w:hint="eastAsia" w:ascii="宋体" w:hAnsi="宋体" w:eastAsia="宋体" w:cs="宋体"/>
          <w:b/>
          <w:color w:val="auto"/>
          <w:kern w:val="0"/>
          <w:sz w:val="24"/>
          <w:highlight w:val="none"/>
        </w:rPr>
        <w:t>中华人民共和国政府采购法</w:t>
      </w:r>
      <w:r>
        <w:rPr>
          <w:rFonts w:hint="eastAsia" w:ascii="宋体" w:hAnsi="宋体" w:eastAsia="宋体" w:cs="宋体"/>
          <w:color w:val="auto"/>
          <w:kern w:val="0"/>
          <w:sz w:val="24"/>
          <w:highlight w:val="none"/>
        </w:rPr>
        <w:t>》第十条规定情形的除外。</w:t>
      </w:r>
    </w:p>
    <w:p w14:paraId="262C71A7">
      <w:pPr>
        <w:numPr>
          <w:ilvl w:val="2"/>
          <w:numId w:val="9"/>
        </w:numPr>
        <w:tabs>
          <w:tab w:val="left" w:pos="2014"/>
        </w:tabs>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本项目如接受非本国货物、工程、服务参与投标，则具体要求见第四章《采购需求》。</w:t>
      </w:r>
    </w:p>
    <w:p w14:paraId="3BF1DE5F">
      <w:pPr>
        <w:numPr>
          <w:ilvl w:val="2"/>
          <w:numId w:val="9"/>
        </w:numPr>
        <w:tabs>
          <w:tab w:val="left" w:pos="2014"/>
        </w:tabs>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69A7DE94">
      <w:pPr>
        <w:numPr>
          <w:ilvl w:val="1"/>
          <w:numId w:val="9"/>
        </w:numPr>
        <w:tabs>
          <w:tab w:val="left" w:pos="1080"/>
          <w:tab w:val="left" w:pos="2014"/>
        </w:tabs>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中小企业、监狱企业及残疾人福利性单位</w:t>
      </w:r>
    </w:p>
    <w:p w14:paraId="40A5DD10">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中小企业定义：</w:t>
      </w:r>
    </w:p>
    <w:p w14:paraId="1C629216">
      <w:pPr>
        <w:pStyle w:val="74"/>
        <w:numPr>
          <w:ilvl w:val="0"/>
          <w:numId w:val="10"/>
        </w:numPr>
        <w:tabs>
          <w:tab w:val="left" w:pos="1980"/>
          <w:tab w:val="left" w:pos="2035"/>
          <w:tab w:val="left" w:pos="2977"/>
        </w:tabs>
        <w:snapToGrid w:val="0"/>
        <w:spacing w:line="360" w:lineRule="auto"/>
        <w:ind w:firstLineChars="0"/>
        <w:rPr>
          <w:rFonts w:hint="eastAsia" w:ascii="宋体" w:hAnsi="宋体" w:eastAsia="宋体" w:cs="宋体"/>
          <w:vanish/>
          <w:color w:val="auto"/>
          <w:sz w:val="24"/>
          <w:szCs w:val="24"/>
          <w:highlight w:val="none"/>
        </w:rPr>
      </w:pPr>
    </w:p>
    <w:p w14:paraId="32D132C5">
      <w:pPr>
        <w:pStyle w:val="74"/>
        <w:numPr>
          <w:ilvl w:val="0"/>
          <w:numId w:val="10"/>
        </w:numPr>
        <w:tabs>
          <w:tab w:val="left" w:pos="1980"/>
          <w:tab w:val="left" w:pos="2035"/>
          <w:tab w:val="left" w:pos="2977"/>
        </w:tabs>
        <w:snapToGrid w:val="0"/>
        <w:spacing w:line="360" w:lineRule="auto"/>
        <w:ind w:firstLineChars="0"/>
        <w:rPr>
          <w:rFonts w:hint="eastAsia" w:ascii="宋体" w:hAnsi="宋体" w:eastAsia="宋体" w:cs="宋体"/>
          <w:vanish/>
          <w:color w:val="auto"/>
          <w:sz w:val="24"/>
          <w:szCs w:val="24"/>
          <w:highlight w:val="none"/>
        </w:rPr>
      </w:pPr>
    </w:p>
    <w:p w14:paraId="3D81D778">
      <w:pPr>
        <w:pStyle w:val="74"/>
        <w:numPr>
          <w:ilvl w:val="0"/>
          <w:numId w:val="10"/>
        </w:numPr>
        <w:tabs>
          <w:tab w:val="left" w:pos="1980"/>
          <w:tab w:val="left" w:pos="2035"/>
          <w:tab w:val="left" w:pos="2977"/>
        </w:tabs>
        <w:snapToGrid w:val="0"/>
        <w:spacing w:line="360" w:lineRule="auto"/>
        <w:ind w:firstLineChars="0"/>
        <w:rPr>
          <w:rFonts w:hint="eastAsia" w:ascii="宋体" w:hAnsi="宋体" w:eastAsia="宋体" w:cs="宋体"/>
          <w:vanish/>
          <w:color w:val="auto"/>
          <w:sz w:val="24"/>
          <w:szCs w:val="24"/>
          <w:highlight w:val="none"/>
        </w:rPr>
      </w:pPr>
    </w:p>
    <w:p w14:paraId="7647E4AB">
      <w:pPr>
        <w:pStyle w:val="74"/>
        <w:numPr>
          <w:ilvl w:val="0"/>
          <w:numId w:val="10"/>
        </w:numPr>
        <w:tabs>
          <w:tab w:val="left" w:pos="1980"/>
          <w:tab w:val="left" w:pos="2035"/>
          <w:tab w:val="left" w:pos="2977"/>
        </w:tabs>
        <w:snapToGrid w:val="0"/>
        <w:spacing w:line="360" w:lineRule="auto"/>
        <w:ind w:firstLineChars="0"/>
        <w:rPr>
          <w:rFonts w:hint="eastAsia" w:ascii="宋体" w:hAnsi="宋体" w:eastAsia="宋体" w:cs="宋体"/>
          <w:vanish/>
          <w:color w:val="auto"/>
          <w:sz w:val="24"/>
          <w:szCs w:val="24"/>
          <w:highlight w:val="none"/>
        </w:rPr>
      </w:pPr>
    </w:p>
    <w:p w14:paraId="5CF2170A">
      <w:pPr>
        <w:pStyle w:val="74"/>
        <w:numPr>
          <w:ilvl w:val="1"/>
          <w:numId w:val="10"/>
        </w:numPr>
        <w:tabs>
          <w:tab w:val="left" w:pos="1980"/>
          <w:tab w:val="left" w:pos="2035"/>
          <w:tab w:val="left" w:pos="2977"/>
        </w:tabs>
        <w:snapToGrid w:val="0"/>
        <w:spacing w:line="360" w:lineRule="auto"/>
        <w:ind w:firstLineChars="0"/>
        <w:rPr>
          <w:rFonts w:hint="eastAsia" w:ascii="宋体" w:hAnsi="宋体" w:eastAsia="宋体" w:cs="宋体"/>
          <w:vanish/>
          <w:color w:val="auto"/>
          <w:sz w:val="24"/>
          <w:szCs w:val="24"/>
          <w:highlight w:val="none"/>
        </w:rPr>
      </w:pPr>
    </w:p>
    <w:p w14:paraId="42C0B94A">
      <w:pPr>
        <w:pStyle w:val="74"/>
        <w:numPr>
          <w:ilvl w:val="1"/>
          <w:numId w:val="10"/>
        </w:numPr>
        <w:tabs>
          <w:tab w:val="left" w:pos="1980"/>
          <w:tab w:val="left" w:pos="2035"/>
          <w:tab w:val="left" w:pos="2977"/>
        </w:tabs>
        <w:snapToGrid w:val="0"/>
        <w:spacing w:line="360" w:lineRule="auto"/>
        <w:ind w:firstLineChars="0"/>
        <w:rPr>
          <w:rFonts w:hint="eastAsia" w:ascii="宋体" w:hAnsi="宋体" w:eastAsia="宋体" w:cs="宋体"/>
          <w:vanish/>
          <w:color w:val="auto"/>
          <w:sz w:val="24"/>
          <w:szCs w:val="24"/>
          <w:highlight w:val="none"/>
        </w:rPr>
      </w:pPr>
    </w:p>
    <w:p w14:paraId="4EA94ED6">
      <w:pPr>
        <w:pStyle w:val="74"/>
        <w:numPr>
          <w:ilvl w:val="2"/>
          <w:numId w:val="10"/>
        </w:numPr>
        <w:tabs>
          <w:tab w:val="left" w:pos="2035"/>
          <w:tab w:val="left" w:pos="2977"/>
        </w:tabs>
        <w:snapToGrid w:val="0"/>
        <w:spacing w:line="360" w:lineRule="auto"/>
        <w:ind w:firstLineChars="0"/>
        <w:rPr>
          <w:rFonts w:hint="eastAsia" w:ascii="宋体" w:hAnsi="宋体" w:eastAsia="宋体" w:cs="宋体"/>
          <w:vanish/>
          <w:color w:val="auto"/>
          <w:sz w:val="24"/>
          <w:szCs w:val="24"/>
          <w:highlight w:val="none"/>
        </w:rPr>
      </w:pPr>
    </w:p>
    <w:p w14:paraId="14024A9B">
      <w:pPr>
        <w:numPr>
          <w:ilvl w:val="3"/>
          <w:numId w:val="10"/>
        </w:numPr>
        <w:tabs>
          <w:tab w:val="left" w:pos="1980"/>
          <w:tab w:val="left" w:pos="2035"/>
          <w:tab w:val="left" w:pos="2885"/>
          <w:tab w:val="left" w:pos="2977"/>
          <w:tab w:val="clear" w:pos="900"/>
        </w:tabs>
        <w:snapToGrid w:val="0"/>
        <w:spacing w:line="360" w:lineRule="auto"/>
        <w:ind w:left="2885"/>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 号）。</w:t>
      </w:r>
    </w:p>
    <w:p w14:paraId="1CC5432F">
      <w:pPr>
        <w:numPr>
          <w:ilvl w:val="3"/>
          <w:numId w:val="10"/>
        </w:numPr>
        <w:tabs>
          <w:tab w:val="left" w:pos="1980"/>
          <w:tab w:val="left" w:pos="2035"/>
          <w:tab w:val="left" w:pos="2885"/>
          <w:tab w:val="left" w:pos="2977"/>
          <w:tab w:val="clear" w:pos="900"/>
        </w:tabs>
        <w:snapToGrid w:val="0"/>
        <w:spacing w:line="360" w:lineRule="auto"/>
        <w:ind w:left="2885"/>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供应商提供的货物、工程或者服务符合下列情形的，享受中小企业扶持政策：</w:t>
      </w:r>
    </w:p>
    <w:p w14:paraId="6346C19D">
      <w:pPr>
        <w:tabs>
          <w:tab w:val="left" w:pos="1980"/>
        </w:tabs>
        <w:snapToGrid w:val="0"/>
        <w:spacing w:line="360" w:lineRule="auto"/>
        <w:ind w:left="2835" w:leftChars="1350"/>
        <w:rPr>
          <w:rFonts w:hint="eastAsia" w:ascii="宋体" w:hAnsi="宋体" w:eastAsia="宋体" w:cs="宋体"/>
          <w:color w:val="auto"/>
          <w:sz w:val="24"/>
          <w:highlight w:val="none"/>
        </w:rPr>
      </w:pPr>
      <w:r>
        <w:rPr>
          <w:rFonts w:hint="eastAsia" w:ascii="宋体" w:hAnsi="宋体" w:eastAsia="宋体" w:cs="宋体"/>
          <w:color w:val="auto"/>
          <w:sz w:val="24"/>
          <w:highlight w:val="none"/>
        </w:rPr>
        <w:t>（1）在货物采购项目中，货物由中小企业制造，即货物由中小企业生产且使用该中小企业商号或者注册商标；</w:t>
      </w:r>
    </w:p>
    <w:p w14:paraId="5BDFE03F">
      <w:pPr>
        <w:tabs>
          <w:tab w:val="left" w:pos="1980"/>
        </w:tabs>
        <w:snapToGrid w:val="0"/>
        <w:spacing w:line="360" w:lineRule="auto"/>
        <w:ind w:left="2835" w:leftChars="1350"/>
        <w:rPr>
          <w:rFonts w:hint="eastAsia" w:ascii="宋体" w:hAnsi="宋体" w:eastAsia="宋体" w:cs="宋体"/>
          <w:color w:val="auto"/>
          <w:sz w:val="24"/>
          <w:highlight w:val="none"/>
        </w:rPr>
      </w:pPr>
      <w:r>
        <w:rPr>
          <w:rFonts w:hint="eastAsia" w:ascii="宋体" w:hAnsi="宋体" w:eastAsia="宋体" w:cs="宋体"/>
          <w:color w:val="auto"/>
          <w:sz w:val="24"/>
          <w:highlight w:val="none"/>
        </w:rPr>
        <w:t>（2）在工程采购项目中，工程由中小企业承建，即工程施工单位为中小企业；</w:t>
      </w:r>
    </w:p>
    <w:p w14:paraId="1E2600C4">
      <w:pPr>
        <w:tabs>
          <w:tab w:val="left" w:pos="1980"/>
        </w:tabs>
        <w:snapToGrid w:val="0"/>
        <w:spacing w:line="360" w:lineRule="auto"/>
        <w:ind w:left="2835" w:leftChars="1350"/>
        <w:rPr>
          <w:rFonts w:hint="eastAsia" w:ascii="宋体" w:hAnsi="宋体" w:eastAsia="宋体" w:cs="宋体"/>
          <w:color w:val="auto"/>
          <w:sz w:val="24"/>
          <w:highlight w:val="none"/>
        </w:rPr>
      </w:pPr>
      <w:r>
        <w:rPr>
          <w:rFonts w:hint="eastAsia" w:ascii="宋体" w:hAnsi="宋体" w:eastAsia="宋体" w:cs="宋体"/>
          <w:color w:val="auto"/>
          <w:sz w:val="24"/>
          <w:highlight w:val="none"/>
        </w:rPr>
        <w:t>（3）在服务采购项目中，服务由中小企业承接，即提供服务的人员为中小企业依照《中华人民共和国劳动合同法》订立劳动合同的从业人员。</w:t>
      </w:r>
    </w:p>
    <w:p w14:paraId="510268D7">
      <w:pPr>
        <w:numPr>
          <w:ilvl w:val="3"/>
          <w:numId w:val="10"/>
        </w:numPr>
        <w:tabs>
          <w:tab w:val="left" w:pos="1980"/>
          <w:tab w:val="left" w:pos="2035"/>
          <w:tab w:val="left" w:pos="2885"/>
          <w:tab w:val="left" w:pos="2977"/>
          <w:tab w:val="clear" w:pos="900"/>
        </w:tabs>
        <w:snapToGrid w:val="0"/>
        <w:spacing w:line="360" w:lineRule="auto"/>
        <w:ind w:left="2885"/>
        <w:rPr>
          <w:rFonts w:hint="eastAsia" w:ascii="宋体" w:hAnsi="宋体" w:eastAsia="宋体" w:cs="宋体"/>
          <w:color w:val="auto"/>
          <w:sz w:val="24"/>
          <w:highlight w:val="none"/>
        </w:rPr>
      </w:pPr>
      <w:r>
        <w:rPr>
          <w:rFonts w:hint="eastAsia" w:ascii="宋体" w:hAnsi="宋体" w:eastAsia="宋体" w:cs="宋体"/>
          <w:color w:val="auto"/>
          <w:sz w:val="24"/>
          <w:highlight w:val="none"/>
        </w:rPr>
        <w:t>在货物采购项目中，供应商提供的货物既有中小企业制造货物，也有大型企业制造货物的，不享受中小企业扶持政策。</w:t>
      </w:r>
    </w:p>
    <w:p w14:paraId="4172FCE1">
      <w:pPr>
        <w:numPr>
          <w:ilvl w:val="3"/>
          <w:numId w:val="10"/>
        </w:numPr>
        <w:tabs>
          <w:tab w:val="left" w:pos="1980"/>
          <w:tab w:val="left" w:pos="2035"/>
          <w:tab w:val="left" w:pos="2885"/>
          <w:tab w:val="left" w:pos="2977"/>
          <w:tab w:val="clear" w:pos="900"/>
        </w:tabs>
        <w:snapToGrid w:val="0"/>
        <w:spacing w:line="360" w:lineRule="auto"/>
        <w:ind w:left="2885"/>
        <w:rPr>
          <w:rFonts w:hint="eastAsia" w:ascii="宋体" w:hAnsi="宋体" w:eastAsia="宋体" w:cs="宋体"/>
          <w:color w:val="auto"/>
          <w:sz w:val="24"/>
          <w:highlight w:val="none"/>
        </w:rPr>
      </w:pPr>
      <w:r>
        <w:rPr>
          <w:rFonts w:hint="eastAsia" w:ascii="宋体" w:hAnsi="宋体" w:eastAsia="宋体" w:cs="宋体"/>
          <w:color w:val="auto"/>
          <w:sz w:val="24"/>
          <w:highlight w:val="none"/>
        </w:rPr>
        <w:t>以联合体形式参加政府采购活动，联合体各方均为中小企业的，联合体视同中小企业。其中，联合体各方均为小微企业的，联合体视同小微企业。</w:t>
      </w:r>
    </w:p>
    <w:p w14:paraId="5D7F91E1">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3607852">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2A233110">
      <w:pPr>
        <w:pStyle w:val="74"/>
        <w:numPr>
          <w:ilvl w:val="2"/>
          <w:numId w:val="10"/>
        </w:numPr>
        <w:tabs>
          <w:tab w:val="left" w:pos="2035"/>
          <w:tab w:val="left" w:pos="2977"/>
        </w:tabs>
        <w:snapToGrid w:val="0"/>
        <w:spacing w:line="360" w:lineRule="auto"/>
        <w:ind w:firstLineChars="0"/>
        <w:rPr>
          <w:rFonts w:hint="eastAsia" w:ascii="宋体" w:hAnsi="宋体" w:eastAsia="宋体" w:cs="宋体"/>
          <w:vanish/>
          <w:color w:val="auto"/>
          <w:sz w:val="24"/>
          <w:szCs w:val="24"/>
          <w:highlight w:val="none"/>
        </w:rPr>
      </w:pPr>
    </w:p>
    <w:p w14:paraId="69B77D3E">
      <w:pPr>
        <w:pStyle w:val="74"/>
        <w:numPr>
          <w:ilvl w:val="2"/>
          <w:numId w:val="10"/>
        </w:numPr>
        <w:tabs>
          <w:tab w:val="left" w:pos="2035"/>
          <w:tab w:val="left" w:pos="2977"/>
        </w:tabs>
        <w:snapToGrid w:val="0"/>
        <w:spacing w:line="360" w:lineRule="auto"/>
        <w:ind w:firstLineChars="0"/>
        <w:rPr>
          <w:rFonts w:hint="eastAsia" w:ascii="宋体" w:hAnsi="宋体" w:eastAsia="宋体" w:cs="宋体"/>
          <w:vanish/>
          <w:color w:val="auto"/>
          <w:sz w:val="24"/>
          <w:szCs w:val="24"/>
          <w:highlight w:val="none"/>
        </w:rPr>
      </w:pPr>
    </w:p>
    <w:p w14:paraId="0602442E">
      <w:pPr>
        <w:numPr>
          <w:ilvl w:val="3"/>
          <w:numId w:val="10"/>
        </w:numPr>
        <w:tabs>
          <w:tab w:val="left" w:pos="1980"/>
          <w:tab w:val="left" w:pos="2035"/>
          <w:tab w:val="left" w:pos="2885"/>
          <w:tab w:val="left" w:pos="2977"/>
          <w:tab w:val="clear" w:pos="900"/>
        </w:tabs>
        <w:snapToGrid w:val="0"/>
        <w:spacing w:line="360" w:lineRule="auto"/>
        <w:ind w:left="2885"/>
        <w:rPr>
          <w:rFonts w:hint="eastAsia" w:ascii="宋体" w:hAnsi="宋体" w:eastAsia="宋体" w:cs="宋体"/>
          <w:color w:val="auto"/>
          <w:sz w:val="24"/>
          <w:highlight w:val="none"/>
        </w:rPr>
      </w:pPr>
      <w:r>
        <w:rPr>
          <w:rFonts w:hint="eastAsia" w:ascii="宋体" w:hAnsi="宋体" w:eastAsia="宋体" w:cs="宋体"/>
          <w:color w:val="auto"/>
          <w:sz w:val="24"/>
          <w:highlight w:val="none"/>
        </w:rPr>
        <w:t>安置的残疾人占本单位在职职工人数的比例不低于25%（含25%），并且安置的残疾人人数不少于10 人（含10 人）；</w:t>
      </w:r>
    </w:p>
    <w:p w14:paraId="0F652A12">
      <w:pPr>
        <w:numPr>
          <w:ilvl w:val="3"/>
          <w:numId w:val="10"/>
        </w:numPr>
        <w:tabs>
          <w:tab w:val="left" w:pos="1980"/>
          <w:tab w:val="left" w:pos="2035"/>
          <w:tab w:val="left" w:pos="2885"/>
          <w:tab w:val="left" w:pos="2977"/>
          <w:tab w:val="clear" w:pos="900"/>
        </w:tabs>
        <w:snapToGrid w:val="0"/>
        <w:spacing w:line="360" w:lineRule="auto"/>
        <w:ind w:left="2885"/>
        <w:rPr>
          <w:rFonts w:hint="eastAsia" w:ascii="宋体" w:hAnsi="宋体" w:eastAsia="宋体" w:cs="宋体"/>
          <w:color w:val="auto"/>
          <w:sz w:val="24"/>
          <w:highlight w:val="none"/>
        </w:rPr>
      </w:pPr>
      <w:r>
        <w:rPr>
          <w:rFonts w:hint="eastAsia" w:ascii="宋体" w:hAnsi="宋体" w:eastAsia="宋体" w:cs="宋体"/>
          <w:color w:val="auto"/>
          <w:sz w:val="24"/>
          <w:highlight w:val="none"/>
        </w:rPr>
        <w:t>依法与安置的每位残疾人签订了一年以上（含一年）的劳动合同或服务协议；</w:t>
      </w:r>
    </w:p>
    <w:p w14:paraId="28B2C97A">
      <w:pPr>
        <w:numPr>
          <w:ilvl w:val="3"/>
          <w:numId w:val="10"/>
        </w:numPr>
        <w:tabs>
          <w:tab w:val="left" w:pos="1980"/>
          <w:tab w:val="left" w:pos="2035"/>
          <w:tab w:val="left" w:pos="2885"/>
          <w:tab w:val="left" w:pos="2977"/>
          <w:tab w:val="clear" w:pos="900"/>
        </w:tabs>
        <w:snapToGrid w:val="0"/>
        <w:spacing w:line="360" w:lineRule="auto"/>
        <w:ind w:left="2885"/>
        <w:rPr>
          <w:rFonts w:hint="eastAsia" w:ascii="宋体" w:hAnsi="宋体" w:eastAsia="宋体" w:cs="宋体"/>
          <w:color w:val="auto"/>
          <w:sz w:val="24"/>
          <w:highlight w:val="none"/>
        </w:rPr>
      </w:pPr>
      <w:r>
        <w:rPr>
          <w:rFonts w:hint="eastAsia" w:ascii="宋体" w:hAnsi="宋体" w:eastAsia="宋体" w:cs="宋体"/>
          <w:color w:val="auto"/>
          <w:sz w:val="24"/>
          <w:highlight w:val="none"/>
        </w:rPr>
        <w:t>为安置的每位残疾人按月足额缴纳了基本养老保险、基本医疗保险、失业保险、工伤保险和生育保险等社会保险费；</w:t>
      </w:r>
    </w:p>
    <w:p w14:paraId="4304C879">
      <w:pPr>
        <w:numPr>
          <w:ilvl w:val="3"/>
          <w:numId w:val="10"/>
        </w:numPr>
        <w:tabs>
          <w:tab w:val="left" w:pos="1980"/>
          <w:tab w:val="left" w:pos="2035"/>
          <w:tab w:val="left" w:pos="2885"/>
          <w:tab w:val="left" w:pos="2977"/>
          <w:tab w:val="clear" w:pos="900"/>
        </w:tabs>
        <w:snapToGrid w:val="0"/>
        <w:spacing w:line="360" w:lineRule="auto"/>
        <w:ind w:left="2885"/>
        <w:rPr>
          <w:rFonts w:hint="eastAsia" w:ascii="宋体" w:hAnsi="宋体" w:eastAsia="宋体" w:cs="宋体"/>
          <w:color w:val="auto"/>
          <w:sz w:val="24"/>
          <w:highlight w:val="none"/>
        </w:rPr>
      </w:pPr>
      <w:r>
        <w:rPr>
          <w:rFonts w:hint="eastAsia" w:ascii="宋体" w:hAnsi="宋体" w:eastAsia="宋体" w:cs="宋体"/>
          <w:color w:val="auto"/>
          <w:sz w:val="24"/>
          <w:highlight w:val="none"/>
        </w:rPr>
        <w:t>通过银行等金融机构向安置的每位残疾人，按月支付了不低于单位所在区县适用的经省级人民政府批准的月最低工资标准的工资；</w:t>
      </w:r>
    </w:p>
    <w:p w14:paraId="1F2D7ECB">
      <w:pPr>
        <w:numPr>
          <w:ilvl w:val="3"/>
          <w:numId w:val="10"/>
        </w:numPr>
        <w:tabs>
          <w:tab w:val="left" w:pos="1980"/>
          <w:tab w:val="left" w:pos="2035"/>
          <w:tab w:val="left" w:pos="2885"/>
          <w:tab w:val="left" w:pos="2977"/>
          <w:tab w:val="clear" w:pos="900"/>
        </w:tabs>
        <w:snapToGrid w:val="0"/>
        <w:spacing w:line="360" w:lineRule="auto"/>
        <w:ind w:left="2885"/>
        <w:rPr>
          <w:rFonts w:hint="eastAsia" w:ascii="宋体" w:hAnsi="宋体" w:eastAsia="宋体" w:cs="宋体"/>
          <w:color w:val="auto"/>
          <w:sz w:val="24"/>
          <w:highlight w:val="none"/>
        </w:rPr>
      </w:pPr>
      <w:r>
        <w:rPr>
          <w:rFonts w:hint="eastAsia" w:ascii="宋体" w:hAnsi="宋体" w:eastAsia="宋体" w:cs="宋体"/>
          <w:color w:val="auto"/>
          <w:sz w:val="24"/>
          <w:highlight w:val="none"/>
        </w:rPr>
        <w:t>提供本单位制造的货物、承担的工程或者服务（以下简称产品），或者提供其他残疾人福利性单位制造的货物（不包括使用非残疾人福利性单位注册商标的货物）；</w:t>
      </w:r>
    </w:p>
    <w:p w14:paraId="2A3628DB">
      <w:pPr>
        <w:numPr>
          <w:ilvl w:val="3"/>
          <w:numId w:val="10"/>
        </w:numPr>
        <w:tabs>
          <w:tab w:val="left" w:pos="1980"/>
          <w:tab w:val="left" w:pos="2035"/>
          <w:tab w:val="left" w:pos="2885"/>
          <w:tab w:val="left" w:pos="2977"/>
          <w:tab w:val="clear" w:pos="900"/>
        </w:tabs>
        <w:snapToGrid w:val="0"/>
        <w:spacing w:line="360" w:lineRule="auto"/>
        <w:ind w:left="2885"/>
        <w:rPr>
          <w:rFonts w:hint="eastAsia" w:ascii="宋体" w:hAnsi="宋体" w:eastAsia="宋体" w:cs="宋体"/>
          <w:color w:val="auto"/>
          <w:sz w:val="24"/>
          <w:highlight w:val="none"/>
        </w:rPr>
      </w:pPr>
      <w:r>
        <w:rPr>
          <w:rFonts w:hint="eastAsia" w:ascii="宋体" w:hAnsi="宋体" w:eastAsia="宋体" w:cs="宋体"/>
          <w:color w:val="auto"/>
          <w:sz w:val="24"/>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0D2784FB">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本项目是否专门面向中小企业预留采购份额见第一章《</w:t>
      </w:r>
      <w:r>
        <w:rPr>
          <w:rFonts w:hint="eastAsia" w:ascii="宋体" w:hAnsi="宋体" w:eastAsia="宋体" w:cs="宋体"/>
          <w:color w:val="auto"/>
          <w:sz w:val="24"/>
          <w:highlight w:val="none"/>
          <w:lang w:eastAsia="zh-CN"/>
        </w:rPr>
        <w:t>磋商公告</w:t>
      </w:r>
      <w:r>
        <w:rPr>
          <w:rFonts w:hint="eastAsia" w:ascii="宋体" w:hAnsi="宋体" w:eastAsia="宋体" w:cs="宋体"/>
          <w:color w:val="auto"/>
          <w:sz w:val="24"/>
          <w:highlight w:val="none"/>
        </w:rPr>
        <w:t>》。</w:t>
      </w:r>
    </w:p>
    <w:p w14:paraId="3CEDFF23">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采购标的对应的中小企业划分标准所属行业见《供应商须知资料表》。</w:t>
      </w:r>
    </w:p>
    <w:p w14:paraId="792FB4FF">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小微企业价格评审优惠的政策调整：见第三章《评审方法和评审标准》。</w:t>
      </w:r>
    </w:p>
    <w:p w14:paraId="2E1CB5E3">
      <w:pPr>
        <w:numPr>
          <w:ilvl w:val="1"/>
          <w:numId w:val="9"/>
        </w:numPr>
        <w:tabs>
          <w:tab w:val="left" w:pos="1080"/>
          <w:tab w:val="left" w:pos="2014"/>
        </w:tabs>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政府采购节能产品、环境标志产品</w:t>
      </w:r>
    </w:p>
    <w:p w14:paraId="558D6B9D">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CD0EB78">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0BB36AA7">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如本项目采购产品属于实施政府强制采购品目清单范围的节能产品，则供应商所报产品必须获得国家确定的认证机构出具的、处于有效期之内的节能产品认证证书，</w:t>
      </w:r>
      <w:r>
        <w:rPr>
          <w:rFonts w:hint="eastAsia" w:ascii="宋体" w:hAnsi="宋体" w:eastAsia="宋体" w:cs="宋体"/>
          <w:color w:val="auto"/>
          <w:kern w:val="0"/>
          <w:sz w:val="24"/>
          <w:highlight w:val="none"/>
        </w:rPr>
        <w:t>否则</w:t>
      </w:r>
      <w:r>
        <w:rPr>
          <w:rFonts w:hint="eastAsia" w:ascii="宋体" w:hAnsi="宋体" w:eastAsia="宋体" w:cs="宋体"/>
          <w:b/>
          <w:color w:val="auto"/>
          <w:kern w:val="0"/>
          <w:sz w:val="24"/>
          <w:highlight w:val="none"/>
        </w:rPr>
        <w:t>响应无效</w:t>
      </w:r>
      <w:r>
        <w:rPr>
          <w:rFonts w:hint="eastAsia" w:ascii="宋体" w:hAnsi="宋体" w:eastAsia="宋体" w:cs="宋体"/>
          <w:color w:val="auto"/>
          <w:sz w:val="24"/>
          <w:highlight w:val="none"/>
        </w:rPr>
        <w:t>；</w:t>
      </w:r>
    </w:p>
    <w:p w14:paraId="1C49E726">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非政府强制采购的节能产品或环境标志产品，依据品目清单和认证证书实施政府优先采购。优先采购的具体规定见第三章《评审方法和评审标准》（如涉及）。</w:t>
      </w:r>
    </w:p>
    <w:p w14:paraId="62A126B0">
      <w:pPr>
        <w:numPr>
          <w:ilvl w:val="1"/>
          <w:numId w:val="9"/>
        </w:numPr>
        <w:tabs>
          <w:tab w:val="left" w:pos="1080"/>
          <w:tab w:val="left" w:pos="2014"/>
        </w:tabs>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正版软件</w:t>
      </w:r>
    </w:p>
    <w:p w14:paraId="5963C33E">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rFonts w:hint="eastAsia" w:ascii="宋体" w:hAnsi="宋体" w:eastAsia="宋体" w:cs="宋体"/>
          <w:color w:val="auto"/>
          <w:kern w:val="0"/>
          <w:sz w:val="24"/>
          <w:highlight w:val="none"/>
        </w:rPr>
        <w:t>否则</w:t>
      </w:r>
      <w:r>
        <w:rPr>
          <w:rFonts w:hint="eastAsia" w:ascii="宋体" w:hAnsi="宋体" w:eastAsia="宋体" w:cs="宋体"/>
          <w:b/>
          <w:color w:val="auto"/>
          <w:kern w:val="0"/>
          <w:sz w:val="24"/>
          <w:highlight w:val="none"/>
        </w:rPr>
        <w:t>响应无效</w:t>
      </w:r>
      <w:r>
        <w:rPr>
          <w:rFonts w:hint="eastAsia" w:ascii="宋体" w:hAnsi="宋体" w:eastAsia="宋体" w:cs="宋体"/>
          <w:color w:val="auto"/>
          <w:sz w:val="24"/>
          <w:highlight w:val="none"/>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59325FE6">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3D27D35A">
      <w:pPr>
        <w:numPr>
          <w:ilvl w:val="1"/>
          <w:numId w:val="9"/>
        </w:numPr>
        <w:tabs>
          <w:tab w:val="left" w:pos="1080"/>
          <w:tab w:val="left" w:pos="2014"/>
        </w:tabs>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网络安全专用产品</w:t>
      </w:r>
    </w:p>
    <w:p w14:paraId="740B5412">
      <w:pPr>
        <w:numPr>
          <w:ilvl w:val="2"/>
          <w:numId w:val="9"/>
        </w:numPr>
        <w:tabs>
          <w:tab w:val="left" w:pos="2014"/>
        </w:tabs>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5A839BE6">
      <w:pPr>
        <w:numPr>
          <w:ilvl w:val="1"/>
          <w:numId w:val="9"/>
        </w:numPr>
        <w:tabs>
          <w:tab w:val="left" w:pos="1080"/>
          <w:tab w:val="left" w:pos="2014"/>
        </w:tabs>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推广使用低挥发性有机化合物（VOCs）</w:t>
      </w:r>
    </w:p>
    <w:p w14:paraId="2A5840B0">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rFonts w:hint="eastAsia" w:ascii="宋体" w:hAnsi="宋体" w:eastAsia="宋体" w:cs="宋体"/>
          <w:color w:val="auto"/>
          <w:kern w:val="0"/>
          <w:sz w:val="24"/>
          <w:highlight w:val="none"/>
        </w:rPr>
        <w:t>否则</w:t>
      </w:r>
      <w:r>
        <w:rPr>
          <w:rFonts w:hint="eastAsia" w:ascii="宋体" w:hAnsi="宋体" w:eastAsia="宋体" w:cs="宋体"/>
          <w:b/>
          <w:color w:val="auto"/>
          <w:kern w:val="0"/>
          <w:sz w:val="24"/>
          <w:highlight w:val="none"/>
        </w:rPr>
        <w:t>响应无效</w:t>
      </w:r>
      <w:r>
        <w:rPr>
          <w:rFonts w:hint="eastAsia" w:ascii="宋体" w:hAnsi="宋体" w:eastAsia="宋体" w:cs="宋体"/>
          <w:color w:val="auto"/>
          <w:sz w:val="24"/>
          <w:highlight w:val="none"/>
        </w:rPr>
        <w:t>；属于推荐性标准的，优先采购，具体见第三章《评审方法和评审标准》。</w:t>
      </w:r>
    </w:p>
    <w:p w14:paraId="18EC0FC8">
      <w:pPr>
        <w:numPr>
          <w:ilvl w:val="1"/>
          <w:numId w:val="9"/>
        </w:numPr>
        <w:tabs>
          <w:tab w:val="left" w:pos="1080"/>
        </w:tabs>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采购需求标准</w:t>
      </w:r>
    </w:p>
    <w:p w14:paraId="0CC44BF9">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商品包装、快递包装政府采购需求标准（试行）</w:t>
      </w:r>
    </w:p>
    <w:p w14:paraId="6859A4E9">
      <w:pPr>
        <w:tabs>
          <w:tab w:val="left" w:pos="900"/>
          <w:tab w:val="left" w:pos="1980"/>
        </w:tabs>
        <w:snapToGrid w:val="0"/>
        <w:spacing w:line="360" w:lineRule="auto"/>
        <w:ind w:left="1985"/>
        <w:rPr>
          <w:rFonts w:hint="eastAsia" w:ascii="宋体" w:hAnsi="宋体" w:eastAsia="宋体" w:cs="宋体"/>
          <w:color w:val="auto"/>
          <w:sz w:val="24"/>
          <w:highlight w:val="none"/>
        </w:rPr>
      </w:pPr>
      <w:r>
        <w:rPr>
          <w:rFonts w:hint="eastAsia" w:ascii="宋体" w:hAnsi="宋体" w:eastAsia="宋体" w:cs="宋体"/>
          <w:color w:val="auto"/>
          <w:sz w:val="24"/>
          <w:highlight w:val="none"/>
        </w:rPr>
        <w:t>为助力打好污染防治攻坚战，推广使用绿色包装，根据财政部关于印发《商品包装政府采购需求标准（试行）》、《快递包装政府采购需求标准（试行）》的通知（财办库〔2020〕123号），本项目如涉及商品包装和快递包装的，则其具体要求见第四章《采购需求》。</w:t>
      </w:r>
    </w:p>
    <w:p w14:paraId="1F0541C4">
      <w:pPr>
        <w:numPr>
          <w:ilvl w:val="2"/>
          <w:numId w:val="9"/>
        </w:numPr>
        <w:tabs>
          <w:tab w:val="left" w:pos="2014"/>
        </w:tabs>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绿色数据中心政府采购需求标准（试行）</w:t>
      </w:r>
    </w:p>
    <w:p w14:paraId="74339DB7">
      <w:pPr>
        <w:tabs>
          <w:tab w:val="left" w:pos="900"/>
          <w:tab w:val="left" w:pos="1980"/>
        </w:tabs>
        <w:snapToGrid w:val="0"/>
        <w:spacing w:line="360" w:lineRule="auto"/>
        <w:ind w:left="1980"/>
        <w:rPr>
          <w:rFonts w:hint="eastAsia" w:ascii="宋体" w:hAnsi="宋体" w:eastAsia="宋体" w:cs="宋体"/>
          <w:color w:val="auto"/>
          <w:sz w:val="24"/>
          <w:highlight w:val="none"/>
        </w:rPr>
      </w:pPr>
      <w:r>
        <w:rPr>
          <w:rFonts w:hint="eastAsia" w:ascii="宋体" w:hAnsi="宋体" w:eastAsia="宋体" w:cs="宋体"/>
          <w:color w:val="auto"/>
          <w:sz w:val="24"/>
          <w:highlight w:val="none"/>
        </w:rPr>
        <w:t>为加快数据中心绿色转型，根据财政部 生态环境部 工业和信息化部关于印发《绿色数据中心政府采购需求标准（试行）》的通知（财库〔2023〕7号），本项目如涉及绿色数据中心，则具体要求见第四章《采购需求》。</w:t>
      </w:r>
    </w:p>
    <w:p w14:paraId="3D85499D">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响应费用</w:t>
      </w:r>
    </w:p>
    <w:p w14:paraId="4DC801A6">
      <w:pPr>
        <w:numPr>
          <w:ilvl w:val="1"/>
          <w:numId w:val="9"/>
        </w:numPr>
        <w:tabs>
          <w:tab w:val="left" w:pos="1080"/>
          <w:tab w:val="left" w:pos="2014"/>
        </w:tabs>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供应商应自行承担所有与准备和参加磋商有关的费用，无论磋商的结果如何，采购人或采购代理机构在任何情况下均无承担这些费用的义务和责任。</w:t>
      </w:r>
    </w:p>
    <w:p w14:paraId="43B7517D">
      <w:pPr>
        <w:tabs>
          <w:tab w:val="left" w:pos="1080"/>
        </w:tabs>
        <w:snapToGrid w:val="0"/>
        <w:spacing w:line="360" w:lineRule="auto"/>
        <w:ind w:left="1080"/>
        <w:rPr>
          <w:rFonts w:hint="eastAsia" w:ascii="宋体" w:hAnsi="宋体" w:eastAsia="宋体" w:cs="宋体"/>
          <w:color w:val="auto"/>
          <w:sz w:val="21"/>
          <w:szCs w:val="20"/>
          <w:highlight w:val="none"/>
        </w:rPr>
      </w:pPr>
      <w:bookmarkStart w:id="150" w:name="_1.8_计量单位"/>
      <w:bookmarkEnd w:id="150"/>
    </w:p>
    <w:p w14:paraId="16563613">
      <w:pPr>
        <w:pStyle w:val="4"/>
        <w:spacing w:before="0" w:line="360" w:lineRule="auto"/>
        <w:rPr>
          <w:rFonts w:hint="eastAsia" w:ascii="宋体" w:hAnsi="宋体" w:eastAsia="宋体" w:cs="宋体"/>
          <w:color w:val="auto"/>
          <w:sz w:val="28"/>
          <w:highlight w:val="none"/>
        </w:rPr>
      </w:pPr>
      <w:r>
        <w:rPr>
          <w:rFonts w:hint="eastAsia" w:ascii="宋体" w:hAnsi="宋体" w:eastAsia="宋体" w:cs="宋体"/>
          <w:color w:val="auto"/>
          <w:sz w:val="28"/>
          <w:highlight w:val="none"/>
        </w:rPr>
        <w:t>二   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3FC7A61F">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bookmarkStart w:id="151" w:name="_Toc151193765"/>
      <w:bookmarkStart w:id="152" w:name="_Toc305158865"/>
      <w:bookmarkStart w:id="153" w:name="_Toc265228361"/>
      <w:bookmarkStart w:id="154" w:name="_Toc226309767"/>
      <w:bookmarkStart w:id="155" w:name="_Toc151193693"/>
      <w:bookmarkStart w:id="156" w:name="_Toc151193621"/>
      <w:bookmarkStart w:id="157" w:name="_Toc151190150"/>
      <w:bookmarkStart w:id="158" w:name="_Toc150480761"/>
      <w:bookmarkStart w:id="159" w:name="_Toc127161437"/>
      <w:bookmarkStart w:id="160" w:name="_Toc150774728"/>
      <w:bookmarkStart w:id="161" w:name="_Toc226965796"/>
      <w:bookmarkStart w:id="162" w:name="_Toc142311025"/>
      <w:bookmarkStart w:id="163" w:name="_Toc127151724"/>
      <w:bookmarkStart w:id="164" w:name="_Toc164608792"/>
      <w:bookmarkStart w:id="165" w:name="_Toc127151523"/>
      <w:bookmarkStart w:id="166" w:name="_Toc150509274"/>
      <w:bookmarkStart w:id="167" w:name="_Toc226337219"/>
      <w:bookmarkStart w:id="168" w:name="_Toc149720816"/>
      <w:bookmarkStart w:id="169" w:name="_Toc305158791"/>
      <w:bookmarkStart w:id="170" w:name="_Toc195842888"/>
      <w:bookmarkStart w:id="171" w:name="_Toc164608637"/>
      <w:bookmarkStart w:id="172" w:name="_Toc151193911"/>
      <w:bookmarkStart w:id="173" w:name="_Toc150774623"/>
      <w:bookmarkStart w:id="174" w:name="_Toc264969213"/>
      <w:bookmarkStart w:id="175" w:name="_Toc226965713"/>
      <w:bookmarkStart w:id="176" w:name="_Toc164229218"/>
      <w:bookmarkStart w:id="177" w:name="_Toc151193837"/>
      <w:bookmarkStart w:id="178" w:name="_Toc164351617"/>
      <w:bookmarkStart w:id="179" w:name="_Toc520356147"/>
      <w:bookmarkStart w:id="180" w:name="_Toc164229364"/>
      <w:r>
        <w:rPr>
          <w:rFonts w:hint="eastAsia" w:ascii="宋体" w:hAnsi="宋体" w:eastAsia="宋体" w:cs="宋体"/>
          <w:color w:val="auto"/>
          <w:sz w:val="24"/>
          <w:highlight w:val="none"/>
        </w:rPr>
        <w:t>竞争性磋商文件构</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hint="eastAsia" w:ascii="宋体" w:hAnsi="宋体" w:eastAsia="宋体" w:cs="宋体"/>
          <w:color w:val="auto"/>
          <w:sz w:val="24"/>
          <w:highlight w:val="none"/>
        </w:rPr>
        <w:t>成</w:t>
      </w:r>
    </w:p>
    <w:p w14:paraId="1AC9D69C">
      <w:pPr>
        <w:numPr>
          <w:ilvl w:val="1"/>
          <w:numId w:val="9"/>
        </w:numPr>
        <w:tabs>
          <w:tab w:val="left" w:pos="1080"/>
          <w:tab w:val="left" w:pos="2014"/>
        </w:tabs>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竞争性磋商文件包括以下部分：</w:t>
      </w:r>
    </w:p>
    <w:p w14:paraId="41F18845">
      <w:pPr>
        <w:numPr>
          <w:ilvl w:val="0"/>
          <w:numId w:val="11"/>
        </w:numPr>
        <w:tabs>
          <w:tab w:val="left" w:pos="1980"/>
          <w:tab w:val="left" w:pos="2520"/>
        </w:tabs>
        <w:snapToGrid w:val="0"/>
        <w:spacing w:line="360" w:lineRule="auto"/>
        <w:ind w:left="1440" w:firstLine="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磋商公告</w:t>
      </w:r>
    </w:p>
    <w:p w14:paraId="2D822547">
      <w:pPr>
        <w:numPr>
          <w:ilvl w:val="0"/>
          <w:numId w:val="11"/>
        </w:numPr>
        <w:tabs>
          <w:tab w:val="left" w:pos="1980"/>
          <w:tab w:val="left" w:pos="2520"/>
        </w:tabs>
        <w:snapToGrid w:val="0"/>
        <w:spacing w:line="360" w:lineRule="auto"/>
        <w:ind w:left="1440" w:firstLine="5"/>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供应商须知</w:t>
      </w:r>
    </w:p>
    <w:p w14:paraId="6698EC8F">
      <w:pPr>
        <w:numPr>
          <w:ilvl w:val="0"/>
          <w:numId w:val="11"/>
        </w:numPr>
        <w:tabs>
          <w:tab w:val="left" w:pos="1980"/>
          <w:tab w:val="left" w:pos="2520"/>
        </w:tabs>
        <w:snapToGrid w:val="0"/>
        <w:spacing w:line="360" w:lineRule="auto"/>
        <w:ind w:left="1440" w:firstLine="5"/>
        <w:rPr>
          <w:rFonts w:hint="eastAsia" w:ascii="宋体" w:hAnsi="宋体" w:eastAsia="宋体" w:cs="宋体"/>
          <w:color w:val="auto"/>
          <w:sz w:val="24"/>
          <w:highlight w:val="none"/>
        </w:rPr>
      </w:pPr>
      <w:r>
        <w:rPr>
          <w:rFonts w:hint="eastAsia" w:ascii="宋体" w:hAnsi="宋体" w:eastAsia="宋体" w:cs="宋体"/>
          <w:color w:val="auto"/>
          <w:sz w:val="24"/>
          <w:highlight w:val="none"/>
        </w:rPr>
        <w:t>评审方法和评审标准</w:t>
      </w:r>
    </w:p>
    <w:p w14:paraId="6D34129C">
      <w:pPr>
        <w:numPr>
          <w:ilvl w:val="0"/>
          <w:numId w:val="11"/>
        </w:numPr>
        <w:tabs>
          <w:tab w:val="left" w:pos="1980"/>
          <w:tab w:val="left" w:pos="2520"/>
        </w:tabs>
        <w:snapToGrid w:val="0"/>
        <w:spacing w:line="360" w:lineRule="auto"/>
        <w:ind w:left="1440" w:firstLine="5"/>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采购需求</w:t>
      </w:r>
    </w:p>
    <w:p w14:paraId="16F3D77C">
      <w:pPr>
        <w:numPr>
          <w:ilvl w:val="0"/>
          <w:numId w:val="11"/>
        </w:numPr>
        <w:tabs>
          <w:tab w:val="left" w:pos="1980"/>
          <w:tab w:val="left" w:pos="2520"/>
        </w:tabs>
        <w:snapToGrid w:val="0"/>
        <w:spacing w:line="360" w:lineRule="auto"/>
        <w:ind w:left="1440" w:firstLine="5"/>
        <w:rPr>
          <w:rFonts w:hint="eastAsia" w:ascii="宋体" w:hAnsi="宋体" w:eastAsia="宋体" w:cs="宋体"/>
          <w:color w:val="auto"/>
          <w:sz w:val="24"/>
          <w:highlight w:val="none"/>
        </w:rPr>
      </w:pPr>
      <w:r>
        <w:rPr>
          <w:rFonts w:hint="eastAsia" w:ascii="宋体" w:hAnsi="宋体" w:eastAsia="宋体" w:cs="宋体"/>
          <w:color w:val="auto"/>
          <w:sz w:val="24"/>
          <w:highlight w:val="none"/>
        </w:rPr>
        <w:t>合同草案条款</w:t>
      </w:r>
    </w:p>
    <w:p w14:paraId="33764EFA">
      <w:pPr>
        <w:numPr>
          <w:ilvl w:val="0"/>
          <w:numId w:val="11"/>
        </w:numPr>
        <w:tabs>
          <w:tab w:val="left" w:pos="1980"/>
          <w:tab w:val="left" w:pos="2520"/>
        </w:tabs>
        <w:snapToGrid w:val="0"/>
        <w:spacing w:line="360" w:lineRule="auto"/>
        <w:ind w:left="1440" w:firstLine="5"/>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响应文件格式</w:t>
      </w:r>
    </w:p>
    <w:p w14:paraId="0454AEFE">
      <w:pPr>
        <w:numPr>
          <w:ilvl w:val="1"/>
          <w:numId w:val="9"/>
        </w:numPr>
        <w:tabs>
          <w:tab w:val="left" w:pos="1080"/>
          <w:tab w:val="left" w:pos="2014"/>
        </w:tabs>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供应商应认真阅读竞争性磋商文件的全部内容。供应商应按照竞争性磋商文件要求提交响应文件并保证所提供的全部资料的真实性，并对竞争性磋商文件做出实质性响应，否则</w:t>
      </w:r>
      <w:r>
        <w:rPr>
          <w:rFonts w:hint="eastAsia" w:ascii="宋体" w:hAnsi="宋体" w:eastAsia="宋体" w:cs="宋体"/>
          <w:b/>
          <w:color w:val="auto"/>
          <w:sz w:val="24"/>
          <w:highlight w:val="none"/>
        </w:rPr>
        <w:t>响应无效</w:t>
      </w:r>
      <w:r>
        <w:rPr>
          <w:rFonts w:hint="eastAsia" w:ascii="宋体" w:hAnsi="宋体" w:eastAsia="宋体" w:cs="宋体"/>
          <w:color w:val="auto"/>
          <w:sz w:val="24"/>
          <w:highlight w:val="none"/>
        </w:rPr>
        <w:t>。</w:t>
      </w:r>
    </w:p>
    <w:p w14:paraId="74A5F533">
      <w:pPr>
        <w:numPr>
          <w:ilvl w:val="0"/>
          <w:numId w:val="9"/>
        </w:numPr>
        <w:tabs>
          <w:tab w:val="left" w:pos="1080"/>
          <w:tab w:val="left" w:pos="2014"/>
        </w:tabs>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对竞争性磋商文件的澄清或修改</w:t>
      </w:r>
    </w:p>
    <w:p w14:paraId="3646DB8A">
      <w:pPr>
        <w:numPr>
          <w:ilvl w:val="1"/>
          <w:numId w:val="9"/>
        </w:numPr>
        <w:tabs>
          <w:tab w:val="left" w:pos="1080"/>
          <w:tab w:val="left" w:pos="1561"/>
          <w:tab w:val="left" w:pos="2014"/>
        </w:tabs>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1C7D0319">
      <w:pPr>
        <w:numPr>
          <w:ilvl w:val="1"/>
          <w:numId w:val="9"/>
        </w:numPr>
        <w:tabs>
          <w:tab w:val="left" w:pos="1080"/>
          <w:tab w:val="left" w:pos="1561"/>
          <w:tab w:val="left" w:pos="2014"/>
        </w:tabs>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上述书面通知，按照获取竞争性磋商文件的潜在供应商提供的联系方式发出，因提供的信息有误导致通知延迟或无法通知的，采购人或采购代理机构不承担责任。</w:t>
      </w:r>
    </w:p>
    <w:p w14:paraId="3F4B416B">
      <w:pPr>
        <w:numPr>
          <w:ilvl w:val="1"/>
          <w:numId w:val="9"/>
        </w:numPr>
        <w:tabs>
          <w:tab w:val="left" w:pos="1080"/>
          <w:tab w:val="left" w:pos="1561"/>
          <w:tab w:val="left" w:pos="2014"/>
        </w:tabs>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澄清或者修改的内容为竞争性磋商文件的组成部分，并对所有获取竞争性磋商文件的潜在供应商具有约束力。澄清或者修改的内容可能影响响应文件编制的，将在提交首次响应文件截止之日3个工作日前，</w:t>
      </w:r>
      <w:r>
        <w:rPr>
          <w:rFonts w:hint="eastAsia" w:ascii="宋体" w:hAnsi="宋体" w:eastAsia="宋体" w:cs="宋体"/>
          <w:color w:val="auto"/>
          <w:kern w:val="0"/>
          <w:sz w:val="24"/>
          <w:highlight w:val="none"/>
        </w:rPr>
        <w:t>以书面形式通知所有获取磋商文件的供应商</w:t>
      </w:r>
      <w:r>
        <w:rPr>
          <w:rFonts w:hint="eastAsia" w:ascii="宋体" w:hAnsi="宋体" w:eastAsia="宋体" w:cs="宋体"/>
          <w:color w:val="auto"/>
          <w:sz w:val="24"/>
          <w:highlight w:val="none"/>
        </w:rPr>
        <w:t>；不足上述时间的，将顺延提交响应文件截止时间。</w:t>
      </w:r>
    </w:p>
    <w:p w14:paraId="38D636B4">
      <w:pPr>
        <w:pStyle w:val="4"/>
        <w:spacing w:before="0" w:line="360" w:lineRule="auto"/>
        <w:rPr>
          <w:rFonts w:hint="eastAsia" w:ascii="宋体" w:hAnsi="宋体" w:eastAsia="宋体" w:cs="宋体"/>
          <w:color w:val="auto"/>
          <w:sz w:val="28"/>
          <w:highlight w:val="none"/>
        </w:rPr>
      </w:pPr>
      <w:bookmarkStart w:id="181" w:name="_Toc516367020"/>
      <w:bookmarkStart w:id="182" w:name="_Toc305158794"/>
      <w:bookmarkStart w:id="183" w:name="_Toc226965799"/>
      <w:bookmarkStart w:id="184" w:name="_Toc226309770"/>
      <w:bookmarkStart w:id="185" w:name="_Toc151193624"/>
      <w:bookmarkStart w:id="186" w:name="_Toc520356150"/>
      <w:bookmarkStart w:id="187" w:name="_Toc150480764"/>
      <w:bookmarkStart w:id="188" w:name="_Toc151193914"/>
      <w:bookmarkStart w:id="189" w:name="_Toc150774626"/>
      <w:bookmarkStart w:id="190" w:name="_Toc150509277"/>
      <w:bookmarkStart w:id="191" w:name="_Toc150774731"/>
      <w:bookmarkStart w:id="192" w:name="_Toc226965716"/>
      <w:bookmarkStart w:id="193" w:name="_Toc226337222"/>
      <w:bookmarkStart w:id="194" w:name="_Toc151190153"/>
      <w:bookmarkStart w:id="195" w:name="_Toc127151526"/>
      <w:bookmarkStart w:id="196" w:name="_Toc305158868"/>
      <w:bookmarkStart w:id="197" w:name="_Toc151193696"/>
      <w:bookmarkStart w:id="198" w:name="_Toc151193768"/>
      <w:bookmarkStart w:id="199" w:name="_Toc264969216"/>
      <w:bookmarkStart w:id="200" w:name="_Toc195842891"/>
      <w:bookmarkStart w:id="201" w:name="_Toc142311028"/>
      <w:bookmarkStart w:id="202" w:name="_Toc151193840"/>
      <w:bookmarkStart w:id="203" w:name="_Toc265228364"/>
      <w:r>
        <w:rPr>
          <w:rFonts w:hint="eastAsia" w:ascii="宋体" w:hAnsi="宋体" w:eastAsia="宋体" w:cs="宋体"/>
          <w:color w:val="auto"/>
          <w:sz w:val="28"/>
          <w:highlight w:val="none"/>
        </w:rPr>
        <w:t>三   响应文件</w:t>
      </w:r>
      <w:bookmarkEnd w:id="181"/>
      <w:r>
        <w:rPr>
          <w:rFonts w:hint="eastAsia" w:ascii="宋体" w:hAnsi="宋体" w:eastAsia="宋体" w:cs="宋体"/>
          <w:color w:val="auto"/>
          <w:sz w:val="28"/>
          <w:highlight w:val="none"/>
        </w:rPr>
        <w:t>的编制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20E2EFA5">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bookmarkStart w:id="204" w:name="_Toc127151728"/>
      <w:bookmarkStart w:id="205" w:name="_Toc305158795"/>
      <w:bookmarkStart w:id="206" w:name="_Toc149720820"/>
      <w:bookmarkStart w:id="207" w:name="_Toc164229222"/>
      <w:bookmarkStart w:id="208" w:name="_Toc151193625"/>
      <w:bookmarkStart w:id="209" w:name="_Toc516367021"/>
      <w:bookmarkStart w:id="210" w:name="_Toc151193697"/>
      <w:bookmarkStart w:id="211" w:name="_Toc150774732"/>
      <w:bookmarkStart w:id="212" w:name="_Toc520356151"/>
      <w:bookmarkStart w:id="213" w:name="_Toc164608796"/>
      <w:bookmarkStart w:id="214" w:name="_Toc151193769"/>
      <w:bookmarkStart w:id="215" w:name="_Toc226965717"/>
      <w:bookmarkStart w:id="216" w:name="_Toc226965800"/>
      <w:bookmarkStart w:id="217" w:name="_Toc151193841"/>
      <w:bookmarkStart w:id="218" w:name="_Toc150509278"/>
      <w:bookmarkStart w:id="219" w:name="_Toc226309771"/>
      <w:bookmarkStart w:id="220" w:name="_Toc195842892"/>
      <w:bookmarkStart w:id="221" w:name="_Toc142311029"/>
      <w:bookmarkStart w:id="222" w:name="_Toc127161441"/>
      <w:bookmarkStart w:id="223" w:name="_Toc264969217"/>
      <w:bookmarkStart w:id="224" w:name="_Toc164229368"/>
      <w:bookmarkStart w:id="225" w:name="_Toc164351621"/>
      <w:bookmarkStart w:id="226" w:name="_Toc151190154"/>
      <w:bookmarkStart w:id="227" w:name="_Toc305158869"/>
      <w:bookmarkStart w:id="228" w:name="_Toc127151527"/>
      <w:bookmarkStart w:id="229" w:name="_Toc150774627"/>
      <w:bookmarkStart w:id="230" w:name="_Toc150480765"/>
      <w:bookmarkStart w:id="231" w:name="_Toc226337223"/>
      <w:bookmarkStart w:id="232" w:name="_Toc265228365"/>
      <w:bookmarkStart w:id="233" w:name="_Toc151193915"/>
      <w:bookmarkStart w:id="234" w:name="_Toc164608641"/>
      <w:r>
        <w:rPr>
          <w:rFonts w:hint="eastAsia" w:ascii="宋体" w:hAnsi="宋体" w:eastAsia="宋体" w:cs="宋体"/>
          <w:color w:val="auto"/>
          <w:sz w:val="24"/>
          <w:highlight w:val="none"/>
        </w:rPr>
        <w:t>响应范围、竞争性磋商文件中计量单位的使用</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rFonts w:hint="eastAsia" w:ascii="宋体" w:hAnsi="宋体" w:eastAsia="宋体" w:cs="宋体"/>
          <w:color w:val="auto"/>
          <w:sz w:val="24"/>
          <w:highlight w:val="none"/>
        </w:rPr>
        <w:t>及磋商语言</w:t>
      </w:r>
    </w:p>
    <w:p w14:paraId="13399A95">
      <w:pPr>
        <w:numPr>
          <w:ilvl w:val="1"/>
          <w:numId w:val="9"/>
        </w:numPr>
        <w:tabs>
          <w:tab w:val="left" w:pos="1080"/>
          <w:tab w:val="left" w:pos="2014"/>
        </w:tabs>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w:t>
      </w:r>
      <w:r>
        <w:rPr>
          <w:rFonts w:hint="eastAsia" w:ascii="宋体" w:hAnsi="宋体" w:eastAsia="宋体" w:cs="宋体"/>
          <w:b/>
          <w:color w:val="auto"/>
          <w:sz w:val="24"/>
          <w:highlight w:val="none"/>
        </w:rPr>
        <w:t>无效响应</w:t>
      </w:r>
      <w:r>
        <w:rPr>
          <w:rFonts w:hint="eastAsia" w:ascii="宋体" w:hAnsi="宋体" w:eastAsia="宋体" w:cs="宋体"/>
          <w:color w:val="auto"/>
          <w:sz w:val="24"/>
          <w:highlight w:val="none"/>
        </w:rPr>
        <w:t>。</w:t>
      </w:r>
    </w:p>
    <w:p w14:paraId="6DFCCA41">
      <w:pPr>
        <w:numPr>
          <w:ilvl w:val="1"/>
          <w:numId w:val="9"/>
        </w:numPr>
        <w:tabs>
          <w:tab w:val="left" w:pos="1080"/>
          <w:tab w:val="left" w:pos="2014"/>
        </w:tabs>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除竞争性磋商文件有特殊要求外，本项目磋商所使用的计量单位，应采用中华人民共和国法定计量单位。</w:t>
      </w:r>
    </w:p>
    <w:p w14:paraId="506F325C">
      <w:pPr>
        <w:numPr>
          <w:ilvl w:val="1"/>
          <w:numId w:val="9"/>
        </w:numPr>
        <w:tabs>
          <w:tab w:val="left" w:pos="1080"/>
          <w:tab w:val="left" w:pos="2014"/>
        </w:tabs>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6869A792">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bookmarkStart w:id="235" w:name="_Ref467306676"/>
      <w:bookmarkStart w:id="236" w:name="_Ref467306195"/>
      <w:bookmarkStart w:id="237" w:name="_Toc516367022"/>
      <w:bookmarkStart w:id="238" w:name="_Toc195842893"/>
      <w:bookmarkStart w:id="239" w:name="_Toc226965718"/>
      <w:bookmarkStart w:id="240" w:name="_Toc150774628"/>
      <w:bookmarkStart w:id="241" w:name="_Toc150480766"/>
      <w:bookmarkStart w:id="242" w:name="_Toc150509279"/>
      <w:bookmarkStart w:id="243" w:name="_Toc305158870"/>
      <w:bookmarkStart w:id="244" w:name="_Toc164351622"/>
      <w:bookmarkStart w:id="245" w:name="_Toc151193698"/>
      <w:bookmarkStart w:id="246" w:name="_Toc265228366"/>
      <w:bookmarkStart w:id="247" w:name="_Toc127151729"/>
      <w:bookmarkStart w:id="248" w:name="_Toc305158796"/>
      <w:bookmarkStart w:id="249" w:name="_Toc151193842"/>
      <w:bookmarkStart w:id="250" w:name="_Toc226965801"/>
      <w:bookmarkStart w:id="251" w:name="_Toc149720821"/>
      <w:bookmarkStart w:id="252" w:name="_Toc142311030"/>
      <w:bookmarkStart w:id="253" w:name="_Toc520356152"/>
      <w:bookmarkStart w:id="254" w:name="_Toc151190155"/>
      <w:bookmarkStart w:id="255" w:name="_Toc226309772"/>
      <w:bookmarkStart w:id="256" w:name="_Toc226337224"/>
      <w:bookmarkStart w:id="257" w:name="_Toc127161442"/>
      <w:bookmarkStart w:id="258" w:name="_Toc150774733"/>
      <w:bookmarkStart w:id="259" w:name="_Toc164608642"/>
      <w:bookmarkStart w:id="260" w:name="_Toc151193770"/>
      <w:bookmarkStart w:id="261" w:name="_Toc164229369"/>
      <w:bookmarkStart w:id="262" w:name="_Toc264969218"/>
      <w:bookmarkStart w:id="263" w:name="_Toc164608797"/>
      <w:bookmarkStart w:id="264" w:name="_Toc127151528"/>
      <w:bookmarkStart w:id="265" w:name="_Toc151193916"/>
      <w:bookmarkStart w:id="266" w:name="_Toc151193626"/>
      <w:bookmarkStart w:id="267" w:name="_Toc164229223"/>
      <w:r>
        <w:rPr>
          <w:rFonts w:hint="eastAsia" w:ascii="宋体" w:hAnsi="宋体" w:eastAsia="宋体" w:cs="宋体"/>
          <w:color w:val="auto"/>
          <w:sz w:val="24"/>
          <w:highlight w:val="none"/>
        </w:rPr>
        <w:t>响应文件</w:t>
      </w:r>
      <w:bookmarkEnd w:id="235"/>
      <w:bookmarkEnd w:id="236"/>
      <w:bookmarkEnd w:id="237"/>
      <w:r>
        <w:rPr>
          <w:rFonts w:hint="eastAsia" w:ascii="宋体" w:hAnsi="宋体" w:eastAsia="宋体" w:cs="宋体"/>
          <w:color w:val="auto"/>
          <w:sz w:val="24"/>
          <w:highlight w:val="none"/>
        </w:rPr>
        <w:t>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1D8721F2">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bookmarkStart w:id="268" w:name="_Ref467052588"/>
      <w:r>
        <w:rPr>
          <w:rFonts w:hint="eastAsia" w:ascii="宋体" w:hAnsi="宋体" w:eastAsia="宋体" w:cs="宋体"/>
          <w:color w:val="auto"/>
          <w:sz w:val="24"/>
          <w:highlight w:val="none"/>
        </w:rPr>
        <w:t>供应商应当按照竞争性磋商文件的要求编制响应文件，</w:t>
      </w:r>
      <w:r>
        <w:rPr>
          <w:rFonts w:hint="eastAsia" w:ascii="宋体" w:hAnsi="宋体" w:eastAsia="宋体" w:cs="宋体"/>
          <w:color w:val="auto"/>
          <w:kern w:val="0"/>
          <w:sz w:val="24"/>
          <w:highlight w:val="none"/>
        </w:rPr>
        <w:t>并对其提交的响应文件的真实性、合法性承担法律责任</w:t>
      </w:r>
      <w:r>
        <w:rPr>
          <w:rFonts w:hint="eastAsia" w:ascii="宋体" w:hAnsi="宋体" w:eastAsia="宋体" w:cs="宋体"/>
          <w:color w:val="auto"/>
          <w:sz w:val="24"/>
          <w:highlight w:val="none"/>
        </w:rPr>
        <w:t>。响应文件的部分格式要求，见第六章《响应文件格式》。</w:t>
      </w:r>
    </w:p>
    <w:p w14:paraId="78604645">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对于竞争性磋商文件中标记了“实质性格式”文件的，</w:t>
      </w:r>
      <w:r>
        <w:rPr>
          <w:rFonts w:hint="eastAsia" w:ascii="宋体" w:hAnsi="宋体" w:eastAsia="宋体" w:cs="宋体"/>
          <w:color w:val="auto"/>
          <w:sz w:val="24"/>
          <w:highlight w:val="none"/>
        </w:rPr>
        <w:t>供应商不得改变格式中给定的文字所表达的含义，不得删减格式中的实质性内容，不得自行添加与格式中给定的文字内容相矛盾的内容，不得对应当填写的空格不填写或不实质性响应，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eastAsia="宋体" w:cs="宋体"/>
          <w:b/>
          <w:color w:val="auto"/>
          <w:kern w:val="0"/>
          <w:sz w:val="24"/>
          <w:highlight w:val="none"/>
        </w:rPr>
        <w:t>否则响应无效</w:t>
      </w:r>
      <w:r>
        <w:rPr>
          <w:rFonts w:hint="eastAsia" w:ascii="宋体" w:hAnsi="宋体" w:eastAsia="宋体" w:cs="宋体"/>
          <w:color w:val="auto"/>
          <w:kern w:val="0"/>
          <w:sz w:val="24"/>
          <w:highlight w:val="none"/>
        </w:rPr>
        <w:t>。未标记“实质性格式”的文件和竞争性磋商文件未提供格式的内容，可由供应商自行编写。</w:t>
      </w:r>
    </w:p>
    <w:p w14:paraId="1419D36D">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第三章《评审方法和评审标准》中涉及的证明文件。</w:t>
      </w:r>
    </w:p>
    <w:p w14:paraId="5DB42FDB">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7B1615AE">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供应商认为应附的其他材料。</w:t>
      </w:r>
      <w:bookmarkEnd w:id="268"/>
    </w:p>
    <w:p w14:paraId="3D133A68">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bookmarkStart w:id="269" w:name="_Toc151193700"/>
      <w:bookmarkStart w:id="270" w:name="_Toc164608644"/>
      <w:bookmarkStart w:id="271" w:name="_Toc142311032"/>
      <w:bookmarkStart w:id="272" w:name="_Toc127151530"/>
      <w:bookmarkStart w:id="273" w:name="_Toc151193628"/>
      <w:bookmarkStart w:id="274" w:name="_Toc164229371"/>
      <w:bookmarkStart w:id="275" w:name="_Toc164608799"/>
      <w:bookmarkStart w:id="276" w:name="_Toc150774735"/>
      <w:bookmarkStart w:id="277" w:name="_Toc151190157"/>
      <w:bookmarkStart w:id="278" w:name="_Toc150509281"/>
      <w:bookmarkStart w:id="279" w:name="_Toc150774630"/>
      <w:bookmarkStart w:id="280" w:name="_Toc127151731"/>
      <w:bookmarkStart w:id="281" w:name="_Toc164351624"/>
      <w:bookmarkStart w:id="282" w:name="_Toc149720823"/>
      <w:bookmarkStart w:id="283" w:name="_Toc127161444"/>
      <w:bookmarkStart w:id="284" w:name="_Toc520356155"/>
      <w:bookmarkStart w:id="285" w:name="_Toc151193918"/>
      <w:bookmarkStart w:id="286" w:name="_Toc151193772"/>
      <w:bookmarkStart w:id="287" w:name="_Toc150480768"/>
      <w:bookmarkStart w:id="288" w:name="_Toc195842895"/>
      <w:bookmarkStart w:id="289" w:name="_Toc151193844"/>
      <w:bookmarkStart w:id="290" w:name="_Toc164229225"/>
      <w:r>
        <w:rPr>
          <w:rFonts w:hint="eastAsia" w:ascii="宋体" w:hAnsi="宋体" w:eastAsia="宋体" w:cs="宋体"/>
          <w:color w:val="auto"/>
          <w:sz w:val="24"/>
          <w:highlight w:val="none"/>
        </w:rPr>
        <w:t>报价</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11D4F137">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所有响应均以人民币报价。</w:t>
      </w:r>
    </w:p>
    <w:p w14:paraId="2F0B4EC2">
      <w:pPr>
        <w:numPr>
          <w:ilvl w:val="1"/>
          <w:numId w:val="9"/>
        </w:numPr>
        <w:tabs>
          <w:tab w:val="left" w:pos="1080"/>
        </w:tabs>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供应商的报价应包括为完成本项目所发生的一切费用和税费，采购人将不再支付报价以外的任何费用。供应商的报价应包括但不限于下列内容，《供应商须知资料表》中有特殊规定的，从其规定。</w:t>
      </w:r>
    </w:p>
    <w:p w14:paraId="45A6848C">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75330E94">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按照竞争性磋商文件要求完成本项目的全部相关费用。</w:t>
      </w:r>
    </w:p>
    <w:p w14:paraId="12EB512D">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采购人不得向供应商索要或者接受其给予的赠品、回扣或者与采购无关的其他商品、服务。</w:t>
      </w:r>
    </w:p>
    <w:p w14:paraId="2528FF50">
      <w:pPr>
        <w:numPr>
          <w:ilvl w:val="1"/>
          <w:numId w:val="9"/>
        </w:numPr>
        <w:tabs>
          <w:tab w:val="left" w:pos="1080"/>
          <w:tab w:val="left" w:pos="2014"/>
        </w:tabs>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供应商不能提供任何有选择性或可调整的最后报价（</w:t>
      </w:r>
      <w:r>
        <w:rPr>
          <w:rFonts w:hint="eastAsia" w:ascii="宋体" w:hAnsi="宋体" w:eastAsia="宋体" w:cs="宋体"/>
          <w:color w:val="auto"/>
          <w:kern w:val="0"/>
          <w:sz w:val="24"/>
          <w:highlight w:val="none"/>
        </w:rPr>
        <w:t>竞争性磋商文件</w:t>
      </w:r>
      <w:r>
        <w:rPr>
          <w:rFonts w:hint="eastAsia" w:ascii="宋体" w:hAnsi="宋体" w:eastAsia="宋体" w:cs="宋体"/>
          <w:color w:val="auto"/>
          <w:sz w:val="24"/>
          <w:highlight w:val="none"/>
        </w:rPr>
        <w:t>另有规定的除外），否则其</w:t>
      </w:r>
      <w:r>
        <w:rPr>
          <w:rFonts w:hint="eastAsia" w:ascii="宋体" w:hAnsi="宋体" w:eastAsia="宋体" w:cs="宋体"/>
          <w:b/>
          <w:color w:val="auto"/>
          <w:sz w:val="24"/>
          <w:highlight w:val="none"/>
        </w:rPr>
        <w:t>响应无效</w:t>
      </w:r>
      <w:r>
        <w:rPr>
          <w:rFonts w:hint="eastAsia" w:ascii="宋体" w:hAnsi="宋体" w:eastAsia="宋体" w:cs="宋体"/>
          <w:color w:val="auto"/>
          <w:sz w:val="24"/>
          <w:highlight w:val="none"/>
        </w:rPr>
        <w:t>。</w:t>
      </w:r>
    </w:p>
    <w:p w14:paraId="0BD124B0">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磋商保证金</w:t>
      </w:r>
    </w:p>
    <w:p w14:paraId="402388EE">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bookmarkStart w:id="291" w:name="_Ref467306302"/>
      <w:r>
        <w:rPr>
          <w:rFonts w:hint="eastAsia" w:ascii="宋体" w:hAnsi="宋体" w:eastAsia="宋体" w:cs="宋体"/>
          <w:color w:val="auto"/>
          <w:sz w:val="24"/>
          <w:highlight w:val="none"/>
        </w:rPr>
        <w:t>供应商应按《供应商须知资料表》中规定的金额及要求交纳磋商保证金</w:t>
      </w:r>
      <w:bookmarkEnd w:id="291"/>
      <w:r>
        <w:rPr>
          <w:rFonts w:hint="eastAsia" w:ascii="宋体" w:hAnsi="宋体" w:eastAsia="宋体" w:cs="宋体"/>
          <w:color w:val="auto"/>
          <w:sz w:val="24"/>
          <w:highlight w:val="none"/>
        </w:rPr>
        <w:t>。</w:t>
      </w:r>
    </w:p>
    <w:p w14:paraId="5A67E5C0">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交纳磋商保证金可采用的形式：政府采购法律法规接受的支票、汇票、本票、网上银行支付或者金融机构、担保机构出具的保函等非现金形式。</w:t>
      </w:r>
    </w:p>
    <w:p w14:paraId="26E660CB">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保证金到账（保函提交）截止时间同首次响应文件提交截止时间。以支票、汇票、本票、网上银行支付等形式提交磋商保证金的，应在首次响应文件提交截止时间前到账；以金融机构、担保机构出具的保函等形式提交磋商保证金的，应在首次响应文件提交截止时间前将原件提交至采购代理机构；由于到账时间晚于首次响应文件提交截止时间的，或者票据错误、印鉴不清等原因导致不能到账的，其</w:t>
      </w:r>
      <w:r>
        <w:rPr>
          <w:rFonts w:hint="eastAsia" w:ascii="宋体" w:hAnsi="宋体" w:eastAsia="宋体" w:cs="宋体"/>
          <w:b/>
          <w:color w:val="auto"/>
          <w:sz w:val="24"/>
          <w:highlight w:val="none"/>
        </w:rPr>
        <w:t>响应无效</w:t>
      </w:r>
      <w:r>
        <w:rPr>
          <w:rFonts w:hint="eastAsia" w:ascii="宋体" w:hAnsi="宋体" w:eastAsia="宋体" w:cs="宋体"/>
          <w:color w:val="auto"/>
          <w:sz w:val="24"/>
          <w:highlight w:val="none"/>
        </w:rPr>
        <w:t>。</w:t>
      </w:r>
    </w:p>
    <w:p w14:paraId="50E40BF0">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磋商保证金有效期同响应有效期。</w:t>
      </w:r>
    </w:p>
    <w:p w14:paraId="0CC6DD17">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供应商为联合体的，可以由联合体中的一方或者多方共同交纳磋商保证金，其交纳的保证金对联合体各方均具有约束力。</w:t>
      </w:r>
    </w:p>
    <w:p w14:paraId="106F7ECB">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4464B771">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0"/>
          <w:sz w:val="24"/>
          <w:highlight w:val="none"/>
        </w:rPr>
        <w:t>已提交响应文件的供应商，在提交最后报价之前，可以根据磋商情况退出磋商。采购人、采购代理机构将退还退出磋商的供应商的磋商保证金；</w:t>
      </w:r>
    </w:p>
    <w:p w14:paraId="052C6B7A">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成交供应商的磋商保证金，在采购合同签订后5个工作日内退还成交供应商；</w:t>
      </w:r>
    </w:p>
    <w:p w14:paraId="01D66750">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未成交供应商的磋商保证金，在成交通知书发出后5个工作日内退还。</w:t>
      </w:r>
    </w:p>
    <w:p w14:paraId="4770244E">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有下列情形之一的，采购人或采购代理机构不予退还磋商保证金：</w:t>
      </w:r>
    </w:p>
    <w:p w14:paraId="141204A3">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供应商在提交响应文件截止时间后撤回响应文件的；</w:t>
      </w:r>
    </w:p>
    <w:p w14:paraId="508A561E">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供应商在响应文件中提供虚假材料的；</w:t>
      </w:r>
    </w:p>
    <w:p w14:paraId="71380489">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除因不可抗力或磋商文件认可的情形以外，成交供应商不与采购人签订合同的；</w:t>
      </w:r>
    </w:p>
    <w:p w14:paraId="5968FFEB">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供应商与采购人、其他供应商或者采购代理机构恶意串通的；</w:t>
      </w:r>
    </w:p>
    <w:p w14:paraId="61C55413">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《供应商须知资料表》规定的其他情形。</w:t>
      </w:r>
    </w:p>
    <w:p w14:paraId="65BFF464">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响应有效期</w:t>
      </w:r>
    </w:p>
    <w:p w14:paraId="4F62F4EE">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响应文件应在本竞争性磋商文件《供应商须知资料表》中规定的响应有效期内保持有效，响应有效期少于竞争性磋商文件规定期限的，其</w:t>
      </w:r>
      <w:r>
        <w:rPr>
          <w:rFonts w:hint="eastAsia" w:ascii="宋体" w:hAnsi="宋体" w:eastAsia="宋体" w:cs="宋体"/>
          <w:b/>
          <w:color w:val="auto"/>
          <w:sz w:val="24"/>
          <w:highlight w:val="none"/>
        </w:rPr>
        <w:t>响应无效</w:t>
      </w:r>
      <w:r>
        <w:rPr>
          <w:rFonts w:hint="eastAsia" w:ascii="宋体" w:hAnsi="宋体" w:eastAsia="宋体" w:cs="宋体"/>
          <w:color w:val="auto"/>
          <w:sz w:val="24"/>
          <w:highlight w:val="none"/>
        </w:rPr>
        <w:t>。</w:t>
      </w:r>
    </w:p>
    <w:p w14:paraId="753403A1">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bookmarkStart w:id="292" w:name="_Toc151193921"/>
      <w:bookmarkStart w:id="293" w:name="_Toc151193703"/>
      <w:bookmarkStart w:id="294" w:name="_Toc150774738"/>
      <w:bookmarkStart w:id="295" w:name="_Toc150480771"/>
      <w:bookmarkStart w:id="296" w:name="_Toc149720826"/>
      <w:bookmarkStart w:id="297" w:name="_Toc142311035"/>
      <w:bookmarkStart w:id="298" w:name="_Toc164608647"/>
      <w:bookmarkStart w:id="299" w:name="_Toc164229374"/>
      <w:bookmarkStart w:id="300" w:name="_Toc195842898"/>
      <w:bookmarkStart w:id="301" w:name="_Toc226309777"/>
      <w:bookmarkStart w:id="302" w:name="_Toc151193775"/>
      <w:bookmarkStart w:id="303" w:name="_Toc150509284"/>
      <w:bookmarkStart w:id="304" w:name="_Toc520356158"/>
      <w:bookmarkStart w:id="305" w:name="_Toc127161447"/>
      <w:bookmarkStart w:id="306" w:name="_Toc226965723"/>
      <w:bookmarkStart w:id="307" w:name="_Toc305158801"/>
      <w:bookmarkStart w:id="308" w:name="_Toc164229228"/>
      <w:bookmarkStart w:id="309" w:name="_Toc150774633"/>
      <w:bookmarkStart w:id="310" w:name="_Toc264969223"/>
      <w:bookmarkStart w:id="311" w:name="_Toc127151734"/>
      <w:bookmarkStart w:id="312" w:name="_Toc151193631"/>
      <w:bookmarkStart w:id="313" w:name="_Toc151190160"/>
      <w:bookmarkStart w:id="314" w:name="_Toc265228371"/>
      <w:bookmarkStart w:id="315" w:name="_Toc164351627"/>
      <w:bookmarkStart w:id="316" w:name="_Toc127151533"/>
      <w:bookmarkStart w:id="317" w:name="_Toc164608802"/>
      <w:bookmarkStart w:id="318" w:name="_Toc305158875"/>
      <w:bookmarkStart w:id="319" w:name="_Toc151193847"/>
      <w:bookmarkStart w:id="320" w:name="_Toc226337229"/>
      <w:bookmarkStart w:id="321" w:name="_Toc226965806"/>
      <w:r>
        <w:rPr>
          <w:rFonts w:hint="eastAsia" w:ascii="宋体" w:hAnsi="宋体" w:eastAsia="宋体" w:cs="宋体"/>
          <w:color w:val="auto"/>
          <w:sz w:val="24"/>
          <w:highlight w:val="none"/>
        </w:rPr>
        <w:t>响应文件的签署</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rFonts w:hint="eastAsia" w:ascii="宋体" w:hAnsi="宋体" w:eastAsia="宋体" w:cs="宋体"/>
          <w:color w:val="auto"/>
          <w:sz w:val="24"/>
          <w:highlight w:val="none"/>
        </w:rPr>
        <w:t>、盖章</w:t>
      </w:r>
    </w:p>
    <w:p w14:paraId="014823E1">
      <w:pPr>
        <w:numPr>
          <w:ilvl w:val="1"/>
          <w:numId w:val="9"/>
        </w:numPr>
        <w:tabs>
          <w:tab w:val="left" w:pos="1080"/>
        </w:tabs>
        <w:snapToGrid w:val="0"/>
        <w:spacing w:line="360" w:lineRule="auto"/>
        <w:rPr>
          <w:rFonts w:hint="eastAsia" w:ascii="宋体" w:hAnsi="宋体" w:eastAsia="宋体" w:cs="宋体"/>
          <w:color w:val="auto"/>
          <w:sz w:val="24"/>
          <w:highlight w:val="none"/>
        </w:rPr>
      </w:pPr>
      <w:bookmarkStart w:id="322" w:name="_Toc305158876"/>
      <w:bookmarkStart w:id="323" w:name="_Toc150774634"/>
      <w:bookmarkStart w:id="324" w:name="_Toc151193776"/>
      <w:bookmarkStart w:id="325" w:name="_Toc226965807"/>
      <w:bookmarkStart w:id="326" w:name="_Toc264969224"/>
      <w:bookmarkStart w:id="327" w:name="_Toc226337230"/>
      <w:bookmarkStart w:id="328" w:name="_Toc195842899"/>
      <w:bookmarkStart w:id="329" w:name="_Toc265228372"/>
      <w:bookmarkStart w:id="330" w:name="_Toc151193848"/>
      <w:bookmarkStart w:id="331" w:name="_Toc151193632"/>
      <w:bookmarkStart w:id="332" w:name="_Toc151190161"/>
      <w:bookmarkStart w:id="333" w:name="_Toc127151534"/>
      <w:bookmarkStart w:id="334" w:name="_Toc226309778"/>
      <w:bookmarkStart w:id="335" w:name="_Toc150774739"/>
      <w:bookmarkStart w:id="336" w:name="_Toc150509285"/>
      <w:bookmarkStart w:id="337" w:name="_Toc151193704"/>
      <w:bookmarkStart w:id="338" w:name="_Toc151193922"/>
      <w:bookmarkStart w:id="339" w:name="_Toc305158802"/>
      <w:bookmarkStart w:id="340" w:name="_Toc520356159"/>
      <w:bookmarkStart w:id="341" w:name="_Toc142311036"/>
      <w:bookmarkStart w:id="342" w:name="_Toc226965724"/>
      <w:bookmarkStart w:id="343" w:name="_Toc150480772"/>
      <w:r>
        <w:rPr>
          <w:rFonts w:hint="eastAsia" w:ascii="宋体" w:hAnsi="宋体" w:eastAsia="宋体" w:cs="宋体"/>
          <w:color w:val="auto"/>
          <w:sz w:val="24"/>
          <w:highlight w:val="none"/>
        </w:rPr>
        <w:t>竞争性磋商文件要求签字的内容（如授权委托书等），可以使用电子签章或使用原件的电子件（电子件指扫描件、照片等形式电子文件）；要求第三方出具的盖章件原件（如联合协议、分包意向协议、制造商授权书原件等），响应文件中应使用原件的电子件。</w:t>
      </w:r>
    </w:p>
    <w:p w14:paraId="0347064D">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竞争性磋商文件要求盖章的内容，一般通过投标文件编制工具加盖电子签章。</w:t>
      </w:r>
    </w:p>
    <w:p w14:paraId="7364511D">
      <w:pPr>
        <w:tabs>
          <w:tab w:val="left" w:pos="900"/>
          <w:tab w:val="left" w:pos="1080"/>
        </w:tabs>
        <w:snapToGrid w:val="0"/>
        <w:spacing w:line="360" w:lineRule="auto"/>
        <w:ind w:left="357"/>
        <w:rPr>
          <w:rFonts w:hint="eastAsia" w:ascii="宋体" w:hAnsi="宋体" w:eastAsia="宋体" w:cs="宋体"/>
          <w:color w:val="auto"/>
          <w:highlight w:val="none"/>
        </w:rPr>
      </w:pPr>
    </w:p>
    <w:p w14:paraId="3243B78C">
      <w:pPr>
        <w:pStyle w:val="4"/>
        <w:spacing w:before="0" w:line="360" w:lineRule="auto"/>
        <w:rPr>
          <w:rFonts w:hint="eastAsia" w:ascii="宋体" w:hAnsi="宋体" w:eastAsia="宋体" w:cs="宋体"/>
          <w:color w:val="auto"/>
          <w:sz w:val="28"/>
          <w:highlight w:val="none"/>
        </w:rPr>
      </w:pPr>
      <w:r>
        <w:rPr>
          <w:rFonts w:hint="eastAsia" w:ascii="宋体" w:hAnsi="宋体" w:eastAsia="宋体" w:cs="宋体"/>
          <w:color w:val="auto"/>
          <w:sz w:val="28"/>
          <w:highlight w:val="none"/>
        </w:rPr>
        <w:t>四   响应文件的提交</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2C6B8541">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bookmarkStart w:id="344" w:name="_Toc164351629"/>
      <w:bookmarkStart w:id="345" w:name="_Toc264969225"/>
      <w:bookmarkStart w:id="346" w:name="_Toc164608649"/>
      <w:bookmarkStart w:id="347" w:name="_Toc151193923"/>
      <w:bookmarkStart w:id="348" w:name="_Toc164229376"/>
      <w:bookmarkStart w:id="349" w:name="_Toc151193633"/>
      <w:bookmarkStart w:id="350" w:name="_Toc265228373"/>
      <w:bookmarkStart w:id="351" w:name="_Toc151193849"/>
      <w:bookmarkStart w:id="352" w:name="_Toc164608804"/>
      <w:bookmarkStart w:id="353" w:name="_Toc226965808"/>
      <w:bookmarkStart w:id="354" w:name="_Toc142311037"/>
      <w:bookmarkStart w:id="355" w:name="_Toc151193777"/>
      <w:bookmarkStart w:id="356" w:name="_Toc305158803"/>
      <w:bookmarkStart w:id="357" w:name="_Toc164229230"/>
      <w:bookmarkStart w:id="358" w:name="_Toc149720828"/>
      <w:bookmarkStart w:id="359" w:name="_Toc127161449"/>
      <w:bookmarkStart w:id="360" w:name="_Toc151193705"/>
      <w:bookmarkStart w:id="361" w:name="_Toc305158877"/>
      <w:bookmarkStart w:id="362" w:name="_Toc226337231"/>
      <w:bookmarkStart w:id="363" w:name="_Toc127151736"/>
      <w:bookmarkStart w:id="364" w:name="_Toc150509286"/>
      <w:bookmarkStart w:id="365" w:name="_Toc150480773"/>
      <w:bookmarkStart w:id="366" w:name="_Toc150774635"/>
      <w:bookmarkStart w:id="367" w:name="_Toc150774740"/>
      <w:bookmarkStart w:id="368" w:name="_Toc226309779"/>
      <w:bookmarkStart w:id="369" w:name="_Toc520356160"/>
      <w:bookmarkStart w:id="370" w:name="_Toc226965725"/>
      <w:bookmarkStart w:id="371" w:name="_Toc127151535"/>
      <w:bookmarkStart w:id="372" w:name="_Toc195842900"/>
      <w:bookmarkStart w:id="373" w:name="_Toc151190162"/>
      <w:r>
        <w:rPr>
          <w:rFonts w:hint="eastAsia" w:ascii="宋体" w:hAnsi="宋体" w:eastAsia="宋体" w:cs="宋体"/>
          <w:color w:val="auto"/>
          <w:sz w:val="24"/>
          <w:highlight w:val="none"/>
        </w:rPr>
        <w:t>响应文件的</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Pr>
          <w:rFonts w:hint="eastAsia" w:ascii="宋体" w:hAnsi="宋体" w:eastAsia="宋体" w:cs="宋体"/>
          <w:color w:val="auto"/>
          <w:sz w:val="24"/>
          <w:highlight w:val="none"/>
        </w:rPr>
        <w:t>提交</w:t>
      </w:r>
    </w:p>
    <w:p w14:paraId="5941C317">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本项目使用北京市政府采购电子交易平台。供应商根据竞争性磋商文件及电子交易平台供应商操作手册要求编制、生成并提交电子响应文件。</w:t>
      </w:r>
    </w:p>
    <w:p w14:paraId="630BAE4F">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采购人及采购代理机构拒绝接受通过电子交易平台以外任何形式提交的响应文件，磋商保证金除外。</w:t>
      </w:r>
    </w:p>
    <w:p w14:paraId="36CB775A">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bookmarkStart w:id="374" w:name="_Toc151193706"/>
      <w:bookmarkStart w:id="375" w:name="_Toc265228374"/>
      <w:bookmarkStart w:id="376" w:name="_Toc226337232"/>
      <w:bookmarkStart w:id="377" w:name="_Toc164229377"/>
      <w:bookmarkStart w:id="378" w:name="_Toc305158804"/>
      <w:bookmarkStart w:id="379" w:name="_Toc127151737"/>
      <w:bookmarkStart w:id="380" w:name="_Toc127151536"/>
      <w:bookmarkStart w:id="381" w:name="_Toc164229231"/>
      <w:bookmarkStart w:id="382" w:name="_Toc127161450"/>
      <w:bookmarkStart w:id="383" w:name="_Toc150480774"/>
      <w:bookmarkStart w:id="384" w:name="_Toc151193850"/>
      <w:bookmarkStart w:id="385" w:name="_Toc164351630"/>
      <w:bookmarkStart w:id="386" w:name="_Toc150774741"/>
      <w:bookmarkStart w:id="387" w:name="_Toc151193634"/>
      <w:bookmarkStart w:id="388" w:name="_Toc226309780"/>
      <w:bookmarkStart w:id="389" w:name="_Toc195842901"/>
      <w:bookmarkStart w:id="390" w:name="_Toc150774636"/>
      <w:bookmarkStart w:id="391" w:name="_Toc226965726"/>
      <w:bookmarkStart w:id="392" w:name="_Toc151193924"/>
      <w:bookmarkStart w:id="393" w:name="_Toc520356161"/>
      <w:bookmarkStart w:id="394" w:name="_Toc226965809"/>
      <w:bookmarkStart w:id="395" w:name="_Toc151190163"/>
      <w:bookmarkStart w:id="396" w:name="_Toc142311038"/>
      <w:bookmarkStart w:id="397" w:name="_Toc151193778"/>
      <w:bookmarkStart w:id="398" w:name="_Toc150509287"/>
      <w:bookmarkStart w:id="399" w:name="_Toc264969226"/>
      <w:bookmarkStart w:id="400" w:name="_Toc149720829"/>
      <w:bookmarkStart w:id="401" w:name="_Toc164608650"/>
      <w:bookmarkStart w:id="402" w:name="_Toc164608805"/>
      <w:bookmarkStart w:id="403" w:name="_Toc305158878"/>
      <w:r>
        <w:rPr>
          <w:rFonts w:hint="eastAsia" w:ascii="宋体" w:hAnsi="宋体" w:eastAsia="宋体" w:cs="宋体"/>
          <w:color w:val="auto"/>
          <w:sz w:val="24"/>
          <w:highlight w:val="none"/>
        </w:rPr>
        <w:t>响应文件提交截止</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Pr>
          <w:rFonts w:hint="eastAsia" w:ascii="宋体" w:hAnsi="宋体" w:eastAsia="宋体" w:cs="宋体"/>
          <w:color w:val="auto"/>
          <w:sz w:val="24"/>
          <w:highlight w:val="none"/>
        </w:rPr>
        <w:t>时间</w:t>
      </w:r>
    </w:p>
    <w:p w14:paraId="6DE961D6">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供应商应在竞争性磋商文件要求响应文件提交截止时间前，将电子响应文件提交至电子交易平台。</w:t>
      </w:r>
    </w:p>
    <w:p w14:paraId="3A97953E">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bookmarkStart w:id="404" w:name="_Toc226965810"/>
      <w:bookmarkStart w:id="405" w:name="_Toc149720830"/>
      <w:bookmarkStart w:id="406" w:name="_Toc151193851"/>
      <w:bookmarkStart w:id="407" w:name="_Toc305158805"/>
      <w:bookmarkStart w:id="408" w:name="_Toc164229378"/>
      <w:bookmarkStart w:id="409" w:name="_Toc164608651"/>
      <w:bookmarkStart w:id="410" w:name="_Toc150774742"/>
      <w:bookmarkStart w:id="411" w:name="_Toc164608806"/>
      <w:bookmarkStart w:id="412" w:name="_Toc151193707"/>
      <w:bookmarkStart w:id="413" w:name="_Toc164229232"/>
      <w:bookmarkStart w:id="414" w:name="_Toc142311039"/>
      <w:bookmarkStart w:id="415" w:name="_Toc265228375"/>
      <w:bookmarkStart w:id="416" w:name="_Toc226337233"/>
      <w:bookmarkStart w:id="417" w:name="_Toc520356162"/>
      <w:bookmarkStart w:id="418" w:name="_Toc151193925"/>
      <w:bookmarkStart w:id="419" w:name="_Toc151193635"/>
      <w:bookmarkStart w:id="420" w:name="_Toc127161451"/>
      <w:bookmarkStart w:id="421" w:name="_Toc150480775"/>
      <w:bookmarkStart w:id="422" w:name="_Toc127151738"/>
      <w:bookmarkStart w:id="423" w:name="_Toc150509288"/>
      <w:bookmarkStart w:id="424" w:name="_Toc226309781"/>
      <w:bookmarkStart w:id="425" w:name="_Toc151190164"/>
      <w:bookmarkStart w:id="426" w:name="_Toc150774637"/>
      <w:bookmarkStart w:id="427" w:name="_Toc164351631"/>
      <w:bookmarkStart w:id="428" w:name="_Toc226965727"/>
      <w:bookmarkStart w:id="429" w:name="_Toc127151537"/>
      <w:bookmarkStart w:id="430" w:name="_Toc305158879"/>
      <w:bookmarkStart w:id="431" w:name="_Toc195842902"/>
      <w:bookmarkStart w:id="432" w:name="_Toc151193779"/>
      <w:bookmarkStart w:id="433" w:name="_Toc264969227"/>
      <w:r>
        <w:rPr>
          <w:rFonts w:hint="eastAsia" w:ascii="宋体" w:hAnsi="宋体" w:eastAsia="宋体" w:cs="宋体"/>
          <w:color w:val="auto"/>
          <w:sz w:val="24"/>
          <w:highlight w:val="none"/>
        </w:rPr>
        <w:t>响应文件的修改与撤回</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3152F67D">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提交响应文件截止时间前，供应商可以通过电子交易平台对所提交的响应文件进行补充、修改或者撤回。磋商保证金的补充、修改或者撤回无需通过电子交易平台，但应就其补充、修改或者撤回通知采购人或采购代理机构。</w:t>
      </w:r>
    </w:p>
    <w:p w14:paraId="0E8C81F3">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供应商对响应文件的补充、修改的内容应当按照竞争性磋商文件要求签署、盖章，作为响应文件的组成部分。</w:t>
      </w:r>
      <w:r>
        <w:rPr>
          <w:rFonts w:hint="eastAsia" w:ascii="宋体" w:hAnsi="宋体" w:eastAsia="宋体" w:cs="宋体"/>
          <w:color w:val="auto"/>
          <w:kern w:val="0"/>
          <w:sz w:val="24"/>
          <w:highlight w:val="none"/>
        </w:rPr>
        <w:t>补充、修改的内容与响应文件不一致的，以补充、修改的内容为准。</w:t>
      </w:r>
    </w:p>
    <w:p w14:paraId="4D25138D">
      <w:pPr>
        <w:tabs>
          <w:tab w:val="left" w:pos="900"/>
          <w:tab w:val="left" w:pos="1080"/>
          <w:tab w:val="left" w:pos="1589"/>
        </w:tabs>
        <w:snapToGrid w:val="0"/>
        <w:spacing w:line="360" w:lineRule="auto"/>
        <w:ind w:left="357"/>
        <w:rPr>
          <w:rFonts w:hint="eastAsia" w:ascii="宋体" w:hAnsi="宋体" w:eastAsia="宋体" w:cs="宋体"/>
          <w:color w:val="auto"/>
          <w:sz w:val="21"/>
          <w:szCs w:val="21"/>
          <w:highlight w:val="none"/>
        </w:rPr>
      </w:pPr>
    </w:p>
    <w:p w14:paraId="461E6B0F">
      <w:pPr>
        <w:pStyle w:val="4"/>
        <w:spacing w:before="0" w:line="360" w:lineRule="auto"/>
        <w:rPr>
          <w:rFonts w:hint="eastAsia" w:ascii="宋体" w:hAnsi="宋体" w:eastAsia="宋体" w:cs="宋体"/>
          <w:color w:val="auto"/>
          <w:sz w:val="28"/>
          <w:highlight w:val="none"/>
        </w:rPr>
      </w:pPr>
      <w:bookmarkStart w:id="434" w:name="_Toc151193852"/>
      <w:bookmarkStart w:id="435" w:name="_Toc195842903"/>
      <w:bookmarkStart w:id="436" w:name="_Toc150774638"/>
      <w:bookmarkStart w:id="437" w:name="_Toc520356163"/>
      <w:bookmarkStart w:id="438" w:name="_Toc265228376"/>
      <w:bookmarkStart w:id="439" w:name="_Toc151193636"/>
      <w:bookmarkStart w:id="440" w:name="_Toc226337234"/>
      <w:bookmarkStart w:id="441" w:name="_Toc264969228"/>
      <w:bookmarkStart w:id="442" w:name="_Toc226965728"/>
      <w:bookmarkStart w:id="443" w:name="_Toc127151538"/>
      <w:bookmarkStart w:id="444" w:name="_Toc150480776"/>
      <w:bookmarkStart w:id="445" w:name="_Toc151190165"/>
      <w:bookmarkStart w:id="446" w:name="_Toc142311040"/>
      <w:bookmarkStart w:id="447" w:name="_Toc226309782"/>
      <w:bookmarkStart w:id="448" w:name="_Toc151193708"/>
      <w:bookmarkStart w:id="449" w:name="_Toc150774743"/>
      <w:bookmarkStart w:id="450" w:name="_Toc305158880"/>
      <w:bookmarkStart w:id="451" w:name="_Toc150509289"/>
      <w:bookmarkStart w:id="452" w:name="_Toc151193780"/>
      <w:bookmarkStart w:id="453" w:name="_Toc151193926"/>
      <w:bookmarkStart w:id="454" w:name="_Toc305158806"/>
      <w:bookmarkStart w:id="455" w:name="_Toc226965811"/>
      <w:r>
        <w:rPr>
          <w:rFonts w:hint="eastAsia" w:ascii="宋体" w:hAnsi="宋体" w:eastAsia="宋体" w:cs="宋体"/>
          <w:color w:val="auto"/>
          <w:sz w:val="28"/>
          <w:highlight w:val="none"/>
        </w:rPr>
        <w:t xml:space="preserve">五   </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Pr>
          <w:rFonts w:hint="eastAsia" w:ascii="宋体" w:hAnsi="宋体" w:eastAsia="宋体" w:cs="宋体"/>
          <w:color w:val="auto"/>
          <w:sz w:val="28"/>
          <w:highlight w:val="none"/>
        </w:rPr>
        <w:t>评审</w:t>
      </w:r>
    </w:p>
    <w:p w14:paraId="5686F69B">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响应文件的解密与开启</w:t>
      </w:r>
    </w:p>
    <w:p w14:paraId="5F838138">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采购人或采购代理机构将按竞争性磋商文件的规定，在响应文件提交截止时间的同一时间和竞争性磋商文件预先确定的地点开启响应文件。</w:t>
      </w:r>
    </w:p>
    <w:p w14:paraId="31ADE982">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本项目解密使用北京市政府采购电子交易平台。供应商应在规定的时间内对响应文件进行解密，因非系统原因导致的解密失败，视为</w:t>
      </w:r>
      <w:r>
        <w:rPr>
          <w:rFonts w:hint="eastAsia" w:ascii="宋体" w:hAnsi="宋体" w:eastAsia="宋体" w:cs="宋体"/>
          <w:b/>
          <w:color w:val="auto"/>
          <w:sz w:val="24"/>
          <w:highlight w:val="none"/>
        </w:rPr>
        <w:t>无效响应</w:t>
      </w:r>
      <w:r>
        <w:rPr>
          <w:rFonts w:hint="eastAsia" w:ascii="宋体" w:hAnsi="宋体" w:eastAsia="宋体" w:cs="宋体"/>
          <w:color w:val="auto"/>
          <w:sz w:val="24"/>
          <w:highlight w:val="none"/>
        </w:rPr>
        <w:t>。</w:t>
      </w:r>
    </w:p>
    <w:p w14:paraId="0ACB6359">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65E25F0E">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供应商不足3家的，不予解密。</w:t>
      </w:r>
    </w:p>
    <w:p w14:paraId="1BDF0FB0">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bookmarkStart w:id="456" w:name="_Toc520356165"/>
      <w:r>
        <w:rPr>
          <w:rFonts w:hint="eastAsia" w:ascii="宋体" w:hAnsi="宋体" w:eastAsia="宋体" w:cs="宋体"/>
          <w:color w:val="auto"/>
          <w:sz w:val="24"/>
          <w:highlight w:val="none"/>
        </w:rPr>
        <w:t>本项目不公开报价。</w:t>
      </w:r>
    </w:p>
    <w:bookmarkEnd w:id="456"/>
    <w:p w14:paraId="079AB10B">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w:t>
      </w:r>
    </w:p>
    <w:p w14:paraId="53C1B6B4">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磋商小组根据政府采购有关规定和本次采购项目的特点进行组建，并负责具体评审与磋商事务，独立履行职责。</w:t>
      </w:r>
      <w:bookmarkStart w:id="457" w:name="_Toc520356166"/>
    </w:p>
    <w:p w14:paraId="7DBE309F">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57"/>
      <w:bookmarkStart w:id="458" w:name="_Toc520356169"/>
    </w:p>
    <w:p w14:paraId="70F5F64D">
      <w:pPr>
        <w:numPr>
          <w:ilvl w:val="0"/>
          <w:numId w:val="9"/>
        </w:numPr>
        <w:tabs>
          <w:tab w:val="left" w:pos="360"/>
        </w:tabs>
        <w:snapToGrid w:val="0"/>
        <w:spacing w:line="360" w:lineRule="auto"/>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评审方法和评审标准</w:t>
      </w:r>
    </w:p>
    <w:p w14:paraId="3974D609">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见第三章《评审方法和评审标准》。</w:t>
      </w:r>
    </w:p>
    <w:p w14:paraId="4FA51CF5">
      <w:pPr>
        <w:tabs>
          <w:tab w:val="left" w:pos="360"/>
          <w:tab w:val="left" w:pos="1080"/>
        </w:tabs>
        <w:snapToGrid w:val="0"/>
        <w:spacing w:line="360" w:lineRule="auto"/>
        <w:ind w:left="1080"/>
        <w:rPr>
          <w:rFonts w:hint="eastAsia" w:ascii="宋体" w:hAnsi="宋体" w:eastAsia="宋体" w:cs="宋体"/>
          <w:color w:val="auto"/>
          <w:sz w:val="20"/>
          <w:szCs w:val="20"/>
          <w:highlight w:val="none"/>
        </w:rPr>
      </w:pPr>
    </w:p>
    <w:p w14:paraId="409F2325">
      <w:pPr>
        <w:rPr>
          <w:rFonts w:hint="eastAsia" w:ascii="宋体" w:hAnsi="宋体" w:eastAsia="宋体" w:cs="宋体"/>
          <w:color w:val="auto"/>
          <w:sz w:val="28"/>
          <w:highlight w:val="none"/>
        </w:rPr>
      </w:pPr>
      <w:bookmarkStart w:id="459" w:name="_Toc151193643"/>
      <w:bookmarkStart w:id="460" w:name="_Toc265228383"/>
      <w:bookmarkStart w:id="461" w:name="_Toc151193787"/>
      <w:bookmarkStart w:id="462" w:name="_Toc305158887"/>
      <w:bookmarkStart w:id="463" w:name="_Toc226309789"/>
      <w:bookmarkStart w:id="464" w:name="_Toc226337241"/>
      <w:bookmarkStart w:id="465" w:name="_Toc226965735"/>
      <w:bookmarkStart w:id="466" w:name="_Toc264969235"/>
      <w:bookmarkStart w:id="467" w:name="_Toc195842910"/>
      <w:bookmarkStart w:id="468" w:name="_Toc151193715"/>
      <w:bookmarkStart w:id="469" w:name="_Toc127151545"/>
      <w:bookmarkStart w:id="470" w:name="_Toc226965818"/>
      <w:bookmarkStart w:id="471" w:name="_Toc150774750"/>
      <w:bookmarkStart w:id="472" w:name="_Toc150509296"/>
      <w:bookmarkStart w:id="473" w:name="_Toc142311047"/>
      <w:bookmarkStart w:id="474" w:name="_Toc150774645"/>
      <w:bookmarkStart w:id="475" w:name="_Toc150480783"/>
      <w:bookmarkStart w:id="476" w:name="_Toc305158813"/>
      <w:bookmarkStart w:id="477" w:name="_Toc151193859"/>
      <w:bookmarkStart w:id="478" w:name="_Toc151193933"/>
      <w:bookmarkStart w:id="479" w:name="_Toc151190172"/>
      <w:r>
        <w:rPr>
          <w:rFonts w:hint="eastAsia" w:ascii="宋体" w:hAnsi="宋体" w:eastAsia="宋体" w:cs="宋体"/>
          <w:color w:val="auto"/>
          <w:sz w:val="28"/>
          <w:highlight w:val="none"/>
        </w:rPr>
        <w:br w:type="page"/>
      </w:r>
    </w:p>
    <w:p w14:paraId="6152651F">
      <w:pPr>
        <w:pStyle w:val="4"/>
        <w:spacing w:before="0" w:line="360" w:lineRule="auto"/>
        <w:rPr>
          <w:rFonts w:hint="eastAsia" w:ascii="宋体" w:hAnsi="宋体" w:eastAsia="宋体" w:cs="宋体"/>
          <w:color w:val="auto"/>
          <w:sz w:val="28"/>
          <w:highlight w:val="none"/>
        </w:rPr>
      </w:pPr>
      <w:r>
        <w:rPr>
          <w:rFonts w:hint="eastAsia" w:ascii="宋体" w:hAnsi="宋体" w:eastAsia="宋体" w:cs="宋体"/>
          <w:color w:val="auto"/>
          <w:sz w:val="28"/>
          <w:highlight w:val="none"/>
        </w:rPr>
        <w:t xml:space="preserve">六   </w:t>
      </w:r>
      <w:bookmarkEnd w:id="458"/>
      <w:r>
        <w:rPr>
          <w:rFonts w:hint="eastAsia" w:ascii="宋体" w:hAnsi="宋体" w:eastAsia="宋体" w:cs="宋体"/>
          <w:color w:val="auto"/>
          <w:sz w:val="28"/>
          <w:highlight w:val="none"/>
        </w:rPr>
        <w:t>确定</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Pr>
          <w:rFonts w:hint="eastAsia" w:ascii="宋体" w:hAnsi="宋体" w:eastAsia="宋体" w:cs="宋体"/>
          <w:color w:val="auto"/>
          <w:sz w:val="28"/>
          <w:highlight w:val="none"/>
        </w:rPr>
        <w:t>成交</w:t>
      </w:r>
    </w:p>
    <w:p w14:paraId="051EBCFA">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bookmarkStart w:id="480" w:name="_Toc164608816"/>
      <w:bookmarkStart w:id="481" w:name="_Toc265228385"/>
      <w:bookmarkStart w:id="482" w:name="_Toc226965820"/>
      <w:bookmarkStart w:id="483" w:name="_Toc195842912"/>
      <w:bookmarkStart w:id="484" w:name="_Toc150480785"/>
      <w:bookmarkStart w:id="485" w:name="_Toc264969237"/>
      <w:bookmarkStart w:id="486" w:name="_Toc164229242"/>
      <w:bookmarkStart w:id="487" w:name="_Toc151193935"/>
      <w:bookmarkStart w:id="488" w:name="_Toc226337243"/>
      <w:bookmarkStart w:id="489" w:name="_Toc150774752"/>
      <w:bookmarkStart w:id="490" w:name="_Toc226309791"/>
      <w:bookmarkStart w:id="491" w:name="_Toc226965737"/>
      <w:bookmarkStart w:id="492" w:name="_Toc150774647"/>
      <w:bookmarkStart w:id="493" w:name="_Toc127151748"/>
      <w:bookmarkStart w:id="494" w:name="_Toc149720840"/>
      <w:bookmarkStart w:id="495" w:name="_Toc164351641"/>
      <w:bookmarkStart w:id="496" w:name="_Toc151193645"/>
      <w:bookmarkStart w:id="497" w:name="_Toc151193861"/>
      <w:bookmarkStart w:id="498" w:name="_Toc164608661"/>
      <w:bookmarkStart w:id="499" w:name="_Toc305158889"/>
      <w:bookmarkStart w:id="500" w:name="_Toc305158815"/>
      <w:bookmarkStart w:id="501" w:name="_Toc142311049"/>
      <w:bookmarkStart w:id="502" w:name="_Toc164229388"/>
      <w:bookmarkStart w:id="503" w:name="_Toc150509298"/>
      <w:bookmarkStart w:id="504" w:name="_Toc151190174"/>
      <w:bookmarkStart w:id="505" w:name="_Toc127151547"/>
      <w:bookmarkStart w:id="506" w:name="_Toc151193717"/>
      <w:bookmarkStart w:id="507" w:name="_Toc127161461"/>
      <w:bookmarkStart w:id="508" w:name="_Toc151193789"/>
      <w:r>
        <w:rPr>
          <w:rFonts w:hint="eastAsia" w:ascii="宋体" w:hAnsi="宋体" w:eastAsia="宋体" w:cs="宋体"/>
          <w:color w:val="auto"/>
          <w:sz w:val="24"/>
          <w:highlight w:val="none"/>
        </w:rPr>
        <w:t>确定成交供应商</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634BD1E0">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14:paraId="4336B23B">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bookmarkStart w:id="509" w:name="_Toc305158891"/>
      <w:bookmarkStart w:id="510" w:name="_Toc305158817"/>
      <w:bookmarkStart w:id="511" w:name="_Toc151193863"/>
      <w:bookmarkStart w:id="512" w:name="_Toc164608818"/>
      <w:bookmarkStart w:id="513" w:name="_Toc142311051"/>
      <w:bookmarkStart w:id="514" w:name="_Toc151190176"/>
      <w:bookmarkStart w:id="515" w:name="_Toc150509300"/>
      <w:bookmarkStart w:id="516" w:name="_Toc151193719"/>
      <w:bookmarkStart w:id="517" w:name="_Toc151193791"/>
      <w:bookmarkStart w:id="518" w:name="_Toc150774754"/>
      <w:bookmarkStart w:id="519" w:name="_Toc127161463"/>
      <w:bookmarkStart w:id="520" w:name="_Toc226309793"/>
      <w:bookmarkStart w:id="521" w:name="_Toc226337245"/>
      <w:bookmarkStart w:id="522" w:name="_Toc164229390"/>
      <w:bookmarkStart w:id="523" w:name="_Toc265228387"/>
      <w:bookmarkStart w:id="524" w:name="_Toc164229244"/>
      <w:bookmarkStart w:id="525" w:name="_Toc226965822"/>
      <w:bookmarkStart w:id="526" w:name="_Toc149720842"/>
      <w:bookmarkStart w:id="527" w:name="_Toc151193937"/>
      <w:bookmarkStart w:id="528" w:name="_Toc195842914"/>
      <w:bookmarkStart w:id="529" w:name="_Toc264969239"/>
      <w:bookmarkStart w:id="530" w:name="_Toc226965739"/>
      <w:bookmarkStart w:id="531" w:name="_Toc150480787"/>
      <w:bookmarkStart w:id="532" w:name="_Toc164608663"/>
      <w:bookmarkStart w:id="533" w:name="_Toc151193647"/>
      <w:bookmarkStart w:id="534" w:name="_Toc127151750"/>
      <w:bookmarkStart w:id="535" w:name="_Toc150774649"/>
      <w:bookmarkStart w:id="536" w:name="_Toc164351643"/>
      <w:bookmarkStart w:id="537" w:name="_Toc127151549"/>
      <w:bookmarkStart w:id="538" w:name="_Ref467306425"/>
      <w:bookmarkStart w:id="539" w:name="_Toc520356176"/>
      <w:bookmarkStart w:id="540" w:name="_Ref467307090"/>
      <w:r>
        <w:rPr>
          <w:rFonts w:hint="eastAsia" w:ascii="宋体" w:hAnsi="宋体" w:eastAsia="宋体" w:cs="宋体"/>
          <w:color w:val="auto"/>
          <w:sz w:val="24"/>
          <w:highlight w:val="none"/>
        </w:rPr>
        <w:t>成交公告与成交通知书</w:t>
      </w:r>
      <w:bookmarkEnd w:id="509"/>
      <w:bookmarkEnd w:id="510"/>
    </w:p>
    <w:p w14:paraId="75EDB727">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采购人或采购代理机构将</w:t>
      </w:r>
      <w:r>
        <w:rPr>
          <w:rFonts w:hint="eastAsia" w:ascii="宋体" w:hAnsi="宋体" w:eastAsia="宋体" w:cs="宋体"/>
          <w:color w:val="auto"/>
          <w:kern w:val="0"/>
          <w:sz w:val="24"/>
          <w:highlight w:val="none"/>
        </w:rPr>
        <w:t>在成交供应商确定后2个工作日内，在</w:t>
      </w:r>
      <w:r>
        <w:rPr>
          <w:rFonts w:hint="eastAsia" w:ascii="宋体" w:hAnsi="宋体" w:eastAsia="宋体" w:cs="宋体"/>
          <w:color w:val="auto"/>
          <w:sz w:val="24"/>
          <w:highlight w:val="none"/>
        </w:rPr>
        <w:t>北京市政府采购网</w:t>
      </w:r>
      <w:r>
        <w:rPr>
          <w:rFonts w:hint="eastAsia" w:ascii="宋体" w:hAnsi="宋体" w:eastAsia="宋体" w:cs="宋体"/>
          <w:color w:val="auto"/>
          <w:kern w:val="0"/>
          <w:sz w:val="24"/>
          <w:highlight w:val="none"/>
        </w:rPr>
        <w:t>公告成交结果，同时向成交供应商发出成交通知书，</w:t>
      </w:r>
      <w:r>
        <w:rPr>
          <w:rFonts w:hint="eastAsia" w:ascii="宋体" w:hAnsi="宋体" w:eastAsia="宋体" w:cs="宋体"/>
          <w:color w:val="auto"/>
          <w:sz w:val="24"/>
          <w:highlight w:val="none"/>
        </w:rPr>
        <w:t>成交公告期限为1个工作日。</w:t>
      </w:r>
    </w:p>
    <w:p w14:paraId="4CDAC86F">
      <w:pPr>
        <w:numPr>
          <w:ilvl w:val="1"/>
          <w:numId w:val="9"/>
        </w:numPr>
        <w:tabs>
          <w:tab w:val="left" w:pos="1080"/>
          <w:tab w:val="left" w:pos="2014"/>
        </w:tabs>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成交通知书对采购人和成交供应商均具有法律效力。成交通知书发出后，采购人改变成交结果的，或者成交供应商放弃成交项目的，应当依法承担法律责任。</w:t>
      </w:r>
    </w:p>
    <w:p w14:paraId="798378D6">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终止</w:t>
      </w:r>
    </w:p>
    <w:p w14:paraId="1955BF9F">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出现下列情形之一的，采购人或采购代理机构将终止竞争性磋商采购活动，发布项目终止公告并说明原因，重新开展采购活动：</w:t>
      </w:r>
    </w:p>
    <w:p w14:paraId="77D3A744">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因情况变化，不再符合规定的竞争性磋商采购方式适用情形的；</w:t>
      </w:r>
    </w:p>
    <w:p w14:paraId="1A2806FC">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出现影响采购公正的违法、违规行为的；</w:t>
      </w:r>
    </w:p>
    <w:p w14:paraId="1E9365EE">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0"/>
          <w:sz w:val="24"/>
          <w:szCs w:val="20"/>
          <w:highlight w:val="none"/>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14:paraId="0B5D4A90">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bookmarkStart w:id="541" w:name="_Toc149720843"/>
      <w:bookmarkStart w:id="542" w:name="_Toc151193792"/>
      <w:bookmarkStart w:id="543" w:name="_Ref467306978"/>
      <w:bookmarkStart w:id="544" w:name="_Toc150774755"/>
      <w:bookmarkStart w:id="545" w:name="_Toc265228388"/>
      <w:bookmarkStart w:id="546" w:name="_Ref467307204"/>
      <w:bookmarkStart w:id="547" w:name="_Toc127151751"/>
      <w:bookmarkStart w:id="548" w:name="_Toc164351644"/>
      <w:bookmarkStart w:id="549" w:name="_Toc150480788"/>
      <w:bookmarkStart w:id="550" w:name="_Toc520356175"/>
      <w:bookmarkStart w:id="551" w:name="_Toc195842915"/>
      <w:bookmarkStart w:id="552" w:name="_Toc164608664"/>
      <w:bookmarkStart w:id="553" w:name="_Ref467306377"/>
      <w:bookmarkStart w:id="554" w:name="_Toc226309794"/>
      <w:bookmarkStart w:id="555" w:name="_Ref467307062"/>
      <w:bookmarkStart w:id="556" w:name="_Toc264969240"/>
      <w:bookmarkStart w:id="557" w:name="_Toc127151550"/>
      <w:bookmarkStart w:id="558" w:name="_Toc226965823"/>
      <w:bookmarkStart w:id="559" w:name="_Toc164229391"/>
      <w:bookmarkStart w:id="560" w:name="_Toc151193720"/>
      <w:bookmarkStart w:id="561" w:name="_Toc151193648"/>
      <w:bookmarkStart w:id="562" w:name="_Toc226965740"/>
      <w:bookmarkStart w:id="563" w:name="_Toc151193864"/>
      <w:bookmarkStart w:id="564" w:name="_Toc127161464"/>
      <w:bookmarkStart w:id="565" w:name="_Toc142311052"/>
      <w:bookmarkStart w:id="566" w:name="_Toc150774650"/>
      <w:bookmarkStart w:id="567" w:name="_Toc226337246"/>
      <w:bookmarkStart w:id="568" w:name="_Toc164229245"/>
      <w:bookmarkStart w:id="569" w:name="_Toc164608819"/>
      <w:bookmarkStart w:id="570" w:name="_Toc151190177"/>
      <w:bookmarkStart w:id="571" w:name="_Toc305158892"/>
      <w:bookmarkStart w:id="572" w:name="_Toc305158818"/>
      <w:bookmarkStart w:id="573" w:name="_Toc151193938"/>
      <w:bookmarkStart w:id="574" w:name="_Toc150509301"/>
      <w:r>
        <w:rPr>
          <w:rFonts w:hint="eastAsia" w:ascii="宋体" w:hAnsi="宋体" w:eastAsia="宋体" w:cs="宋体"/>
          <w:color w:val="auto"/>
          <w:sz w:val="24"/>
          <w:highlight w:val="none"/>
        </w:rPr>
        <w:t>签订合同</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14:paraId="00DEC239">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采购人与成交供应商应当在成交通知书发出之日起30日内，按照磋商文件确定的合同文本以及采购标的、规格型号、采购金额、采购数量、技术和服务要求等事项签订政府采购合同。</w:t>
      </w:r>
    </w:p>
    <w:p w14:paraId="1FFF2A90">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4CC3583B">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联合体成交的，联合体各方应当共同与采购人签订合同，就采购合同约定的事项向采购人承担连带责任。</w:t>
      </w:r>
    </w:p>
    <w:p w14:paraId="58AC1880">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政府采购合同不能转包。</w:t>
      </w:r>
    </w:p>
    <w:p w14:paraId="080AA927">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hint="eastAsia" w:ascii="宋体" w:hAnsi="宋体" w:eastAsia="宋体" w:cs="宋体"/>
          <w:b/>
          <w:color w:val="auto"/>
          <w:sz w:val="24"/>
          <w:highlight w:val="none"/>
        </w:rPr>
        <w:t>否则响应无效</w:t>
      </w:r>
      <w:r>
        <w:rPr>
          <w:rFonts w:hint="eastAsia" w:ascii="宋体" w:hAnsi="宋体" w:eastAsia="宋体" w:cs="宋体"/>
          <w:color w:val="auto"/>
          <w:sz w:val="24"/>
          <w:highlight w:val="none"/>
        </w:rPr>
        <w:t>。成交供应商就采购项目和分包项目向采购人负责，分包供应商就分包项目承担责任。</w:t>
      </w:r>
    </w:p>
    <w:bookmarkEnd w:id="538"/>
    <w:bookmarkEnd w:id="539"/>
    <w:bookmarkEnd w:id="540"/>
    <w:p w14:paraId="0F708094">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询问与质疑</w:t>
      </w:r>
    </w:p>
    <w:p w14:paraId="74CE4430">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询问</w:t>
      </w:r>
    </w:p>
    <w:p w14:paraId="26B74926">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供应商对政府采购活动事项有疑问的，可依法提出询问，并按《供应商须知资料表》载明的形式送达采购人或采购代理机构。</w:t>
      </w:r>
    </w:p>
    <w:p w14:paraId="41CFD399">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采购人或采购代理机构对供应商依法提出的询问，在3个工作日内作出答复，但答复的内容不得涉及商业秘密。</w:t>
      </w:r>
    </w:p>
    <w:p w14:paraId="0619DE27">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w:t>
      </w:r>
    </w:p>
    <w:p w14:paraId="2CEC2FA0">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作出答复。</w:t>
      </w:r>
    </w:p>
    <w:p w14:paraId="145241B3">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质疑函须使用财政部制定的范本文件。供应商为自然人的，质疑函应当由本人签字；供应商为法人或者其他组织的，质疑函应当由法定代表人、主要负责人，或者其授权代表签字或者盖章，并加盖公章。</w:t>
      </w:r>
    </w:p>
    <w:p w14:paraId="16CBCA6C">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F0C6B6F">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供应商应在法定质疑期内一次性提出针对同一采购程序环节的质疑，法定质疑期内针对同一采购程序环节再次提出的质疑，采购人、采购代理机构有权不予答复。</w:t>
      </w:r>
    </w:p>
    <w:p w14:paraId="7EB8DFEB">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接收询问和质疑的联系部门、联系电话和通讯地址见《供应商须知资料表》。</w:t>
      </w:r>
    </w:p>
    <w:p w14:paraId="62299B4E">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代理费</w:t>
      </w:r>
    </w:p>
    <w:p w14:paraId="5CF9DC04">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收费对象、收费标准及缴纳时间见《供应商须知资料表》。由成交供应商支付的，成交供应商须一次性向采购代理机构缴纳代理费，报价应包含代理费用。</w:t>
      </w:r>
    </w:p>
    <w:p w14:paraId="7FA3301D">
      <w:pPr>
        <w:tabs>
          <w:tab w:val="left" w:pos="360"/>
          <w:tab w:val="left" w:pos="1080"/>
        </w:tabs>
        <w:snapToGrid w:val="0"/>
        <w:spacing w:line="360" w:lineRule="auto"/>
        <w:ind w:left="360"/>
        <w:rPr>
          <w:rFonts w:hint="eastAsia" w:ascii="宋体" w:hAnsi="宋体" w:eastAsia="宋体" w:cs="宋体"/>
          <w:color w:val="auto"/>
          <w:sz w:val="24"/>
          <w:highlight w:val="none"/>
        </w:rPr>
      </w:pPr>
    </w:p>
    <w:p w14:paraId="2B77F19F">
      <w:pPr>
        <w:spacing w:line="360" w:lineRule="auto"/>
        <w:jc w:val="center"/>
        <w:outlineLvl w:val="0"/>
        <w:rPr>
          <w:rFonts w:hint="eastAsia" w:ascii="宋体" w:hAnsi="宋体" w:eastAsia="宋体" w:cs="宋体"/>
          <w:color w:val="auto"/>
          <w:sz w:val="24"/>
          <w:highlight w:val="none"/>
        </w:rPr>
      </w:pPr>
      <w:bookmarkStart w:id="575" w:name="_Toc127151554"/>
      <w:bookmarkStart w:id="576" w:name="_Toc142311056"/>
      <w:bookmarkStart w:id="577" w:name="_Toc226965827"/>
      <w:bookmarkStart w:id="578" w:name="_Toc353873934"/>
      <w:bookmarkStart w:id="579" w:name="_Toc353873664"/>
      <w:bookmarkStart w:id="580" w:name="_Toc265228392"/>
      <w:bookmarkStart w:id="581" w:name="_Toc150480792"/>
      <w:bookmarkStart w:id="582" w:name="_Toc305158822"/>
      <w:bookmarkStart w:id="583" w:name="_Toc264969244"/>
      <w:bookmarkStart w:id="584" w:name="_Toc353825544"/>
      <w:bookmarkStart w:id="585" w:name="_Toc150774759"/>
      <w:bookmarkStart w:id="586" w:name="_Toc305158896"/>
      <w:bookmarkStart w:id="587" w:name="_Toc226337250"/>
      <w:r>
        <w:rPr>
          <w:rFonts w:hint="eastAsia" w:ascii="宋体" w:hAnsi="宋体" w:eastAsia="宋体" w:cs="宋体"/>
          <w:color w:val="auto"/>
          <w:sz w:val="24"/>
          <w:highlight w:val="none"/>
        </w:rPr>
        <w:br w:type="page"/>
      </w:r>
      <w:bookmarkStart w:id="588" w:name="_Toc11072"/>
    </w:p>
    <w:p w14:paraId="2534141D">
      <w:pPr>
        <w:spacing w:line="360" w:lineRule="auto"/>
        <w:jc w:val="center"/>
        <w:outlineLvl w:val="0"/>
        <w:rPr>
          <w:rFonts w:hint="eastAsia" w:ascii="宋体" w:hAnsi="宋体" w:eastAsia="宋体" w:cs="宋体"/>
          <w:color w:val="auto"/>
          <w:sz w:val="24"/>
          <w:highlight w:val="none"/>
        </w:rPr>
      </w:pPr>
    </w:p>
    <w:p w14:paraId="0A76EA29">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第三章   </w:t>
      </w:r>
      <w:bookmarkEnd w:id="575"/>
      <w:bookmarkEnd w:id="576"/>
      <w:bookmarkEnd w:id="577"/>
      <w:bookmarkEnd w:id="578"/>
      <w:bookmarkEnd w:id="579"/>
      <w:bookmarkEnd w:id="580"/>
      <w:bookmarkEnd w:id="581"/>
      <w:bookmarkEnd w:id="582"/>
      <w:bookmarkEnd w:id="583"/>
      <w:bookmarkEnd w:id="584"/>
      <w:bookmarkEnd w:id="585"/>
      <w:bookmarkEnd w:id="586"/>
      <w:bookmarkEnd w:id="587"/>
      <w:r>
        <w:rPr>
          <w:rFonts w:hint="eastAsia" w:ascii="宋体" w:hAnsi="宋体" w:eastAsia="宋体" w:cs="宋体"/>
          <w:b/>
          <w:color w:val="auto"/>
          <w:sz w:val="36"/>
          <w:szCs w:val="36"/>
          <w:highlight w:val="none"/>
        </w:rPr>
        <w:t>评审方法和评审标准</w:t>
      </w:r>
      <w:bookmarkEnd w:id="588"/>
      <w:bookmarkStart w:id="589" w:name="_Toc487900382"/>
    </w:p>
    <w:p w14:paraId="02CCFBF7">
      <w:pPr>
        <w:pStyle w:val="4"/>
        <w:spacing w:before="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一、资格审查程序</w:t>
      </w:r>
    </w:p>
    <w:p w14:paraId="581F8680">
      <w:pPr>
        <w:tabs>
          <w:tab w:val="left" w:pos="1080"/>
        </w:tabs>
        <w:snapToGrid w:val="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ab/>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89"/>
    <w:p w14:paraId="471ECD8D">
      <w:pPr>
        <w:numPr>
          <w:ilvl w:val="0"/>
          <w:numId w:val="12"/>
        </w:numPr>
        <w:tabs>
          <w:tab w:val="left" w:pos="360"/>
        </w:tabs>
        <w:snapToGrid w:val="0"/>
        <w:spacing w:line="360" w:lineRule="auto"/>
        <w:outlineLvl w:val="1"/>
        <w:rPr>
          <w:rFonts w:hint="eastAsia" w:ascii="宋体" w:hAnsi="宋体" w:eastAsia="宋体" w:cs="宋体"/>
          <w:color w:val="auto"/>
          <w:sz w:val="24"/>
          <w:highlight w:val="none"/>
        </w:rPr>
      </w:pPr>
      <w:bookmarkStart w:id="590" w:name="_Toc195842906"/>
      <w:bookmarkStart w:id="591" w:name="_Toc151193639"/>
      <w:bookmarkStart w:id="592" w:name="_Toc164608810"/>
      <w:bookmarkStart w:id="593" w:name="_Toc127161455"/>
      <w:bookmarkStart w:id="594" w:name="_Toc150774746"/>
      <w:bookmarkStart w:id="595" w:name="_Toc226309785"/>
      <w:bookmarkStart w:id="596" w:name="_Toc127151742"/>
      <w:bookmarkStart w:id="597" w:name="_Toc305158809"/>
      <w:bookmarkStart w:id="598" w:name="_Toc149720834"/>
      <w:bookmarkStart w:id="599" w:name="_Toc264969231"/>
      <w:bookmarkStart w:id="600" w:name="_Toc127151541"/>
      <w:bookmarkStart w:id="601" w:name="_Toc151193929"/>
      <w:bookmarkStart w:id="602" w:name="_Toc151193711"/>
      <w:bookmarkStart w:id="603" w:name="_Toc164351635"/>
      <w:bookmarkStart w:id="604" w:name="_Toc305158883"/>
      <w:bookmarkStart w:id="605" w:name="_Toc265228379"/>
      <w:bookmarkStart w:id="606" w:name="_Toc150774641"/>
      <w:bookmarkStart w:id="607" w:name="_Toc150509292"/>
      <w:bookmarkStart w:id="608" w:name="_Toc164229236"/>
      <w:bookmarkStart w:id="609" w:name="_Toc164229382"/>
      <w:bookmarkStart w:id="610" w:name="_Toc150480779"/>
      <w:bookmarkStart w:id="611" w:name="_Toc151190168"/>
      <w:bookmarkStart w:id="612" w:name="_Toc142311043"/>
      <w:bookmarkStart w:id="613" w:name="_Toc151193783"/>
      <w:bookmarkStart w:id="614" w:name="_Toc151193855"/>
      <w:bookmarkStart w:id="615" w:name="_Toc226965814"/>
      <w:bookmarkStart w:id="616" w:name="_Toc164608655"/>
      <w:bookmarkStart w:id="617" w:name="_Toc226337237"/>
      <w:bookmarkStart w:id="618" w:name="_Toc226965731"/>
      <w:bookmarkStart w:id="619" w:name="_Toc353825551"/>
      <w:bookmarkStart w:id="620" w:name="_Toc353873941"/>
      <w:bookmarkStart w:id="621" w:name="_Toc353873935"/>
      <w:bookmarkStart w:id="622" w:name="_Toc305158823"/>
      <w:bookmarkStart w:id="623" w:name="_Toc305158897"/>
      <w:bookmarkStart w:id="624" w:name="_Toc353825545"/>
      <w:bookmarkStart w:id="625" w:name="_Toc264969245"/>
      <w:bookmarkStart w:id="626" w:name="_Toc226965828"/>
      <w:bookmarkStart w:id="627" w:name="_Toc150480793"/>
      <w:bookmarkStart w:id="628" w:name="_Toc195842920"/>
      <w:bookmarkStart w:id="629" w:name="_Toc127151555"/>
      <w:bookmarkStart w:id="630" w:name="_Toc265228393"/>
      <w:bookmarkStart w:id="631" w:name="_Toc226337251"/>
      <w:bookmarkStart w:id="632" w:name="_Toc353873665"/>
      <w:bookmarkStart w:id="633" w:name="_Toc142311057"/>
      <w:bookmarkStart w:id="634" w:name="_Toc150774760"/>
      <w:r>
        <w:rPr>
          <w:rFonts w:hint="eastAsia" w:ascii="宋体" w:hAnsi="宋体" w:eastAsia="宋体" w:cs="宋体"/>
          <w:color w:val="auto"/>
          <w:sz w:val="24"/>
          <w:highlight w:val="none"/>
        </w:rPr>
        <w:t>响应文件的</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Pr>
          <w:rFonts w:hint="eastAsia" w:ascii="宋体" w:hAnsi="宋体" w:eastAsia="宋体" w:cs="宋体"/>
          <w:color w:val="auto"/>
          <w:sz w:val="24"/>
          <w:highlight w:val="none"/>
        </w:rPr>
        <w:t>资格审查和符合性审查</w:t>
      </w:r>
    </w:p>
    <w:p w14:paraId="743F8546">
      <w:pPr>
        <w:numPr>
          <w:ilvl w:val="1"/>
          <w:numId w:val="12"/>
        </w:numPr>
        <w:tabs>
          <w:tab w:val="left" w:pos="1080"/>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Pr>
          <w:rFonts w:hint="eastAsia" w:ascii="宋体" w:hAnsi="宋体" w:eastAsia="宋体" w:cs="宋体"/>
          <w:b/>
          <w:color w:val="auto"/>
          <w:sz w:val="24"/>
          <w:highlight w:val="none"/>
        </w:rPr>
        <w:t>无效响应</w:t>
      </w:r>
      <w:r>
        <w:rPr>
          <w:rFonts w:hint="eastAsia" w:ascii="宋体" w:hAnsi="宋体" w:eastAsia="宋体" w:cs="宋体"/>
          <w:color w:val="auto"/>
          <w:sz w:val="24"/>
          <w:highlight w:val="none"/>
        </w:rPr>
        <w:t>处理，磋商小组应当告知提交响应文件的供应商。</w:t>
      </w:r>
    </w:p>
    <w:p w14:paraId="0034707F">
      <w:pPr>
        <w:numPr>
          <w:ilvl w:val="1"/>
          <w:numId w:val="12"/>
        </w:numPr>
        <w:tabs>
          <w:tab w:val="left" w:pos="1080"/>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《资格审查要求》中对格式有要求的，除竞争性磋商文件另有规定外，均为“实质性格式”文件。</w:t>
      </w:r>
    </w:p>
    <w:p w14:paraId="6940B8EE">
      <w:pPr>
        <w:numPr>
          <w:ilvl w:val="1"/>
          <w:numId w:val="12"/>
        </w:numPr>
        <w:tabs>
          <w:tab w:val="left" w:pos="1080"/>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《资格审查要求》见下表：</w:t>
      </w:r>
    </w:p>
    <w:p w14:paraId="374DE88B">
      <w:pPr>
        <w:tabs>
          <w:tab w:val="left" w:pos="900"/>
          <w:tab w:val="left" w:pos="1080"/>
        </w:tabs>
        <w:snapToGrid w:val="0"/>
        <w:spacing w:line="360" w:lineRule="auto"/>
        <w:ind w:left="1077" w:firstLine="2650" w:firstLineChars="1100"/>
        <w:rPr>
          <w:rFonts w:hint="eastAsia" w:ascii="宋体" w:hAnsi="宋体" w:eastAsia="宋体" w:cs="宋体"/>
          <w:b/>
          <w:color w:val="auto"/>
          <w:sz w:val="24"/>
          <w:highlight w:val="none"/>
        </w:rPr>
      </w:pPr>
    </w:p>
    <w:p w14:paraId="4C7DCD42">
      <w:pPr>
        <w:tabs>
          <w:tab w:val="left" w:pos="900"/>
          <w:tab w:val="left" w:pos="1080"/>
        </w:tabs>
        <w:snapToGrid w:val="0"/>
        <w:spacing w:line="360" w:lineRule="auto"/>
        <w:ind w:left="1077" w:firstLine="2650" w:firstLineChars="1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资格审查要求</w:t>
      </w:r>
    </w:p>
    <w:tbl>
      <w:tblPr>
        <w:tblStyle w:val="44"/>
        <w:tblpPr w:leftFromText="180" w:rightFromText="180" w:vertAnchor="text" w:horzAnchor="page" w:tblpX="1495" w:tblpY="599"/>
        <w:tblOverlap w:val="never"/>
        <w:tblW w:w="87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3"/>
        <w:gridCol w:w="1599"/>
        <w:gridCol w:w="4399"/>
        <w:gridCol w:w="1753"/>
      </w:tblGrid>
      <w:tr w14:paraId="5C159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1023" w:type="dxa"/>
            <w:vAlign w:val="center"/>
          </w:tcPr>
          <w:p w14:paraId="401779B1">
            <w:pPr>
              <w:tabs>
                <w:tab w:val="left" w:pos="1080"/>
              </w:tabs>
              <w:snapToGrid w:val="0"/>
              <w:jc w:val="center"/>
              <w:rPr>
                <w:rFonts w:hint="eastAsia" w:ascii="宋体" w:hAnsi="宋体" w:eastAsia="宋体" w:cs="宋体"/>
                <w:b/>
                <w:color w:val="auto"/>
                <w:sz w:val="24"/>
                <w:highlight w:val="none"/>
              </w:rPr>
            </w:pPr>
            <w:bookmarkStart w:id="635" w:name="_Hlt487972895"/>
            <w:bookmarkEnd w:id="635"/>
            <w:r>
              <w:rPr>
                <w:rFonts w:hint="eastAsia" w:ascii="宋体" w:hAnsi="宋体" w:eastAsia="宋体" w:cs="宋体"/>
                <w:b/>
                <w:color w:val="auto"/>
                <w:sz w:val="24"/>
                <w:highlight w:val="none"/>
              </w:rPr>
              <w:t>序号</w:t>
            </w:r>
          </w:p>
        </w:tc>
        <w:tc>
          <w:tcPr>
            <w:tcW w:w="1599" w:type="dxa"/>
            <w:vAlign w:val="center"/>
          </w:tcPr>
          <w:p w14:paraId="2BE99671">
            <w:pPr>
              <w:tabs>
                <w:tab w:val="left" w:pos="1080"/>
              </w:tabs>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检查因素</w:t>
            </w:r>
          </w:p>
        </w:tc>
        <w:tc>
          <w:tcPr>
            <w:tcW w:w="4399" w:type="dxa"/>
            <w:vAlign w:val="center"/>
          </w:tcPr>
          <w:p w14:paraId="451A7C50">
            <w:pPr>
              <w:tabs>
                <w:tab w:val="left" w:pos="1080"/>
              </w:tabs>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检查内容</w:t>
            </w:r>
          </w:p>
        </w:tc>
        <w:tc>
          <w:tcPr>
            <w:tcW w:w="1753" w:type="dxa"/>
            <w:vAlign w:val="center"/>
          </w:tcPr>
          <w:p w14:paraId="4D8989F9">
            <w:pPr>
              <w:tabs>
                <w:tab w:val="left" w:pos="1080"/>
              </w:tabs>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格式要求</w:t>
            </w:r>
          </w:p>
        </w:tc>
      </w:tr>
      <w:tr w14:paraId="19AFA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1023" w:type="dxa"/>
            <w:vAlign w:val="center"/>
          </w:tcPr>
          <w:p w14:paraId="2E9B7607">
            <w:pPr>
              <w:tabs>
                <w:tab w:val="left" w:pos="108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599" w:type="dxa"/>
            <w:vAlign w:val="center"/>
          </w:tcPr>
          <w:p w14:paraId="726D1DE0">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满足《中华人民共和国政府采购法》第二十二条规定</w:t>
            </w:r>
          </w:p>
        </w:tc>
        <w:tc>
          <w:tcPr>
            <w:tcW w:w="4399" w:type="dxa"/>
            <w:vAlign w:val="center"/>
          </w:tcPr>
          <w:p w14:paraId="04F315EE">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具体规定见第一章《</w:t>
            </w:r>
            <w:r>
              <w:rPr>
                <w:rFonts w:hint="eastAsia" w:ascii="宋体" w:hAnsi="宋体" w:eastAsia="宋体" w:cs="宋体"/>
                <w:color w:val="auto"/>
                <w:sz w:val="24"/>
                <w:highlight w:val="none"/>
                <w:lang w:eastAsia="zh-CN"/>
              </w:rPr>
              <w:t>磋商公告</w:t>
            </w:r>
            <w:r>
              <w:rPr>
                <w:rFonts w:hint="eastAsia" w:ascii="宋体" w:hAnsi="宋体" w:eastAsia="宋体" w:cs="宋体"/>
                <w:color w:val="auto"/>
                <w:sz w:val="24"/>
                <w:highlight w:val="none"/>
              </w:rPr>
              <w:t>》</w:t>
            </w:r>
          </w:p>
        </w:tc>
        <w:tc>
          <w:tcPr>
            <w:tcW w:w="1753" w:type="dxa"/>
            <w:vAlign w:val="center"/>
          </w:tcPr>
          <w:p w14:paraId="7E6F06D2">
            <w:pPr>
              <w:tabs>
                <w:tab w:val="left" w:pos="1080"/>
              </w:tabs>
              <w:snapToGrid w:val="0"/>
              <w:jc w:val="left"/>
              <w:rPr>
                <w:rFonts w:hint="eastAsia" w:ascii="宋体" w:hAnsi="宋体" w:eastAsia="宋体" w:cs="宋体"/>
                <w:color w:val="auto"/>
                <w:sz w:val="24"/>
                <w:highlight w:val="none"/>
              </w:rPr>
            </w:pPr>
          </w:p>
        </w:tc>
      </w:tr>
      <w:tr w14:paraId="427D5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988" w:hRule="atLeast"/>
        </w:trPr>
        <w:tc>
          <w:tcPr>
            <w:tcW w:w="1023" w:type="dxa"/>
            <w:vAlign w:val="center"/>
          </w:tcPr>
          <w:p w14:paraId="6C3282D3">
            <w:pPr>
              <w:tabs>
                <w:tab w:val="left" w:pos="108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599" w:type="dxa"/>
            <w:vAlign w:val="center"/>
          </w:tcPr>
          <w:p w14:paraId="6BBEAB8D">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营业执照等证明文件</w:t>
            </w:r>
          </w:p>
        </w:tc>
        <w:tc>
          <w:tcPr>
            <w:tcW w:w="4399" w:type="dxa"/>
            <w:vAlign w:val="center"/>
          </w:tcPr>
          <w:p w14:paraId="1143FE2B">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供应商为企业（包括合伙企业）的，应提供有效的“营业执照”；</w:t>
            </w:r>
          </w:p>
          <w:p w14:paraId="2460DA1B">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供应商为事业单位的，应提供有效的“事业单位法人证书”；</w:t>
            </w:r>
          </w:p>
          <w:p w14:paraId="1A0ABB40">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供应商是非企业机构的，应提供有效的“执业许可证”、“登记证书”等证明文件；</w:t>
            </w:r>
          </w:p>
          <w:p w14:paraId="3BF29327">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供应商是个体工商户的，应提供有效的“个体工商户营业执照”；</w:t>
            </w:r>
          </w:p>
          <w:p w14:paraId="2C391A6F">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供应商是自然人的，应提供有效的自然人身份证明。</w:t>
            </w:r>
          </w:p>
          <w:p w14:paraId="5C90C51F">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分支机构参加响应的，应提供该分支机构或其所属法人/其他组织的相应证明文件；同时还应提供其所属法人/其他组织出具的授权其参与本项目的授权书（格式自拟，须加盖其所属法人/其他组织的公章）；对于</w:t>
            </w:r>
            <w:r>
              <w:rPr>
                <w:rFonts w:hint="eastAsia" w:ascii="宋体" w:hAnsi="宋体" w:eastAsia="宋体" w:cs="宋体"/>
                <w:iCs/>
                <w:color w:val="auto"/>
                <w:sz w:val="24"/>
                <w:highlight w:val="none"/>
              </w:rPr>
              <w:t>银行、保险、石油石化、电力、电信等行业的分支机构，可以提供上述</w:t>
            </w:r>
            <w:r>
              <w:rPr>
                <w:rFonts w:hint="eastAsia" w:ascii="宋体" w:hAnsi="宋体" w:eastAsia="宋体" w:cs="宋体"/>
                <w:color w:val="auto"/>
                <w:sz w:val="24"/>
                <w:highlight w:val="none"/>
              </w:rPr>
              <w:t>授权，也可以提供其所属法人/其他组织的有关文件或制度等能够证明授权其独立开展业务的证明材料。</w:t>
            </w:r>
          </w:p>
        </w:tc>
        <w:tc>
          <w:tcPr>
            <w:tcW w:w="1753" w:type="dxa"/>
            <w:vAlign w:val="center"/>
          </w:tcPr>
          <w:p w14:paraId="5CEEFE1F">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提供证明文件的电子件或电子证照</w:t>
            </w:r>
          </w:p>
        </w:tc>
      </w:tr>
      <w:tr w14:paraId="65930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15" w:hRule="atLeast"/>
        </w:trPr>
        <w:tc>
          <w:tcPr>
            <w:tcW w:w="1023" w:type="dxa"/>
            <w:vAlign w:val="center"/>
          </w:tcPr>
          <w:p w14:paraId="641B098B">
            <w:pPr>
              <w:tabs>
                <w:tab w:val="left" w:pos="108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599" w:type="dxa"/>
            <w:vAlign w:val="center"/>
          </w:tcPr>
          <w:p w14:paraId="2822F3CF">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供应商资格声明书</w:t>
            </w:r>
          </w:p>
        </w:tc>
        <w:tc>
          <w:tcPr>
            <w:tcW w:w="4399" w:type="dxa"/>
            <w:vAlign w:val="center"/>
          </w:tcPr>
          <w:p w14:paraId="7C915761">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提供了符合竞争性磋商文件要求的《供应商资格声明书》。</w:t>
            </w:r>
          </w:p>
        </w:tc>
        <w:tc>
          <w:tcPr>
            <w:tcW w:w="1753" w:type="dxa"/>
            <w:vAlign w:val="center"/>
          </w:tcPr>
          <w:p w14:paraId="747082B2">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格式见《响应文件格式》</w:t>
            </w:r>
          </w:p>
        </w:tc>
      </w:tr>
      <w:tr w14:paraId="5CE8E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14" w:hRule="atLeast"/>
        </w:trPr>
        <w:tc>
          <w:tcPr>
            <w:tcW w:w="1023" w:type="dxa"/>
            <w:vAlign w:val="center"/>
          </w:tcPr>
          <w:p w14:paraId="76D2ABAA">
            <w:pPr>
              <w:tabs>
                <w:tab w:val="left" w:pos="108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599" w:type="dxa"/>
            <w:vAlign w:val="center"/>
          </w:tcPr>
          <w:p w14:paraId="34B4E49C">
            <w:pPr>
              <w:tabs>
                <w:tab w:val="left" w:pos="1080"/>
              </w:tabs>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供应商信用记录</w:t>
            </w:r>
          </w:p>
        </w:tc>
        <w:tc>
          <w:tcPr>
            <w:tcW w:w="4399" w:type="dxa"/>
            <w:vAlign w:val="center"/>
          </w:tcPr>
          <w:p w14:paraId="2658540F">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查询渠道：信用中国网站和中国政府采购网（www.creditchina.gov.cn、www.ccgp.gov.cn）；</w:t>
            </w:r>
          </w:p>
          <w:p w14:paraId="477AAAB9">
            <w:pPr>
              <w:tabs>
                <w:tab w:val="left" w:pos="900"/>
                <w:tab w:val="left" w:pos="1980"/>
              </w:tabs>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截止时点：</w:t>
            </w:r>
            <w:r>
              <w:rPr>
                <w:rFonts w:hint="eastAsia" w:ascii="宋体" w:hAnsi="宋体" w:eastAsia="宋体" w:cs="宋体"/>
                <w:color w:val="auto"/>
                <w:kern w:val="0"/>
                <w:sz w:val="24"/>
                <w:szCs w:val="20"/>
                <w:highlight w:val="none"/>
              </w:rPr>
              <w:t>首次响应文件提交截止时间以后</w:t>
            </w:r>
            <w:r>
              <w:rPr>
                <w:rFonts w:hint="eastAsia" w:ascii="宋体" w:hAnsi="宋体" w:eastAsia="宋体" w:cs="宋体"/>
                <w:color w:val="auto"/>
                <w:sz w:val="24"/>
                <w:highlight w:val="none"/>
              </w:rPr>
              <w:t>、资格审查阶段采购人或采购代理机构的实际查询时间；</w:t>
            </w:r>
          </w:p>
          <w:p w14:paraId="733501A2">
            <w:pPr>
              <w:tabs>
                <w:tab w:val="left" w:pos="900"/>
                <w:tab w:val="left" w:pos="1980"/>
              </w:tabs>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信用信息查询记录和证据留存具体方式：查询结果网页打印页作为查询记录和证据，与其他竞争性磋商文件一并保存；</w:t>
            </w:r>
          </w:p>
          <w:p w14:paraId="6F7D5036">
            <w:pPr>
              <w:tabs>
                <w:tab w:val="left" w:pos="1080"/>
              </w:tabs>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信用信息的使用原则：经认定的被列入失信被执行人、重大税收违法案件当事人名单、政府采购严重违法失信行为记录名单的供应商，其</w:t>
            </w:r>
            <w:r>
              <w:rPr>
                <w:rFonts w:hint="eastAsia" w:ascii="宋体" w:hAnsi="宋体" w:eastAsia="宋体" w:cs="宋体"/>
                <w:b/>
                <w:color w:val="auto"/>
                <w:sz w:val="24"/>
                <w:highlight w:val="none"/>
              </w:rPr>
              <w:t>响应无效</w:t>
            </w:r>
            <w:r>
              <w:rPr>
                <w:rFonts w:hint="eastAsia" w:ascii="宋体" w:hAnsi="宋体" w:eastAsia="宋体" w:cs="宋体"/>
                <w:color w:val="auto"/>
                <w:sz w:val="24"/>
                <w:highlight w:val="none"/>
              </w:rPr>
              <w:t>。联合体形式磋商的，联合体成员存在不良信用记录，视同联合体存在不良信用记录。</w:t>
            </w:r>
          </w:p>
        </w:tc>
        <w:tc>
          <w:tcPr>
            <w:tcW w:w="1753" w:type="dxa"/>
            <w:vAlign w:val="center"/>
          </w:tcPr>
          <w:p w14:paraId="774F0A74">
            <w:pPr>
              <w:tabs>
                <w:tab w:val="left" w:pos="1080"/>
              </w:tabs>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无须供应商提供，由采购人或采购代理机构查询。</w:t>
            </w:r>
          </w:p>
        </w:tc>
      </w:tr>
      <w:tr w14:paraId="4F55A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1023" w:type="dxa"/>
            <w:vAlign w:val="center"/>
          </w:tcPr>
          <w:p w14:paraId="609B1F3B">
            <w:pPr>
              <w:tabs>
                <w:tab w:val="left" w:pos="108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599" w:type="dxa"/>
            <w:vAlign w:val="center"/>
          </w:tcPr>
          <w:p w14:paraId="5D7E5092">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落实政府采购政策需满足的资格要求</w:t>
            </w:r>
          </w:p>
        </w:tc>
        <w:tc>
          <w:tcPr>
            <w:tcW w:w="4399" w:type="dxa"/>
            <w:vAlign w:val="center"/>
          </w:tcPr>
          <w:p w14:paraId="15A1F971">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具体要求见第一章《</w:t>
            </w:r>
            <w:r>
              <w:rPr>
                <w:rFonts w:hint="eastAsia" w:ascii="宋体" w:hAnsi="宋体" w:eastAsia="宋体" w:cs="宋体"/>
                <w:color w:val="auto"/>
                <w:sz w:val="24"/>
                <w:highlight w:val="none"/>
                <w:lang w:eastAsia="zh-CN"/>
              </w:rPr>
              <w:t>磋商公告</w:t>
            </w:r>
            <w:r>
              <w:rPr>
                <w:rFonts w:hint="eastAsia" w:ascii="宋体" w:hAnsi="宋体" w:eastAsia="宋体" w:cs="宋体"/>
                <w:color w:val="auto"/>
                <w:sz w:val="24"/>
                <w:highlight w:val="none"/>
              </w:rPr>
              <w:t>》</w:t>
            </w:r>
          </w:p>
        </w:tc>
        <w:tc>
          <w:tcPr>
            <w:tcW w:w="1753" w:type="dxa"/>
            <w:vAlign w:val="center"/>
          </w:tcPr>
          <w:p w14:paraId="5A34E0F7">
            <w:pPr>
              <w:tabs>
                <w:tab w:val="left" w:pos="1080"/>
              </w:tabs>
              <w:snapToGrid w:val="0"/>
              <w:jc w:val="left"/>
              <w:rPr>
                <w:rFonts w:hint="eastAsia" w:ascii="宋体" w:hAnsi="宋体" w:eastAsia="宋体" w:cs="宋体"/>
                <w:color w:val="auto"/>
                <w:sz w:val="24"/>
                <w:highlight w:val="none"/>
              </w:rPr>
            </w:pPr>
          </w:p>
        </w:tc>
      </w:tr>
      <w:tr w14:paraId="17E22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10" w:hRule="atLeast"/>
        </w:trPr>
        <w:tc>
          <w:tcPr>
            <w:tcW w:w="1023" w:type="dxa"/>
            <w:vAlign w:val="center"/>
          </w:tcPr>
          <w:p w14:paraId="15C9204C">
            <w:pPr>
              <w:tabs>
                <w:tab w:val="left" w:pos="108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p>
        </w:tc>
        <w:tc>
          <w:tcPr>
            <w:tcW w:w="1599" w:type="dxa"/>
            <w:vAlign w:val="center"/>
          </w:tcPr>
          <w:p w14:paraId="60DFCB86">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中小企业证明文件</w:t>
            </w:r>
          </w:p>
        </w:tc>
        <w:tc>
          <w:tcPr>
            <w:tcW w:w="4399" w:type="dxa"/>
            <w:vAlign w:val="center"/>
          </w:tcPr>
          <w:p w14:paraId="6018AFBB">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当本项目（包）涉及预留份额专门面向中小企业采购，提供如下资料： </w:t>
            </w:r>
          </w:p>
          <w:p w14:paraId="420822F1">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1、供应商单独响应的，应提供《中小企业声明函》或《残疾人福利性单位声明函》或由省级以上监狱管理局、戒毒管理局（含新疆生产建设兵团）出具的属于监狱企业的证明文件。</w:t>
            </w:r>
          </w:p>
          <w:p w14:paraId="4404DC12">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如磋商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1753" w:type="dxa"/>
            <w:vAlign w:val="center"/>
          </w:tcPr>
          <w:p w14:paraId="6E0D5524">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格式见《响应文件格式》</w:t>
            </w:r>
          </w:p>
        </w:tc>
      </w:tr>
      <w:tr w14:paraId="7818D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1023" w:type="dxa"/>
            <w:vAlign w:val="center"/>
          </w:tcPr>
          <w:p w14:paraId="09D97AB9">
            <w:pPr>
              <w:tabs>
                <w:tab w:val="left" w:pos="108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599" w:type="dxa"/>
            <w:vAlign w:val="center"/>
          </w:tcPr>
          <w:p w14:paraId="716E8CCD">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本项目的特定资格要求</w:t>
            </w:r>
          </w:p>
        </w:tc>
        <w:tc>
          <w:tcPr>
            <w:tcW w:w="4399" w:type="dxa"/>
            <w:vAlign w:val="center"/>
          </w:tcPr>
          <w:p w14:paraId="30EBCBB1">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如有，见第一章《</w:t>
            </w:r>
            <w:r>
              <w:rPr>
                <w:rFonts w:hint="eastAsia" w:ascii="宋体" w:hAnsi="宋体" w:eastAsia="宋体" w:cs="宋体"/>
                <w:color w:val="auto"/>
                <w:sz w:val="24"/>
                <w:highlight w:val="none"/>
                <w:lang w:eastAsia="zh-CN"/>
              </w:rPr>
              <w:t>磋商公告</w:t>
            </w:r>
            <w:r>
              <w:rPr>
                <w:rFonts w:hint="eastAsia" w:ascii="宋体" w:hAnsi="宋体" w:eastAsia="宋体" w:cs="宋体"/>
                <w:color w:val="auto"/>
                <w:sz w:val="24"/>
                <w:highlight w:val="none"/>
              </w:rPr>
              <w:t>》</w:t>
            </w:r>
          </w:p>
        </w:tc>
        <w:tc>
          <w:tcPr>
            <w:tcW w:w="1753" w:type="dxa"/>
            <w:vAlign w:val="center"/>
          </w:tcPr>
          <w:p w14:paraId="469580B8">
            <w:pPr>
              <w:tabs>
                <w:tab w:val="left" w:pos="1080"/>
              </w:tabs>
              <w:snapToGrid w:val="0"/>
              <w:jc w:val="left"/>
              <w:rPr>
                <w:rFonts w:hint="eastAsia" w:ascii="宋体" w:hAnsi="宋体" w:eastAsia="宋体" w:cs="宋体"/>
                <w:color w:val="auto"/>
                <w:sz w:val="24"/>
                <w:highlight w:val="none"/>
              </w:rPr>
            </w:pPr>
          </w:p>
        </w:tc>
      </w:tr>
      <w:tr w14:paraId="21740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91" w:hRule="atLeast"/>
        </w:trPr>
        <w:tc>
          <w:tcPr>
            <w:tcW w:w="1023" w:type="dxa"/>
            <w:vAlign w:val="center"/>
          </w:tcPr>
          <w:p w14:paraId="47A74ADE">
            <w:pPr>
              <w:tabs>
                <w:tab w:val="left" w:pos="1080"/>
              </w:tabs>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3-1</w:t>
            </w:r>
          </w:p>
        </w:tc>
        <w:tc>
          <w:tcPr>
            <w:tcW w:w="1599" w:type="dxa"/>
            <w:vAlign w:val="center"/>
          </w:tcPr>
          <w:p w14:paraId="0BF8D245">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政府购买服务承接主体的要求</w:t>
            </w:r>
          </w:p>
        </w:tc>
        <w:tc>
          <w:tcPr>
            <w:tcW w:w="4399" w:type="dxa"/>
            <w:vAlign w:val="center"/>
          </w:tcPr>
          <w:p w14:paraId="4ED23E98">
            <w:pPr>
              <w:tabs>
                <w:tab w:val="left" w:pos="1080"/>
              </w:tabs>
              <w:snapToGrid w:val="0"/>
              <w:jc w:val="left"/>
              <w:rPr>
                <w:rFonts w:hint="eastAsia" w:ascii="宋体" w:hAnsi="宋体" w:eastAsia="宋体" w:cs="宋体"/>
                <w:color w:val="auto"/>
                <w:sz w:val="24"/>
                <w:highlight w:val="none"/>
              </w:rPr>
            </w:pPr>
            <w:r>
              <w:rPr>
                <w:rFonts w:hint="eastAsia" w:ascii="宋体" w:hAnsi="宋体" w:cs="宋体"/>
                <w:color w:val="auto"/>
                <w:sz w:val="24"/>
                <w:highlight w:val="none"/>
              </w:rPr>
              <w:t>如本项目属于政府购买服务，投标人不属于公益一类事业单位、使用事业编制且由财政拨款保障的群团组织。</w:t>
            </w:r>
          </w:p>
        </w:tc>
        <w:tc>
          <w:tcPr>
            <w:tcW w:w="1753" w:type="dxa"/>
            <w:vAlign w:val="center"/>
          </w:tcPr>
          <w:p w14:paraId="34E0D636">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格式见《响应文件格式》</w:t>
            </w:r>
          </w:p>
        </w:tc>
      </w:tr>
      <w:tr w14:paraId="36806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71" w:hRule="atLeast"/>
        </w:trPr>
        <w:tc>
          <w:tcPr>
            <w:tcW w:w="1023" w:type="dxa"/>
            <w:vAlign w:val="center"/>
          </w:tcPr>
          <w:p w14:paraId="42236867">
            <w:pPr>
              <w:tabs>
                <w:tab w:val="left" w:pos="1080"/>
              </w:tabs>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2</w:t>
            </w:r>
          </w:p>
        </w:tc>
        <w:tc>
          <w:tcPr>
            <w:tcW w:w="1599" w:type="dxa"/>
            <w:vAlign w:val="center"/>
          </w:tcPr>
          <w:p w14:paraId="6C1AA47D">
            <w:pPr>
              <w:tabs>
                <w:tab w:val="left" w:pos="1080"/>
              </w:tabs>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其他特定资格要求</w:t>
            </w:r>
          </w:p>
        </w:tc>
        <w:tc>
          <w:tcPr>
            <w:tcW w:w="4399" w:type="dxa"/>
            <w:vAlign w:val="center"/>
          </w:tcPr>
          <w:p w14:paraId="64B324B0">
            <w:pPr>
              <w:tabs>
                <w:tab w:val="left" w:pos="1080"/>
              </w:tabs>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供应商须具有北京市公共停车场经营备案资质。</w:t>
            </w:r>
          </w:p>
        </w:tc>
        <w:tc>
          <w:tcPr>
            <w:tcW w:w="1753" w:type="dxa"/>
            <w:vAlign w:val="center"/>
          </w:tcPr>
          <w:p w14:paraId="30CD6AC3">
            <w:pPr>
              <w:tabs>
                <w:tab w:val="left" w:pos="1080"/>
              </w:tabs>
              <w:snapToGrid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提供证明文件的电子件或电子证照</w:t>
            </w:r>
          </w:p>
        </w:tc>
      </w:tr>
    </w:tbl>
    <w:p w14:paraId="256D4AEE">
      <w:pPr>
        <w:numPr>
          <w:ilvl w:val="0"/>
          <w:numId w:val="0"/>
        </w:numPr>
        <w:tabs>
          <w:tab w:val="left" w:pos="1080"/>
        </w:tabs>
        <w:snapToGrid w:val="0"/>
        <w:spacing w:line="360" w:lineRule="auto"/>
        <w:ind w:left="357" w:leftChars="0"/>
        <w:rPr>
          <w:rFonts w:hint="eastAsia" w:ascii="宋体" w:hAnsi="宋体" w:eastAsia="宋体" w:cs="宋体"/>
          <w:color w:val="auto"/>
          <w:sz w:val="24"/>
          <w:highlight w:val="none"/>
        </w:rPr>
      </w:pPr>
    </w:p>
    <w:p w14:paraId="619A5E61">
      <w:pPr>
        <w:numPr>
          <w:ilvl w:val="0"/>
          <w:numId w:val="0"/>
        </w:numPr>
        <w:tabs>
          <w:tab w:val="left" w:pos="1080"/>
        </w:tabs>
        <w:snapToGrid w:val="0"/>
        <w:spacing w:line="360" w:lineRule="auto"/>
        <w:ind w:left="357" w:left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1.4 </w:t>
      </w:r>
      <w:r>
        <w:rPr>
          <w:rFonts w:hint="eastAsia" w:ascii="宋体" w:hAnsi="宋体" w:eastAsia="宋体" w:cs="宋体"/>
          <w:color w:val="auto"/>
          <w:sz w:val="24"/>
          <w:highlight w:val="none"/>
        </w:rPr>
        <w:t>《符合性审查要求》见下表：</w:t>
      </w:r>
    </w:p>
    <w:p w14:paraId="3FD69055">
      <w:pPr>
        <w:widowControl/>
        <w:spacing w:line="360" w:lineRule="auto"/>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符合性审查要求</w:t>
      </w:r>
    </w:p>
    <w:tbl>
      <w:tblPr>
        <w:tblStyle w:val="44"/>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613"/>
        <w:gridCol w:w="4847"/>
        <w:gridCol w:w="1978"/>
      </w:tblGrid>
      <w:tr w14:paraId="3C445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64" w:type="dxa"/>
            <w:shd w:val="clear" w:color="000000" w:fill="FFFFFF"/>
            <w:vAlign w:val="center"/>
          </w:tcPr>
          <w:p w14:paraId="6CFA9555">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序号</w:t>
            </w:r>
          </w:p>
        </w:tc>
        <w:tc>
          <w:tcPr>
            <w:tcW w:w="1613" w:type="dxa"/>
            <w:shd w:val="clear" w:color="000000" w:fill="FFFFFF"/>
            <w:vAlign w:val="center"/>
          </w:tcPr>
          <w:p w14:paraId="7023884F">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检查</w:t>
            </w:r>
            <w:r>
              <w:rPr>
                <w:rFonts w:hint="eastAsia" w:ascii="宋体" w:hAnsi="宋体" w:eastAsia="宋体" w:cs="宋体"/>
                <w:b/>
                <w:color w:val="auto"/>
                <w:kern w:val="0"/>
                <w:sz w:val="24"/>
                <w:highlight w:val="none"/>
              </w:rPr>
              <w:t>因素</w:t>
            </w:r>
          </w:p>
        </w:tc>
        <w:tc>
          <w:tcPr>
            <w:tcW w:w="4847" w:type="dxa"/>
            <w:shd w:val="clear" w:color="000000" w:fill="FFFFFF"/>
            <w:vAlign w:val="center"/>
          </w:tcPr>
          <w:p w14:paraId="2CBA61A7">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检查</w:t>
            </w:r>
            <w:r>
              <w:rPr>
                <w:rFonts w:hint="eastAsia" w:ascii="宋体" w:hAnsi="宋体" w:eastAsia="宋体" w:cs="宋体"/>
                <w:b/>
                <w:color w:val="auto"/>
                <w:kern w:val="0"/>
                <w:sz w:val="24"/>
                <w:highlight w:val="none"/>
              </w:rPr>
              <w:t>内容</w:t>
            </w:r>
          </w:p>
        </w:tc>
        <w:tc>
          <w:tcPr>
            <w:tcW w:w="1978" w:type="dxa"/>
            <w:shd w:val="clear" w:color="000000" w:fill="FFFFFF"/>
            <w:vAlign w:val="center"/>
          </w:tcPr>
          <w:p w14:paraId="0EC77B17">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是否允许澄清、说明或者更正</w:t>
            </w:r>
          </w:p>
        </w:tc>
      </w:tr>
      <w:tr w14:paraId="228AB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764" w:type="dxa"/>
            <w:shd w:val="clear" w:color="000000" w:fill="FFFFFF"/>
            <w:vAlign w:val="center"/>
          </w:tcPr>
          <w:p w14:paraId="1DCF5678">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1</w:t>
            </w:r>
          </w:p>
        </w:tc>
        <w:tc>
          <w:tcPr>
            <w:tcW w:w="1613" w:type="dxa"/>
            <w:shd w:val="clear" w:color="000000" w:fill="FFFFFF"/>
            <w:vAlign w:val="center"/>
          </w:tcPr>
          <w:p w14:paraId="6478E09B">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响应文件签署、盖章</w:t>
            </w:r>
          </w:p>
        </w:tc>
        <w:tc>
          <w:tcPr>
            <w:tcW w:w="4847" w:type="dxa"/>
            <w:shd w:val="clear" w:color="000000" w:fill="FFFFFF"/>
            <w:vAlign w:val="center"/>
          </w:tcPr>
          <w:p w14:paraId="58E5F32C">
            <w:pPr>
              <w:widowControl/>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按照竞争性磋商文件规定格式填写、签署、盖章，未出现内容不全或关键字迹模糊、无法辨认的。</w:t>
            </w:r>
          </w:p>
        </w:tc>
        <w:tc>
          <w:tcPr>
            <w:tcW w:w="1978" w:type="dxa"/>
            <w:shd w:val="clear" w:color="000000" w:fill="FFFFFF"/>
            <w:vAlign w:val="center"/>
          </w:tcPr>
          <w:p w14:paraId="5AF4F1F1">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不允许</w:t>
            </w:r>
          </w:p>
        </w:tc>
      </w:tr>
      <w:tr w14:paraId="5B7B8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64" w:type="dxa"/>
            <w:shd w:val="clear" w:color="000000" w:fill="FFFFFF"/>
            <w:vAlign w:val="center"/>
          </w:tcPr>
          <w:p w14:paraId="62A86F6A">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2</w:t>
            </w:r>
          </w:p>
        </w:tc>
        <w:tc>
          <w:tcPr>
            <w:tcW w:w="1613" w:type="dxa"/>
            <w:shd w:val="clear" w:color="000000" w:fill="FFFFFF"/>
            <w:vAlign w:val="center"/>
          </w:tcPr>
          <w:p w14:paraId="37188333">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响应内容</w:t>
            </w:r>
          </w:p>
        </w:tc>
        <w:tc>
          <w:tcPr>
            <w:tcW w:w="4847" w:type="dxa"/>
            <w:shd w:val="clear" w:color="000000" w:fill="FFFFFF"/>
            <w:vAlign w:val="center"/>
          </w:tcPr>
          <w:p w14:paraId="60941D2A">
            <w:pPr>
              <w:widowControl/>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范围、内容等满足竞争性磋商文件要求。</w:t>
            </w:r>
          </w:p>
        </w:tc>
        <w:tc>
          <w:tcPr>
            <w:tcW w:w="1978" w:type="dxa"/>
            <w:shd w:val="clear" w:color="000000" w:fill="FFFFFF"/>
            <w:vAlign w:val="center"/>
          </w:tcPr>
          <w:p w14:paraId="51D4D658">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不允许</w:t>
            </w:r>
          </w:p>
        </w:tc>
      </w:tr>
      <w:tr w14:paraId="04F88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764" w:type="dxa"/>
            <w:shd w:val="clear" w:color="000000" w:fill="FFFFFF"/>
            <w:vAlign w:val="center"/>
          </w:tcPr>
          <w:p w14:paraId="0ABA8B69">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3</w:t>
            </w:r>
          </w:p>
        </w:tc>
        <w:tc>
          <w:tcPr>
            <w:tcW w:w="1613" w:type="dxa"/>
            <w:shd w:val="clear" w:color="000000" w:fill="FFFFFF"/>
            <w:vAlign w:val="center"/>
          </w:tcPr>
          <w:p w14:paraId="4714857A">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响应报价</w:t>
            </w:r>
          </w:p>
        </w:tc>
        <w:tc>
          <w:tcPr>
            <w:tcW w:w="4847" w:type="dxa"/>
            <w:shd w:val="clear" w:color="000000" w:fill="FFFFFF"/>
            <w:vAlign w:val="center"/>
          </w:tcPr>
          <w:p w14:paraId="5AB64FA8">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响应文件未出现可选择性或可调整的报价（竞争性磋商文件另有规定的除外）</w:t>
            </w:r>
          </w:p>
          <w:p w14:paraId="06922C50">
            <w:pPr>
              <w:widowControl/>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报价不高于最高限价和采购预算。</w:t>
            </w:r>
          </w:p>
        </w:tc>
        <w:tc>
          <w:tcPr>
            <w:tcW w:w="1978" w:type="dxa"/>
            <w:shd w:val="clear" w:color="000000" w:fill="FFFFFF"/>
            <w:vAlign w:val="center"/>
          </w:tcPr>
          <w:p w14:paraId="732079C3">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不允许</w:t>
            </w:r>
          </w:p>
        </w:tc>
      </w:tr>
      <w:tr w14:paraId="00381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764" w:type="dxa"/>
            <w:shd w:val="clear" w:color="000000" w:fill="FFFFFF"/>
            <w:vAlign w:val="center"/>
          </w:tcPr>
          <w:p w14:paraId="337C481A">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4</w:t>
            </w:r>
          </w:p>
        </w:tc>
        <w:tc>
          <w:tcPr>
            <w:tcW w:w="1613" w:type="dxa"/>
            <w:shd w:val="clear" w:color="000000" w:fill="FFFFFF"/>
            <w:vAlign w:val="center"/>
          </w:tcPr>
          <w:p w14:paraId="3FD35D88">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实质性响应</w:t>
            </w:r>
          </w:p>
        </w:tc>
        <w:tc>
          <w:tcPr>
            <w:tcW w:w="4847" w:type="dxa"/>
            <w:shd w:val="clear" w:color="000000" w:fill="FFFFFF"/>
            <w:vAlign w:val="center"/>
          </w:tcPr>
          <w:p w14:paraId="1D209C3E">
            <w:pPr>
              <w:widowControl/>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响应文件的内容满足磋商文件要求，无重大偏离或保留，实质性条款完全响应或优于竞争性磋商文件要求。</w:t>
            </w:r>
          </w:p>
        </w:tc>
        <w:tc>
          <w:tcPr>
            <w:tcW w:w="1978" w:type="dxa"/>
            <w:shd w:val="clear" w:color="000000" w:fill="FFFFFF"/>
            <w:vAlign w:val="center"/>
          </w:tcPr>
          <w:p w14:paraId="3BF88BD0">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不允许</w:t>
            </w:r>
          </w:p>
        </w:tc>
      </w:tr>
      <w:tr w14:paraId="6FD9F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64" w:type="dxa"/>
            <w:shd w:val="clear" w:color="000000" w:fill="FFFFFF"/>
            <w:vAlign w:val="center"/>
          </w:tcPr>
          <w:p w14:paraId="4F229A9C">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5</w:t>
            </w:r>
          </w:p>
        </w:tc>
        <w:tc>
          <w:tcPr>
            <w:tcW w:w="1613" w:type="dxa"/>
            <w:shd w:val="clear" w:color="000000" w:fill="FFFFFF"/>
            <w:vAlign w:val="center"/>
          </w:tcPr>
          <w:p w14:paraId="558D1EC7">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实质性格式</w:t>
            </w:r>
          </w:p>
        </w:tc>
        <w:tc>
          <w:tcPr>
            <w:tcW w:w="4847" w:type="dxa"/>
            <w:shd w:val="clear" w:color="000000" w:fill="FFFFFF"/>
            <w:vAlign w:val="center"/>
          </w:tcPr>
          <w:p w14:paraId="17BECECD">
            <w:pPr>
              <w:widowControl/>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标记为“实质性格式”的文件均按竞争性磋商文件要求提供。</w:t>
            </w:r>
          </w:p>
        </w:tc>
        <w:tc>
          <w:tcPr>
            <w:tcW w:w="1978" w:type="dxa"/>
            <w:shd w:val="clear" w:color="000000" w:fill="FFFFFF"/>
            <w:vAlign w:val="center"/>
          </w:tcPr>
          <w:p w14:paraId="72B48F8B">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不允许</w:t>
            </w:r>
          </w:p>
        </w:tc>
      </w:tr>
      <w:tr w14:paraId="5460F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64" w:type="dxa"/>
            <w:shd w:val="clear" w:color="000000" w:fill="FFFFFF"/>
            <w:vAlign w:val="center"/>
          </w:tcPr>
          <w:p w14:paraId="387FDC56">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6</w:t>
            </w:r>
          </w:p>
        </w:tc>
        <w:tc>
          <w:tcPr>
            <w:tcW w:w="1613" w:type="dxa"/>
            <w:shd w:val="clear" w:color="000000" w:fill="FFFFFF"/>
            <w:vAlign w:val="center"/>
          </w:tcPr>
          <w:p w14:paraId="738A2462">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磋商文件规定的其他无效条款</w:t>
            </w:r>
          </w:p>
        </w:tc>
        <w:tc>
          <w:tcPr>
            <w:tcW w:w="4847" w:type="dxa"/>
            <w:shd w:val="clear" w:color="000000" w:fill="FFFFFF"/>
            <w:vAlign w:val="center"/>
          </w:tcPr>
          <w:p w14:paraId="6958A6BB">
            <w:pPr>
              <w:widowControl/>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不存在竞争性磋商文件规定的其他无效条款。</w:t>
            </w:r>
          </w:p>
        </w:tc>
        <w:tc>
          <w:tcPr>
            <w:tcW w:w="1978" w:type="dxa"/>
            <w:shd w:val="clear" w:color="000000" w:fill="FFFFFF"/>
            <w:vAlign w:val="center"/>
          </w:tcPr>
          <w:p w14:paraId="0D27A7CC">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不允许</w:t>
            </w:r>
          </w:p>
        </w:tc>
      </w:tr>
    </w:tbl>
    <w:p w14:paraId="63D78E94">
      <w:pPr>
        <w:tabs>
          <w:tab w:val="left" w:pos="900"/>
          <w:tab w:val="left" w:pos="1080"/>
          <w:tab w:val="left" w:pos="1589"/>
        </w:tabs>
        <w:snapToGrid w:val="0"/>
        <w:spacing w:line="360" w:lineRule="auto"/>
        <w:rPr>
          <w:rFonts w:hint="eastAsia" w:ascii="宋体" w:hAnsi="宋体" w:eastAsia="宋体" w:cs="宋体"/>
          <w:color w:val="auto"/>
          <w:sz w:val="24"/>
          <w:highlight w:val="none"/>
        </w:rPr>
      </w:pPr>
    </w:p>
    <w:p w14:paraId="484153F4">
      <w:pPr>
        <w:tabs>
          <w:tab w:val="left" w:pos="900"/>
          <w:tab w:val="left" w:pos="1080"/>
          <w:tab w:val="left" w:pos="1589"/>
        </w:tabs>
        <w:snapToGrid w:val="0"/>
        <w:spacing w:line="360" w:lineRule="auto"/>
        <w:rPr>
          <w:rFonts w:hint="eastAsia" w:ascii="宋体" w:hAnsi="宋体" w:eastAsia="宋体" w:cs="宋体"/>
          <w:color w:val="auto"/>
          <w:sz w:val="24"/>
          <w:highlight w:val="none"/>
        </w:rPr>
      </w:pPr>
    </w:p>
    <w:p w14:paraId="270D6C73">
      <w:pPr>
        <w:numPr>
          <w:ilvl w:val="0"/>
          <w:numId w:val="12"/>
        </w:numPr>
        <w:tabs>
          <w:tab w:val="left" w:pos="360"/>
        </w:tabs>
        <w:snapToGrid w:val="0"/>
        <w:spacing w:line="360" w:lineRule="auto"/>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磋商、响应文件有关事项的澄清、说明或者更正和最后报价</w:t>
      </w:r>
    </w:p>
    <w:p w14:paraId="32789780">
      <w:pPr>
        <w:numPr>
          <w:ilvl w:val="1"/>
          <w:numId w:val="12"/>
        </w:numPr>
        <w:tabs>
          <w:tab w:val="left" w:pos="1080"/>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磋商小组所有成员将集中与单一供应商分别进行磋商，并给予所有参加磋商的供应商平等的磋商机会。</w:t>
      </w:r>
    </w:p>
    <w:p w14:paraId="31695CF3">
      <w:pPr>
        <w:numPr>
          <w:ilvl w:val="1"/>
          <w:numId w:val="12"/>
        </w:numPr>
        <w:tabs>
          <w:tab w:val="left" w:pos="1080"/>
          <w:tab w:val="left" w:pos="1872"/>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70F79B84">
      <w:pPr>
        <w:numPr>
          <w:ilvl w:val="1"/>
          <w:numId w:val="12"/>
        </w:numPr>
        <w:tabs>
          <w:tab w:val="left" w:pos="1080"/>
          <w:tab w:val="left" w:pos="1872"/>
        </w:tabs>
        <w:snapToGrid w:val="0"/>
        <w:spacing w:line="360" w:lineRule="auto"/>
        <w:ind w:left="1077" w:hanging="72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对磋商文件作出的实质性变动是磋商文件的有效组成部分，磋商小组应当及时以书面形式同时通知所有参加磋商的供应商。</w:t>
      </w:r>
    </w:p>
    <w:p w14:paraId="345537FC">
      <w:pPr>
        <w:numPr>
          <w:ilvl w:val="1"/>
          <w:numId w:val="12"/>
        </w:numPr>
        <w:tabs>
          <w:tab w:val="left" w:pos="1080"/>
          <w:tab w:val="left" w:pos="1872"/>
        </w:tabs>
        <w:snapToGrid w:val="0"/>
        <w:spacing w:line="360" w:lineRule="auto"/>
        <w:ind w:left="1077" w:hanging="72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供应商应当按照磋商文件的变动情况和磋商小组的要求重新提交响应文件，并由其法定代表人（</w:t>
      </w:r>
      <w:r>
        <w:rPr>
          <w:rFonts w:hint="eastAsia" w:ascii="宋体" w:hAnsi="宋体" w:eastAsia="宋体" w:cs="宋体"/>
          <w:color w:val="auto"/>
          <w:sz w:val="24"/>
          <w:szCs w:val="20"/>
          <w:highlight w:val="none"/>
        </w:rPr>
        <w:t>若供应商为事业单位或其他组织或分支机构，可为单位负责人</w:t>
      </w:r>
      <w:r>
        <w:rPr>
          <w:rFonts w:hint="eastAsia" w:ascii="宋体" w:hAnsi="宋体" w:eastAsia="宋体" w:cs="宋体"/>
          <w:color w:val="auto"/>
          <w:kern w:val="0"/>
          <w:sz w:val="24"/>
          <w:highlight w:val="none"/>
        </w:rPr>
        <w:t>）或授权代表签字或者加盖公章。由授权代表签字的，应当附授权委托书。供应商为自然人的，应当由本人签字并附身份证明。</w:t>
      </w:r>
    </w:p>
    <w:p w14:paraId="50186285">
      <w:pPr>
        <w:numPr>
          <w:ilvl w:val="1"/>
          <w:numId w:val="12"/>
        </w:numPr>
        <w:tabs>
          <w:tab w:val="left" w:pos="1080"/>
          <w:tab w:val="left" w:pos="1872"/>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响应文件的澄清、说明或者更正：</w:t>
      </w:r>
    </w:p>
    <w:p w14:paraId="6907162F">
      <w:pPr>
        <w:numPr>
          <w:ilvl w:val="2"/>
          <w:numId w:val="12"/>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磋商小组在对响应文件的有效性、完整性和响应程度进行审查时，可以要求供应商对响应文件中含义不明确、同类问题表述不一致或者有明显文字和计算错误的内容等作出必要的澄清、说明或者更正。</w:t>
      </w:r>
    </w:p>
    <w:p w14:paraId="1EEF5F99">
      <w:pPr>
        <w:numPr>
          <w:ilvl w:val="2"/>
          <w:numId w:val="12"/>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磋商小组对响应文件进行审查，如发现供应商提交的响应文件存在不满足《符合性审查要求》的内容，如属于表中“不允许”澄清、说明或者更正的内容，则供应商响应文件按</w:t>
      </w:r>
      <w:r>
        <w:rPr>
          <w:rFonts w:hint="eastAsia" w:ascii="宋体" w:hAnsi="宋体" w:eastAsia="宋体" w:cs="宋体"/>
          <w:b/>
          <w:color w:val="auto"/>
          <w:sz w:val="24"/>
          <w:highlight w:val="none"/>
        </w:rPr>
        <w:t>无效处理</w:t>
      </w:r>
      <w:r>
        <w:rPr>
          <w:rFonts w:hint="eastAsia" w:ascii="宋体" w:hAnsi="宋体" w:eastAsia="宋体" w:cs="宋体"/>
          <w:color w:val="auto"/>
          <w:sz w:val="24"/>
          <w:highlight w:val="none"/>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hint="eastAsia" w:ascii="宋体" w:hAnsi="宋体" w:eastAsia="宋体" w:cs="宋体"/>
          <w:b/>
          <w:color w:val="auto"/>
          <w:sz w:val="24"/>
          <w:highlight w:val="none"/>
        </w:rPr>
        <w:t>无效处理</w:t>
      </w:r>
      <w:r>
        <w:rPr>
          <w:rFonts w:hint="eastAsia" w:ascii="宋体" w:hAnsi="宋体" w:eastAsia="宋体" w:cs="宋体"/>
          <w:color w:val="auto"/>
          <w:sz w:val="24"/>
          <w:highlight w:val="none"/>
        </w:rPr>
        <w:t>。</w:t>
      </w:r>
    </w:p>
    <w:p w14:paraId="28C3D152">
      <w:pPr>
        <w:numPr>
          <w:ilvl w:val="2"/>
          <w:numId w:val="12"/>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Pr>
          <w:rFonts w:hint="eastAsia" w:ascii="宋体" w:hAnsi="宋体" w:eastAsia="宋体" w:cs="宋体"/>
          <w:color w:val="auto"/>
          <w:kern w:val="0"/>
          <w:sz w:val="24"/>
          <w:highlight w:val="none"/>
        </w:rPr>
        <w:t>（</w:t>
      </w:r>
      <w:r>
        <w:rPr>
          <w:rFonts w:hint="eastAsia" w:ascii="宋体" w:hAnsi="宋体" w:eastAsia="宋体" w:cs="宋体"/>
          <w:color w:val="auto"/>
          <w:sz w:val="24"/>
          <w:szCs w:val="20"/>
          <w:highlight w:val="none"/>
        </w:rPr>
        <w:t>若供应商为事业单位或其他组织或分支机构，可为单位负责人</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或其授权代表签字或者加盖公章。由授权代表签字的，应当附授权委托书。供应商为自然人的，应当由本人签字并附身份证明。澄清、说明或者更正文件将作为响应文件内容的一部分。</w:t>
      </w:r>
    </w:p>
    <w:p w14:paraId="2612463D">
      <w:pPr>
        <w:numPr>
          <w:ilvl w:val="1"/>
          <w:numId w:val="12"/>
        </w:numPr>
        <w:tabs>
          <w:tab w:val="left" w:pos="1080"/>
          <w:tab w:val="left" w:pos="1872"/>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磋商结束后，磋商小组将要求所有实质性响应的供应商在规定时间内提交最后报价。最后报价时间为磋商小组指定的时间，具体时间根据磋商进度另行通知。</w:t>
      </w:r>
    </w:p>
    <w:p w14:paraId="75975C18">
      <w:pPr>
        <w:numPr>
          <w:ilvl w:val="1"/>
          <w:numId w:val="12"/>
        </w:numPr>
        <w:tabs>
          <w:tab w:val="left" w:pos="1080"/>
          <w:tab w:val="left" w:pos="1872"/>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hint="eastAsia" w:ascii="宋体" w:hAnsi="宋体" w:eastAsia="宋体" w:cs="宋体"/>
          <w:color w:val="auto"/>
          <w:sz w:val="24"/>
          <w:highlight w:val="none"/>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6CAA5A3B">
      <w:pPr>
        <w:numPr>
          <w:ilvl w:val="1"/>
          <w:numId w:val="12"/>
        </w:numPr>
        <w:tabs>
          <w:tab w:val="left" w:pos="1080"/>
          <w:tab w:val="left" w:pos="1872"/>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最后报价是供应商响应文件的有效组成部分。</w:t>
      </w:r>
    </w:p>
    <w:p w14:paraId="10885C5B">
      <w:pPr>
        <w:numPr>
          <w:ilvl w:val="1"/>
          <w:numId w:val="12"/>
        </w:numPr>
        <w:tabs>
          <w:tab w:val="left" w:pos="1080"/>
          <w:tab w:val="left" w:pos="1872"/>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已提交响应文件的供应商，在提交最后报价之前，可以根据磋商情况退出磋商。</w:t>
      </w:r>
    </w:p>
    <w:p w14:paraId="5B062CBA">
      <w:pPr>
        <w:numPr>
          <w:ilvl w:val="0"/>
          <w:numId w:val="12"/>
        </w:numPr>
        <w:tabs>
          <w:tab w:val="left" w:pos="360"/>
        </w:tabs>
        <w:snapToGrid w:val="0"/>
        <w:spacing w:line="360" w:lineRule="auto"/>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最后报价的算术修正及政策调整</w:t>
      </w:r>
    </w:p>
    <w:p w14:paraId="3762B1E9">
      <w:pPr>
        <w:numPr>
          <w:ilvl w:val="1"/>
          <w:numId w:val="12"/>
        </w:numPr>
        <w:tabs>
          <w:tab w:val="left" w:pos="1080"/>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最后报价须包含竞争性磋商文件全部内容，如最后分项报价表有缺漏视为已含在其他各项报价中，将不对最后报价进行调整。磋商小组有权要求供应商在评审现场合理的时间内对此进行书面确认，供应商不确认的，视为将一个采购包中的内容拆分响应，其</w:t>
      </w:r>
      <w:r>
        <w:rPr>
          <w:rFonts w:hint="eastAsia" w:ascii="宋体" w:hAnsi="宋体" w:eastAsia="宋体" w:cs="宋体"/>
          <w:b/>
          <w:color w:val="auto"/>
          <w:sz w:val="24"/>
          <w:highlight w:val="none"/>
        </w:rPr>
        <w:t>响应无效</w:t>
      </w:r>
      <w:r>
        <w:rPr>
          <w:rFonts w:hint="eastAsia" w:ascii="宋体" w:hAnsi="宋体" w:eastAsia="宋体" w:cs="宋体"/>
          <w:color w:val="auto"/>
          <w:sz w:val="24"/>
          <w:highlight w:val="none"/>
        </w:rPr>
        <w:t>。</w:t>
      </w:r>
    </w:p>
    <w:p w14:paraId="1FFD441E">
      <w:pPr>
        <w:numPr>
          <w:ilvl w:val="1"/>
          <w:numId w:val="12"/>
        </w:numPr>
        <w:tabs>
          <w:tab w:val="left" w:pos="1080"/>
          <w:tab w:val="left" w:pos="1872"/>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最后报价出现前后不一致的，按照下列规定修正：</w:t>
      </w:r>
    </w:p>
    <w:p w14:paraId="2214863A">
      <w:pPr>
        <w:numPr>
          <w:ilvl w:val="2"/>
          <w:numId w:val="12"/>
        </w:numPr>
        <w:tabs>
          <w:tab w:val="left" w:pos="1080"/>
          <w:tab w:val="left" w:pos="1589"/>
          <w:tab w:val="left" w:pos="2035"/>
          <w:tab w:val="left" w:pos="2114"/>
        </w:tabs>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竞争性磋商文件对于报价修正是否另有规定：</w:t>
      </w:r>
    </w:p>
    <w:p w14:paraId="623188E3">
      <w:pPr>
        <w:tabs>
          <w:tab w:val="left" w:pos="1080"/>
          <w:tab w:val="left" w:pos="1589"/>
          <w:tab w:val="left" w:pos="2035"/>
          <w:tab w:val="left" w:pos="2114"/>
        </w:tabs>
        <w:snapToGrid w:val="0"/>
        <w:spacing w:line="360" w:lineRule="auto"/>
        <w:ind w:left="2035"/>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rPr>
        <w:t>□有，具体规定为：</w:t>
      </w:r>
      <w:r>
        <w:rPr>
          <w:rFonts w:hint="eastAsia" w:ascii="宋体" w:hAnsi="宋体" w:eastAsia="宋体" w:cs="宋体"/>
          <w:color w:val="auto"/>
          <w:sz w:val="24"/>
          <w:highlight w:val="none"/>
          <w:u w:val="single"/>
          <w:lang w:val="en-US" w:eastAsia="zh-CN"/>
        </w:rPr>
        <w:t xml:space="preserve">    /    </w:t>
      </w:r>
      <w:r>
        <w:rPr>
          <w:rFonts w:hint="eastAsia" w:ascii="宋体" w:hAnsi="宋体" w:eastAsia="宋体" w:cs="宋体"/>
          <w:color w:val="auto"/>
          <w:sz w:val="24"/>
          <w:highlight w:val="none"/>
        </w:rPr>
        <w:t>。</w:t>
      </w:r>
    </w:p>
    <w:p w14:paraId="72228DA2">
      <w:pPr>
        <w:tabs>
          <w:tab w:val="left" w:pos="1080"/>
          <w:tab w:val="left" w:pos="1589"/>
          <w:tab w:val="left" w:pos="2035"/>
          <w:tab w:val="left" w:pos="2114"/>
        </w:tabs>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无，按下述3.2.2-3.2.5项规定修正。</w:t>
      </w:r>
    </w:p>
    <w:p w14:paraId="3DF159F7">
      <w:pPr>
        <w:numPr>
          <w:ilvl w:val="2"/>
          <w:numId w:val="12"/>
        </w:numPr>
        <w:tabs>
          <w:tab w:val="left" w:pos="2035"/>
          <w:tab w:val="left" w:pos="2114"/>
          <w:tab w:val="left" w:pos="2977"/>
        </w:tabs>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大写金额和小写金额不一致的，以大写金额为准；</w:t>
      </w:r>
    </w:p>
    <w:p w14:paraId="042B7538">
      <w:pPr>
        <w:numPr>
          <w:ilvl w:val="2"/>
          <w:numId w:val="12"/>
        </w:numPr>
        <w:tabs>
          <w:tab w:val="left" w:pos="2035"/>
          <w:tab w:val="left" w:pos="2114"/>
          <w:tab w:val="left" w:pos="2977"/>
        </w:tabs>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单价金额小数点或者百分比有明显错位的，以总价为准，并修改单价；</w:t>
      </w:r>
    </w:p>
    <w:p w14:paraId="58A2BB09">
      <w:pPr>
        <w:numPr>
          <w:ilvl w:val="2"/>
          <w:numId w:val="12"/>
        </w:numPr>
        <w:tabs>
          <w:tab w:val="left" w:pos="2035"/>
          <w:tab w:val="left" w:pos="2114"/>
          <w:tab w:val="left" w:pos="2977"/>
        </w:tabs>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总价金额与按单价汇总金额不一致的，以单价金额计算结果为准。</w:t>
      </w:r>
    </w:p>
    <w:p w14:paraId="1160CDDC">
      <w:pPr>
        <w:numPr>
          <w:ilvl w:val="2"/>
          <w:numId w:val="12"/>
        </w:numPr>
        <w:tabs>
          <w:tab w:val="left" w:pos="1080"/>
          <w:tab w:val="left" w:pos="1589"/>
          <w:tab w:val="left" w:pos="2035"/>
          <w:tab w:val="left" w:pos="2114"/>
        </w:tabs>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同时出现两种以上不一致的，按照前款规定的顺序修正。修正后的报价经供应商书面确认后产生约束力，供应商不确认的，</w:t>
      </w:r>
      <w:r>
        <w:rPr>
          <w:rFonts w:hint="eastAsia" w:ascii="宋体" w:hAnsi="宋体" w:eastAsia="宋体" w:cs="宋体"/>
          <w:b/>
          <w:color w:val="auto"/>
          <w:sz w:val="24"/>
          <w:highlight w:val="none"/>
        </w:rPr>
        <w:t>其响应无效</w:t>
      </w:r>
      <w:r>
        <w:rPr>
          <w:rFonts w:hint="eastAsia" w:ascii="宋体" w:hAnsi="宋体" w:eastAsia="宋体" w:cs="宋体"/>
          <w:color w:val="auto"/>
          <w:sz w:val="24"/>
          <w:highlight w:val="none"/>
        </w:rPr>
        <w:t>。</w:t>
      </w:r>
    </w:p>
    <w:p w14:paraId="56BEE598">
      <w:pPr>
        <w:numPr>
          <w:ilvl w:val="1"/>
          <w:numId w:val="12"/>
        </w:numPr>
        <w:tabs>
          <w:tab w:val="left" w:pos="1080"/>
          <w:tab w:val="left" w:pos="1872"/>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落实政府采购政策的价格调整：只有符合第二章《供应商须知》4.2条规定情形的，可以享受中小企业扶持政策，用扣除后的价格参加评审；否则，评审时价格不予扣除。</w:t>
      </w:r>
    </w:p>
    <w:p w14:paraId="68BF41D5">
      <w:pPr>
        <w:numPr>
          <w:ilvl w:val="2"/>
          <w:numId w:val="12"/>
        </w:numPr>
        <w:tabs>
          <w:tab w:val="left" w:pos="1080"/>
          <w:tab w:val="left" w:pos="1589"/>
          <w:tab w:val="left" w:pos="2035"/>
        </w:tabs>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对于未预留份额专门面向中小企业采购的采购项目，以及预留份额项目中的非预留部分采购包，对小微企业报价给予</w:t>
      </w:r>
      <w:r>
        <w:rPr>
          <w:rFonts w:hint="eastAsia" w:ascii="宋体" w:hAnsi="宋体" w:eastAsia="宋体" w:cs="宋体"/>
          <w:color w:val="auto"/>
          <w:sz w:val="24"/>
          <w:highlight w:val="none"/>
          <w:u w:val="single"/>
          <w:lang w:val="en-US" w:eastAsia="zh-CN"/>
        </w:rPr>
        <w:t xml:space="preserve"> /  </w:t>
      </w:r>
      <w:r>
        <w:rPr>
          <w:rFonts w:hint="eastAsia" w:ascii="宋体" w:hAnsi="宋体" w:eastAsia="宋体" w:cs="宋体"/>
          <w:color w:val="auto"/>
          <w:sz w:val="24"/>
          <w:highlight w:val="none"/>
        </w:rPr>
        <w:t>%的扣除，用扣除后的价格参加评审。</w:t>
      </w:r>
    </w:p>
    <w:p w14:paraId="45CD5034">
      <w:pPr>
        <w:numPr>
          <w:ilvl w:val="2"/>
          <w:numId w:val="12"/>
        </w:numPr>
        <w:tabs>
          <w:tab w:val="left" w:pos="1080"/>
          <w:tab w:val="left" w:pos="1589"/>
          <w:tab w:val="left" w:pos="2035"/>
        </w:tabs>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ascii="宋体" w:hAnsi="宋体" w:eastAsia="宋体" w:cs="宋体"/>
          <w:color w:val="auto"/>
          <w:sz w:val="24"/>
          <w:highlight w:val="none"/>
          <w:u w:val="single"/>
          <w:lang w:val="en-US" w:eastAsia="zh-CN"/>
        </w:rPr>
        <w:t xml:space="preserve"> /  </w:t>
      </w:r>
      <w:r>
        <w:rPr>
          <w:rFonts w:hint="eastAsia" w:ascii="宋体" w:hAnsi="宋体" w:eastAsia="宋体" w:cs="宋体"/>
          <w:color w:val="auto"/>
          <w:sz w:val="24"/>
          <w:highlight w:val="none"/>
        </w:rPr>
        <w:t>%的扣除，用扣除后的价格参加评审。</w:t>
      </w:r>
    </w:p>
    <w:p w14:paraId="0D2C9E5A">
      <w:pPr>
        <w:numPr>
          <w:ilvl w:val="2"/>
          <w:numId w:val="12"/>
        </w:numPr>
        <w:tabs>
          <w:tab w:val="left" w:pos="1080"/>
          <w:tab w:val="left" w:pos="1589"/>
          <w:tab w:val="left" w:pos="2035"/>
        </w:tabs>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组成联合体或者接受分包的小微企业与联合体内其他企业、分包企业之间存在直接控股、管理关系的，不享受价格扣除优惠政策。</w:t>
      </w:r>
    </w:p>
    <w:p w14:paraId="35384FA3">
      <w:pPr>
        <w:numPr>
          <w:ilvl w:val="2"/>
          <w:numId w:val="12"/>
        </w:numPr>
        <w:tabs>
          <w:tab w:val="left" w:pos="1080"/>
          <w:tab w:val="left" w:pos="1589"/>
          <w:tab w:val="left" w:pos="2035"/>
        </w:tabs>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价格扣除比例对小型企业和微型企业同等对待，不作区分。</w:t>
      </w:r>
    </w:p>
    <w:p w14:paraId="4AC2699F">
      <w:pPr>
        <w:numPr>
          <w:ilvl w:val="2"/>
          <w:numId w:val="12"/>
        </w:numPr>
        <w:tabs>
          <w:tab w:val="left" w:pos="1080"/>
          <w:tab w:val="left" w:pos="1589"/>
          <w:tab w:val="left" w:pos="2035"/>
        </w:tabs>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中小企业参加政府采购活动，应当按照竞争性磋商文件给定的格式出具《中小企业声明函》，否则不得享受相关中小企业扶持政策。</w:t>
      </w:r>
    </w:p>
    <w:p w14:paraId="7DB7C208">
      <w:pPr>
        <w:numPr>
          <w:ilvl w:val="2"/>
          <w:numId w:val="12"/>
        </w:numPr>
        <w:tabs>
          <w:tab w:val="left" w:pos="1080"/>
          <w:tab w:val="left" w:pos="1589"/>
          <w:tab w:val="left" w:pos="2035"/>
        </w:tabs>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监狱企业提供了由省级以上监狱管理局、戒毒管理局（含新疆生产建设兵团）出具的属于监狱企业的证明文件的，视同小微企业。</w:t>
      </w:r>
    </w:p>
    <w:p w14:paraId="0CE26472">
      <w:pPr>
        <w:numPr>
          <w:ilvl w:val="2"/>
          <w:numId w:val="12"/>
        </w:numPr>
        <w:tabs>
          <w:tab w:val="left" w:pos="1080"/>
          <w:tab w:val="left" w:pos="1589"/>
          <w:tab w:val="left" w:pos="2035"/>
        </w:tabs>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残疾人福利性单位按竞争性磋商文件要求提供了《残疾人福利性单位声明函》的，视同小微企业。</w:t>
      </w:r>
    </w:p>
    <w:p w14:paraId="0EDD62B0">
      <w:pPr>
        <w:numPr>
          <w:ilvl w:val="2"/>
          <w:numId w:val="12"/>
        </w:numPr>
        <w:tabs>
          <w:tab w:val="left" w:pos="1080"/>
          <w:tab w:val="left" w:pos="1589"/>
          <w:tab w:val="left" w:pos="2014"/>
        </w:tabs>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若供应商同时属于小型或微型企业、监狱企业、残疾人福利性单位中的两种及以上，将不重复享受小微企业价格扣减的优惠政策。</w:t>
      </w:r>
    </w:p>
    <w:p w14:paraId="661A21A5">
      <w:pPr>
        <w:numPr>
          <w:ilvl w:val="2"/>
          <w:numId w:val="12"/>
        </w:numPr>
        <w:tabs>
          <w:tab w:val="left" w:pos="1080"/>
          <w:tab w:val="left" w:pos="1589"/>
          <w:tab w:val="left" w:pos="2014"/>
        </w:tabs>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其他为落实政府采购政策实施的优先采购：</w:t>
      </w:r>
      <w:r>
        <w:rPr>
          <w:rFonts w:hint="eastAsia" w:ascii="宋体" w:hAnsi="宋体" w:eastAsia="宋体" w:cs="宋体"/>
          <w:color w:val="auto"/>
          <w:sz w:val="24"/>
          <w:highlight w:val="none"/>
          <w:u w:val="single"/>
          <w:lang w:val="en-US" w:eastAsia="zh-CN"/>
        </w:rPr>
        <w:t xml:space="preserve"> /  </w:t>
      </w:r>
      <w:r>
        <w:rPr>
          <w:rFonts w:hint="eastAsia" w:ascii="宋体" w:hAnsi="宋体" w:eastAsia="宋体" w:cs="宋体"/>
          <w:color w:val="auto"/>
          <w:sz w:val="24"/>
          <w:highlight w:val="none"/>
        </w:rPr>
        <w:t>。</w:t>
      </w:r>
    </w:p>
    <w:p w14:paraId="7CED40DB">
      <w:pPr>
        <w:numPr>
          <w:ilvl w:val="0"/>
          <w:numId w:val="12"/>
        </w:numPr>
        <w:tabs>
          <w:tab w:val="left" w:pos="360"/>
        </w:tabs>
        <w:snapToGrid w:val="0"/>
        <w:spacing w:line="360" w:lineRule="auto"/>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磋商环节及提交最后报价后如出现以下情况的，供应商的</w:t>
      </w:r>
      <w:r>
        <w:rPr>
          <w:rFonts w:hint="eastAsia" w:ascii="宋体" w:hAnsi="宋体" w:eastAsia="宋体" w:cs="宋体"/>
          <w:b/>
          <w:color w:val="auto"/>
          <w:sz w:val="24"/>
          <w:highlight w:val="none"/>
        </w:rPr>
        <w:t>响应文件无效</w:t>
      </w:r>
      <w:r>
        <w:rPr>
          <w:rFonts w:hint="eastAsia" w:ascii="宋体" w:hAnsi="宋体" w:eastAsia="宋体" w:cs="宋体"/>
          <w:color w:val="auto"/>
          <w:sz w:val="24"/>
          <w:highlight w:val="none"/>
        </w:rPr>
        <w:t>：</w:t>
      </w:r>
    </w:p>
    <w:p w14:paraId="6A58DB80">
      <w:pPr>
        <w:numPr>
          <w:ilvl w:val="1"/>
          <w:numId w:val="12"/>
        </w:numPr>
        <w:tabs>
          <w:tab w:val="left" w:pos="1080"/>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供应商对实质性变动不予确认的；</w:t>
      </w:r>
    </w:p>
    <w:p w14:paraId="47166A92">
      <w:pPr>
        <w:numPr>
          <w:ilvl w:val="1"/>
          <w:numId w:val="12"/>
        </w:numPr>
        <w:tabs>
          <w:tab w:val="left" w:pos="1080"/>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不满足磋商文件★号条款或磋商文件技术指标超出磋商文件《采购需求》中主要技术参数允许偏差的最大范围的（如有）；</w:t>
      </w:r>
    </w:p>
    <w:p w14:paraId="46A02D9C">
      <w:pPr>
        <w:numPr>
          <w:ilvl w:val="1"/>
          <w:numId w:val="12"/>
        </w:numPr>
        <w:tabs>
          <w:tab w:val="left" w:pos="1080"/>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未按照磋商小组规定的时间、逾期提交最后报价的；</w:t>
      </w:r>
    </w:p>
    <w:p w14:paraId="6E7A5991">
      <w:pPr>
        <w:numPr>
          <w:ilvl w:val="1"/>
          <w:numId w:val="12"/>
        </w:numPr>
        <w:tabs>
          <w:tab w:val="left" w:pos="1080"/>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如供应商的最后报价超过竞争性磋商文件中规定的项目/采购包预算金额或者项目/采购包最高限价的；</w:t>
      </w:r>
    </w:p>
    <w:p w14:paraId="57D4DB68">
      <w:pPr>
        <w:numPr>
          <w:ilvl w:val="1"/>
          <w:numId w:val="12"/>
        </w:numPr>
        <w:tabs>
          <w:tab w:val="left" w:pos="1080"/>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响应文件中出现可选择性或可调整的报价的（竞争性磋商文件另有规定的除外）；</w:t>
      </w:r>
    </w:p>
    <w:p w14:paraId="60066B69">
      <w:pPr>
        <w:numPr>
          <w:ilvl w:val="1"/>
          <w:numId w:val="12"/>
        </w:numPr>
        <w:tabs>
          <w:tab w:val="left" w:pos="1080"/>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最后报价出现前后不一致，供应商对修正后的报价不予确认的；</w:t>
      </w:r>
    </w:p>
    <w:p w14:paraId="2093E156">
      <w:pPr>
        <w:numPr>
          <w:ilvl w:val="1"/>
          <w:numId w:val="12"/>
        </w:numPr>
        <w:tabs>
          <w:tab w:val="left" w:pos="1080"/>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其他：</w:t>
      </w:r>
      <w:r>
        <w:rPr>
          <w:rFonts w:hint="eastAsia" w:ascii="宋体" w:hAnsi="宋体" w:eastAsia="宋体" w:cs="宋体"/>
          <w:color w:val="auto"/>
          <w:sz w:val="24"/>
          <w:highlight w:val="none"/>
          <w:u w:val="single"/>
          <w:lang w:val="en-US" w:eastAsia="zh-CN"/>
        </w:rPr>
        <w:t xml:space="preserve"> /  </w:t>
      </w:r>
      <w:r>
        <w:rPr>
          <w:rFonts w:hint="eastAsia" w:ascii="宋体" w:hAnsi="宋体" w:eastAsia="宋体" w:cs="宋体"/>
          <w:color w:val="auto"/>
          <w:sz w:val="24"/>
          <w:highlight w:val="none"/>
        </w:rPr>
        <w:t>。</w:t>
      </w:r>
    </w:p>
    <w:bookmarkEnd w:id="619"/>
    <w:bookmarkEnd w:id="620"/>
    <w:p w14:paraId="5FD3384F">
      <w:pPr>
        <w:numPr>
          <w:ilvl w:val="0"/>
          <w:numId w:val="12"/>
        </w:numPr>
        <w:tabs>
          <w:tab w:val="left" w:pos="360"/>
        </w:tabs>
        <w:snapToGrid w:val="0"/>
        <w:spacing w:line="360" w:lineRule="auto"/>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评审方法和评审标准</w:t>
      </w:r>
    </w:p>
    <w:p w14:paraId="46DDB043">
      <w:pPr>
        <w:numPr>
          <w:ilvl w:val="1"/>
          <w:numId w:val="12"/>
        </w:numPr>
        <w:tabs>
          <w:tab w:val="left" w:pos="1080"/>
          <w:tab w:val="left" w:pos="1872"/>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5D08346C">
      <w:pPr>
        <w:numPr>
          <w:ilvl w:val="1"/>
          <w:numId w:val="12"/>
        </w:numPr>
        <w:tabs>
          <w:tab w:val="left" w:pos="1080"/>
          <w:tab w:val="left" w:pos="1872"/>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竞争性磋商文件中没有规定的评审标准不得作为评审依据。</w:t>
      </w:r>
    </w:p>
    <w:p w14:paraId="7ED2A5D0">
      <w:pPr>
        <w:numPr>
          <w:ilvl w:val="1"/>
          <w:numId w:val="12"/>
        </w:numPr>
        <w:tabs>
          <w:tab w:val="left" w:pos="1080"/>
          <w:tab w:val="left" w:pos="1872"/>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非政府强制采购的节能产品或环境标志产品，依据品目清单和认证证书实施政府优先采购。优先采购的具体规定（如涉及）</w:t>
      </w:r>
      <w:r>
        <w:rPr>
          <w:rFonts w:hint="eastAsia" w:ascii="宋体" w:hAnsi="宋体" w:eastAsia="宋体" w:cs="宋体"/>
          <w:color w:val="auto"/>
          <w:sz w:val="24"/>
          <w:highlight w:val="none"/>
          <w:u w:val="single"/>
          <w:lang w:val="en-US" w:eastAsia="zh-CN"/>
        </w:rPr>
        <w:t xml:space="preserve"> /  </w:t>
      </w:r>
      <w:r>
        <w:rPr>
          <w:rFonts w:hint="eastAsia" w:ascii="宋体" w:hAnsi="宋体" w:eastAsia="宋体" w:cs="宋体"/>
          <w:color w:val="auto"/>
          <w:sz w:val="24"/>
          <w:highlight w:val="none"/>
        </w:rPr>
        <w:t>。</w:t>
      </w:r>
    </w:p>
    <w:p w14:paraId="661D079D">
      <w:pPr>
        <w:numPr>
          <w:ilvl w:val="1"/>
          <w:numId w:val="12"/>
        </w:numPr>
        <w:tabs>
          <w:tab w:val="left" w:pos="1080"/>
          <w:tab w:val="left" w:pos="1872"/>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关于无线局域网认证产品政府采购清单中的产品，优先采购的具体规定（如涉及）</w:t>
      </w:r>
      <w:r>
        <w:rPr>
          <w:rFonts w:hint="eastAsia" w:ascii="宋体" w:hAnsi="宋体" w:eastAsia="宋体" w:cs="宋体"/>
          <w:color w:val="auto"/>
          <w:sz w:val="24"/>
          <w:highlight w:val="none"/>
          <w:u w:val="single"/>
          <w:lang w:val="en-US" w:eastAsia="zh-CN"/>
        </w:rPr>
        <w:t xml:space="preserve"> /  </w:t>
      </w:r>
      <w:r>
        <w:rPr>
          <w:rFonts w:hint="eastAsia" w:ascii="宋体" w:hAnsi="宋体" w:eastAsia="宋体" w:cs="宋体"/>
          <w:color w:val="auto"/>
          <w:sz w:val="24"/>
          <w:highlight w:val="none"/>
        </w:rPr>
        <w:t>。</w:t>
      </w:r>
    </w:p>
    <w:p w14:paraId="7517D780">
      <w:pPr>
        <w:numPr>
          <w:ilvl w:val="0"/>
          <w:numId w:val="12"/>
        </w:numPr>
        <w:tabs>
          <w:tab w:val="left" w:pos="360"/>
        </w:tabs>
        <w:snapToGrid w:val="0"/>
        <w:spacing w:line="360" w:lineRule="auto"/>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确定</w:t>
      </w:r>
      <w:bookmarkStart w:id="636" w:name="_Toc226965736"/>
      <w:bookmarkStart w:id="637" w:name="_Toc151193716"/>
      <w:bookmarkStart w:id="638" w:name="_Toc226337242"/>
      <w:bookmarkStart w:id="639" w:name="_Toc164229387"/>
      <w:bookmarkStart w:id="640" w:name="_Ref467307010"/>
      <w:bookmarkStart w:id="641" w:name="_Toc520356170"/>
      <w:bookmarkStart w:id="642" w:name="_Toc127151747"/>
      <w:bookmarkStart w:id="643" w:name="_Toc151190173"/>
      <w:bookmarkStart w:id="644" w:name="_Toc226309790"/>
      <w:bookmarkStart w:id="645" w:name="_Toc127151546"/>
      <w:bookmarkStart w:id="646" w:name="_Toc150774646"/>
      <w:bookmarkStart w:id="647" w:name="_Toc127161460"/>
      <w:bookmarkStart w:id="648" w:name="_Toc149720839"/>
      <w:bookmarkStart w:id="649" w:name="_Toc151193860"/>
      <w:bookmarkStart w:id="650" w:name="_Toc164608815"/>
      <w:bookmarkStart w:id="651" w:name="_Toc265228384"/>
      <w:bookmarkStart w:id="652" w:name="_Toc195842911"/>
      <w:bookmarkStart w:id="653" w:name="_Toc305158814"/>
      <w:bookmarkStart w:id="654" w:name="_Toc150509297"/>
      <w:bookmarkStart w:id="655" w:name="_Toc150774751"/>
      <w:bookmarkStart w:id="656" w:name="_Toc305158888"/>
      <w:bookmarkStart w:id="657" w:name="_Toc151193644"/>
      <w:bookmarkStart w:id="658" w:name="_Toc151193934"/>
      <w:bookmarkStart w:id="659" w:name="_Toc264969236"/>
      <w:bookmarkStart w:id="660" w:name="_Toc150480784"/>
      <w:bookmarkStart w:id="661" w:name="_Toc226965819"/>
      <w:bookmarkStart w:id="662" w:name="_Toc164608660"/>
      <w:bookmarkStart w:id="663" w:name="_Toc151193788"/>
      <w:bookmarkStart w:id="664" w:name="_Toc164229241"/>
      <w:bookmarkStart w:id="665" w:name="_Toc164351640"/>
      <w:bookmarkStart w:id="666" w:name="_Toc142311048"/>
      <w:r>
        <w:rPr>
          <w:rFonts w:hint="eastAsia" w:ascii="宋体" w:hAnsi="宋体" w:eastAsia="宋体" w:cs="宋体"/>
          <w:color w:val="auto"/>
          <w:sz w:val="24"/>
          <w:highlight w:val="none"/>
        </w:rPr>
        <w:t>成交候选人名单</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14:paraId="572A5D31">
      <w:pPr>
        <w:numPr>
          <w:ilvl w:val="1"/>
          <w:numId w:val="12"/>
        </w:numPr>
        <w:tabs>
          <w:tab w:val="left" w:pos="1080"/>
          <w:tab w:val="left" w:pos="1872"/>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10089CA0">
      <w:pPr>
        <w:numPr>
          <w:ilvl w:val="1"/>
          <w:numId w:val="12"/>
        </w:numPr>
        <w:tabs>
          <w:tab w:val="left" w:pos="1080"/>
          <w:tab w:val="left" w:pos="1872"/>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kern w:val="0"/>
          <w:sz w:val="24"/>
          <w:szCs w:val="20"/>
          <w:highlight w:val="none"/>
        </w:rPr>
        <w:t>磋商小组根据上述供应商排序，依次推荐排序前</w:t>
      </w:r>
      <w:r>
        <w:rPr>
          <w:rFonts w:hint="eastAsia" w:ascii="宋体" w:hAnsi="宋体" w:eastAsia="宋体" w:cs="宋体"/>
          <w:color w:val="auto"/>
          <w:sz w:val="24"/>
          <w:highlight w:val="none"/>
          <w:u w:val="single"/>
          <w:lang w:val="en-US" w:eastAsia="zh-CN"/>
        </w:rPr>
        <w:t xml:space="preserve">  3  </w:t>
      </w:r>
      <w:r>
        <w:rPr>
          <w:rFonts w:hint="eastAsia" w:ascii="宋体" w:hAnsi="宋体" w:eastAsia="宋体" w:cs="宋体"/>
          <w:color w:val="auto"/>
          <w:sz w:val="24"/>
          <w:highlight w:val="none"/>
        </w:rPr>
        <w:t>名</w:t>
      </w:r>
      <w:r>
        <w:rPr>
          <w:rFonts w:hint="eastAsia" w:ascii="宋体" w:hAnsi="宋体" w:eastAsia="宋体" w:cs="宋体"/>
          <w:color w:val="auto"/>
          <w:kern w:val="0"/>
          <w:sz w:val="24"/>
          <w:szCs w:val="20"/>
          <w:highlight w:val="none"/>
        </w:rPr>
        <w:t>的供应商为</w:t>
      </w:r>
      <w:r>
        <w:rPr>
          <w:rFonts w:hint="eastAsia" w:ascii="宋体" w:hAnsi="宋体" w:eastAsia="宋体" w:cs="宋体"/>
          <w:snapToGrid w:val="0"/>
          <w:color w:val="auto"/>
          <w:kern w:val="0"/>
          <w:sz w:val="24"/>
          <w:szCs w:val="21"/>
          <w:highlight w:val="none"/>
        </w:rPr>
        <w:t>成交候选供应商</w:t>
      </w:r>
      <w:r>
        <w:rPr>
          <w:rFonts w:hint="eastAsia" w:ascii="宋体" w:hAnsi="宋体" w:eastAsia="宋体" w:cs="宋体"/>
          <w:color w:val="auto"/>
          <w:kern w:val="0"/>
          <w:sz w:val="24"/>
          <w:szCs w:val="20"/>
          <w:highlight w:val="none"/>
        </w:rPr>
        <w:t>（若在磋商文件允许的情形下提交最后报价的供应商为二家，则依次推荐二名供应商为成交候选供应商），并编写评审报告。</w:t>
      </w:r>
    </w:p>
    <w:p w14:paraId="78776E94">
      <w:pPr>
        <w:numPr>
          <w:ilvl w:val="1"/>
          <w:numId w:val="12"/>
        </w:numPr>
        <w:tabs>
          <w:tab w:val="left" w:pos="1080"/>
          <w:tab w:val="left" w:pos="1872"/>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磋商小组要对评分汇总情况进行复核，特别是对排名第一的、报价最低的、响应文件被认定为无效的情形进行重点复核。</w:t>
      </w:r>
    </w:p>
    <w:p w14:paraId="70FD938C">
      <w:pPr>
        <w:numPr>
          <w:ilvl w:val="0"/>
          <w:numId w:val="12"/>
        </w:numPr>
        <w:tabs>
          <w:tab w:val="left" w:pos="360"/>
        </w:tabs>
        <w:snapToGrid w:val="0"/>
        <w:spacing w:line="360" w:lineRule="auto"/>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报告违法行为</w:t>
      </w:r>
    </w:p>
    <w:p w14:paraId="79693E95">
      <w:pPr>
        <w:widowControl/>
        <w:numPr>
          <w:ilvl w:val="1"/>
          <w:numId w:val="12"/>
        </w:numPr>
        <w:tabs>
          <w:tab w:val="left" w:pos="1080"/>
          <w:tab w:val="left" w:pos="1872"/>
        </w:tabs>
        <w:snapToGrid w:val="0"/>
        <w:spacing w:line="360" w:lineRule="auto"/>
        <w:ind w:left="1077" w:hanging="720"/>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t>磋商小组在评审过程中发现供应商有行贿、提供虚假材料或者串通等违法行为时，有向采购人、采购代理机构或者有关部门报告的职责。</w:t>
      </w:r>
    </w:p>
    <w:p w14:paraId="3A922D3B">
      <w:pPr>
        <w:pStyle w:val="4"/>
        <w:spacing w:before="0" w:line="360" w:lineRule="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sz w:val="24"/>
          <w:szCs w:val="24"/>
          <w:highlight w:val="none"/>
        </w:rPr>
        <w:t>二、</w:t>
      </w:r>
      <w:r>
        <w:rPr>
          <w:rFonts w:hint="eastAsia" w:ascii="宋体" w:hAnsi="宋体" w:eastAsia="宋体" w:cs="宋体"/>
          <w:b/>
          <w:bCs w:val="0"/>
          <w:color w:val="auto"/>
          <w:kern w:val="2"/>
          <w:sz w:val="24"/>
          <w:szCs w:val="24"/>
          <w:highlight w:val="none"/>
          <w:lang w:val="en-US" w:eastAsia="zh-CN" w:bidi="ar-SA"/>
        </w:rPr>
        <w:t>评审标准</w:t>
      </w:r>
    </w:p>
    <w:tbl>
      <w:tblPr>
        <w:tblStyle w:val="44"/>
        <w:tblpPr w:leftFromText="180" w:rightFromText="180" w:vertAnchor="text" w:horzAnchor="page" w:tblpX="838" w:tblpY="366"/>
        <w:tblOverlap w:val="never"/>
        <w:tblW w:w="10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76"/>
        <w:gridCol w:w="1253"/>
        <w:gridCol w:w="960"/>
        <w:gridCol w:w="3866"/>
        <w:gridCol w:w="2214"/>
      </w:tblGrid>
      <w:tr w14:paraId="46C68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10" w:type="dxa"/>
            <w:vAlign w:val="center"/>
          </w:tcPr>
          <w:p w14:paraId="1913D863">
            <w:pPr>
              <w:ind w:firstLine="28"/>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序号</w:t>
            </w:r>
          </w:p>
        </w:tc>
        <w:tc>
          <w:tcPr>
            <w:tcW w:w="2529" w:type="dxa"/>
            <w:gridSpan w:val="2"/>
            <w:vAlign w:val="center"/>
          </w:tcPr>
          <w:p w14:paraId="1BC83ED2">
            <w:pPr>
              <w:ind w:firstLine="28"/>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评分因素</w:t>
            </w:r>
          </w:p>
        </w:tc>
        <w:tc>
          <w:tcPr>
            <w:tcW w:w="960" w:type="dxa"/>
            <w:vAlign w:val="center"/>
          </w:tcPr>
          <w:p w14:paraId="43FBA913">
            <w:pPr>
              <w:ind w:firstLine="28"/>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分值</w:t>
            </w:r>
          </w:p>
        </w:tc>
        <w:tc>
          <w:tcPr>
            <w:tcW w:w="3866" w:type="dxa"/>
            <w:vAlign w:val="center"/>
          </w:tcPr>
          <w:p w14:paraId="2E4DB54F">
            <w:pPr>
              <w:pStyle w:val="247"/>
              <w:spacing w:before="0" w:after="0" w:line="240" w:lineRule="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评分标准</w:t>
            </w:r>
          </w:p>
        </w:tc>
        <w:tc>
          <w:tcPr>
            <w:tcW w:w="2214" w:type="dxa"/>
            <w:vAlign w:val="center"/>
          </w:tcPr>
          <w:p w14:paraId="62CAF88C">
            <w:pPr>
              <w:pStyle w:val="247"/>
              <w:spacing w:before="0" w:after="0" w:line="240" w:lineRule="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说明</w:t>
            </w:r>
          </w:p>
        </w:tc>
      </w:tr>
      <w:tr w14:paraId="69DE1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710" w:type="dxa"/>
            <w:vAlign w:val="center"/>
          </w:tcPr>
          <w:p w14:paraId="54DD6BFF">
            <w:pPr>
              <w:ind w:firstLine="28"/>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w:t>
            </w:r>
          </w:p>
        </w:tc>
        <w:tc>
          <w:tcPr>
            <w:tcW w:w="2529" w:type="dxa"/>
            <w:gridSpan w:val="2"/>
            <w:vAlign w:val="center"/>
          </w:tcPr>
          <w:p w14:paraId="5FC9D760">
            <w:pPr>
              <w:ind w:firstLine="28"/>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投标报价</w:t>
            </w:r>
          </w:p>
        </w:tc>
        <w:tc>
          <w:tcPr>
            <w:tcW w:w="960" w:type="dxa"/>
            <w:vAlign w:val="center"/>
          </w:tcPr>
          <w:p w14:paraId="4377B003">
            <w:pPr>
              <w:ind w:firstLine="28"/>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10分</w:t>
            </w:r>
          </w:p>
        </w:tc>
        <w:tc>
          <w:tcPr>
            <w:tcW w:w="3866" w:type="dxa"/>
            <w:vAlign w:val="center"/>
          </w:tcPr>
          <w:p w14:paraId="3644F4E6">
            <w:pPr>
              <w:spacing w:line="320" w:lineRule="exact"/>
              <w:ind w:left="-38"/>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满足磋商文件要求的最后报价最低的供应商的价格为磋商基准价，其价格分为满分。其他供应商的价格分统一按照下列公式计算：</w:t>
            </w:r>
          </w:p>
          <w:p w14:paraId="34389DB0">
            <w:pPr>
              <w:spacing w:line="320" w:lineRule="exact"/>
              <w:ind w:left="-38"/>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磋商报价得分=（磋商基准价/最后报价）×10</w:t>
            </w:r>
          </w:p>
        </w:tc>
        <w:tc>
          <w:tcPr>
            <w:tcW w:w="2214" w:type="dxa"/>
            <w:vAlign w:val="center"/>
          </w:tcPr>
          <w:p w14:paraId="000F61B1">
            <w:pPr>
              <w:spacing w:line="320" w:lineRule="exact"/>
              <w:ind w:left="-38"/>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此处最后报价指经过报价修正，及因落实政府采购政策进行价格调整后的报价，详见第三章《评审方法和评审标准》3.2、3.3</w:t>
            </w:r>
          </w:p>
        </w:tc>
      </w:tr>
      <w:tr w14:paraId="10AE5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710" w:type="dxa"/>
            <w:vAlign w:val="center"/>
          </w:tcPr>
          <w:p w14:paraId="63BBCDB2">
            <w:pPr>
              <w:spacing w:line="320" w:lineRule="exact"/>
              <w:ind w:left="-38"/>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w:t>
            </w:r>
          </w:p>
        </w:tc>
        <w:tc>
          <w:tcPr>
            <w:tcW w:w="1276" w:type="dxa"/>
            <w:vAlign w:val="center"/>
          </w:tcPr>
          <w:p w14:paraId="639DCEDB">
            <w:pPr>
              <w:spacing w:line="320" w:lineRule="exact"/>
              <w:ind w:left="-38"/>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商务</w:t>
            </w:r>
          </w:p>
          <w:p w14:paraId="613480D1">
            <w:pPr>
              <w:spacing w:line="320" w:lineRule="exact"/>
              <w:ind w:left="-38"/>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部分</w:t>
            </w:r>
          </w:p>
          <w:p w14:paraId="085829DD">
            <w:pPr>
              <w:spacing w:line="320" w:lineRule="exact"/>
              <w:ind w:left="-38"/>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（5分）</w:t>
            </w:r>
          </w:p>
        </w:tc>
        <w:tc>
          <w:tcPr>
            <w:tcW w:w="1253" w:type="dxa"/>
            <w:vAlign w:val="center"/>
          </w:tcPr>
          <w:p w14:paraId="49B4510F">
            <w:pPr>
              <w:spacing w:line="320" w:lineRule="exact"/>
              <w:ind w:left="-38"/>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项目业绩</w:t>
            </w:r>
          </w:p>
        </w:tc>
        <w:tc>
          <w:tcPr>
            <w:tcW w:w="960" w:type="dxa"/>
            <w:vAlign w:val="center"/>
          </w:tcPr>
          <w:p w14:paraId="00A7E8AD">
            <w:pPr>
              <w:spacing w:line="320" w:lineRule="exact"/>
              <w:ind w:left="-38"/>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5分</w:t>
            </w:r>
          </w:p>
        </w:tc>
        <w:tc>
          <w:tcPr>
            <w:tcW w:w="3866" w:type="dxa"/>
            <w:vAlign w:val="center"/>
          </w:tcPr>
          <w:p w14:paraId="49DD2A21">
            <w:pPr>
              <w:spacing w:line="320" w:lineRule="exact"/>
              <w:ind w:left="-38"/>
              <w:jc w:val="left"/>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供应商自202</w:t>
            </w:r>
            <w:r>
              <w:rPr>
                <w:rFonts w:hint="eastAsia" w:ascii="宋体" w:hAnsi="宋体" w:cs="宋体"/>
                <w:b w:val="0"/>
                <w:color w:val="auto"/>
                <w:kern w:val="2"/>
                <w:sz w:val="24"/>
                <w:szCs w:val="24"/>
                <w:highlight w:val="none"/>
                <w:lang w:val="en-US" w:eastAsia="zh-CN" w:bidi="ar-SA"/>
              </w:rPr>
              <w:t>2</w:t>
            </w:r>
            <w:r>
              <w:rPr>
                <w:rFonts w:hint="eastAsia" w:ascii="宋体" w:hAnsi="宋体" w:eastAsia="宋体" w:cs="宋体"/>
                <w:b w:val="0"/>
                <w:color w:val="auto"/>
                <w:kern w:val="2"/>
                <w:sz w:val="24"/>
                <w:szCs w:val="24"/>
                <w:highlight w:val="none"/>
                <w:lang w:val="en-US" w:eastAsia="zh-CN" w:bidi="ar-SA"/>
              </w:rPr>
              <w:t>年1月1日至响应文件提交截止日，每提供1个停车服务类业绩得2.5分，最多得5分。</w:t>
            </w:r>
          </w:p>
        </w:tc>
        <w:tc>
          <w:tcPr>
            <w:tcW w:w="2214" w:type="dxa"/>
            <w:vAlign w:val="center"/>
          </w:tcPr>
          <w:p w14:paraId="0E66A436">
            <w:pPr>
              <w:spacing w:line="320" w:lineRule="exact"/>
              <w:ind w:left="-38"/>
              <w:jc w:val="left"/>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1.供应商提供的每份业绩均须提供合同关键页复印件并加盖供应商公章；</w:t>
            </w:r>
          </w:p>
          <w:p w14:paraId="714116DD">
            <w:pPr>
              <w:spacing w:line="320" w:lineRule="exact"/>
              <w:ind w:left="-38"/>
              <w:jc w:val="left"/>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2.原件备查。</w:t>
            </w:r>
          </w:p>
        </w:tc>
      </w:tr>
      <w:tr w14:paraId="2E4B1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710" w:type="dxa"/>
            <w:vMerge w:val="restart"/>
            <w:vAlign w:val="center"/>
          </w:tcPr>
          <w:p w14:paraId="29195786">
            <w:pPr>
              <w:spacing w:line="320" w:lineRule="exact"/>
              <w:ind w:left="-38"/>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w:t>
            </w:r>
          </w:p>
        </w:tc>
        <w:tc>
          <w:tcPr>
            <w:tcW w:w="1276" w:type="dxa"/>
            <w:vMerge w:val="restart"/>
            <w:vAlign w:val="center"/>
          </w:tcPr>
          <w:p w14:paraId="75AA527A">
            <w:pPr>
              <w:spacing w:line="320" w:lineRule="exact"/>
              <w:ind w:left="-38"/>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技术</w:t>
            </w:r>
          </w:p>
          <w:p w14:paraId="40338476">
            <w:pPr>
              <w:spacing w:line="320" w:lineRule="exact"/>
              <w:ind w:left="-38"/>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部分</w:t>
            </w:r>
          </w:p>
          <w:p w14:paraId="593475D3">
            <w:pPr>
              <w:spacing w:line="320" w:lineRule="exact"/>
              <w:ind w:left="-38"/>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（85分）</w:t>
            </w:r>
          </w:p>
        </w:tc>
        <w:tc>
          <w:tcPr>
            <w:tcW w:w="1253" w:type="dxa"/>
            <w:vAlign w:val="center"/>
          </w:tcPr>
          <w:p w14:paraId="5D5DE87C">
            <w:pPr>
              <w:spacing w:line="320" w:lineRule="exact"/>
              <w:ind w:left="-38"/>
              <w:jc w:val="left"/>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服务需求响应</w:t>
            </w:r>
          </w:p>
        </w:tc>
        <w:tc>
          <w:tcPr>
            <w:tcW w:w="960" w:type="dxa"/>
            <w:vAlign w:val="center"/>
          </w:tcPr>
          <w:p w14:paraId="3B57EB8B">
            <w:pPr>
              <w:spacing w:line="320" w:lineRule="exact"/>
              <w:ind w:left="-38"/>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12分</w:t>
            </w:r>
          </w:p>
        </w:tc>
        <w:tc>
          <w:tcPr>
            <w:tcW w:w="3866" w:type="dxa"/>
            <w:vAlign w:val="center"/>
          </w:tcPr>
          <w:p w14:paraId="49DCB64E">
            <w:pPr>
              <w:spacing w:line="320" w:lineRule="exact"/>
              <w:ind w:left="-38"/>
              <w:jc w:val="left"/>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供应商应点对点应答本竞争性磋商文件第四章采购需求的全部条款，对“采购需求”的实现，应给予明确的“满足”或“不满足”的应答，并做出满足磋商文件要求的解释说明。</w:t>
            </w:r>
          </w:p>
          <w:p w14:paraId="34CF05B8">
            <w:pPr>
              <w:spacing w:line="320" w:lineRule="exact"/>
              <w:ind w:left="-38"/>
              <w:jc w:val="left"/>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全部技术条款均满足磋商文件要求的得12分，每有一项技术条款不满足竞争性磋商文件要求扣1分，本项最少得0分。</w:t>
            </w:r>
          </w:p>
          <w:p w14:paraId="2DDA67D3">
            <w:pPr>
              <w:spacing w:line="320" w:lineRule="exact"/>
              <w:ind w:left="-38"/>
              <w:jc w:val="left"/>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如果只注明“符合”、“满足”，而未列出所投服务的具体内容，或完全复制磋商文件“服务内容及要求”及与实际所应答服务不符的，视为“不满足”应答。</w:t>
            </w:r>
          </w:p>
        </w:tc>
        <w:tc>
          <w:tcPr>
            <w:tcW w:w="2214" w:type="dxa"/>
            <w:vAlign w:val="center"/>
          </w:tcPr>
          <w:p w14:paraId="706B6E62">
            <w:pPr>
              <w:spacing w:line="320" w:lineRule="exact"/>
              <w:ind w:left="-38"/>
              <w:jc w:val="left"/>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供应商应点对点应答本竞争性磋商文件第四章采购需求的全部条款。</w:t>
            </w:r>
          </w:p>
        </w:tc>
      </w:tr>
      <w:tr w14:paraId="33645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trPr>
        <w:tc>
          <w:tcPr>
            <w:tcW w:w="710" w:type="dxa"/>
            <w:vMerge w:val="continue"/>
            <w:vAlign w:val="center"/>
          </w:tcPr>
          <w:p w14:paraId="291D7CF4">
            <w:pPr>
              <w:spacing w:line="320" w:lineRule="exact"/>
              <w:ind w:left="-38"/>
              <w:jc w:val="center"/>
              <w:rPr>
                <w:rFonts w:hint="eastAsia" w:ascii="宋体" w:hAnsi="宋体" w:eastAsia="宋体" w:cs="宋体"/>
                <w:b w:val="0"/>
                <w:color w:val="auto"/>
                <w:kern w:val="2"/>
                <w:sz w:val="24"/>
                <w:szCs w:val="24"/>
                <w:highlight w:val="none"/>
                <w:lang w:val="en-US" w:eastAsia="zh-CN" w:bidi="ar-SA"/>
              </w:rPr>
            </w:pPr>
          </w:p>
        </w:tc>
        <w:tc>
          <w:tcPr>
            <w:tcW w:w="1276" w:type="dxa"/>
            <w:vMerge w:val="continue"/>
            <w:vAlign w:val="center"/>
          </w:tcPr>
          <w:p w14:paraId="0FBA8515">
            <w:pPr>
              <w:spacing w:line="320" w:lineRule="exact"/>
              <w:ind w:left="-38"/>
              <w:jc w:val="center"/>
              <w:rPr>
                <w:rFonts w:hint="eastAsia" w:ascii="宋体" w:hAnsi="宋体" w:eastAsia="宋体" w:cs="宋体"/>
                <w:b w:val="0"/>
                <w:color w:val="auto"/>
                <w:kern w:val="2"/>
                <w:sz w:val="24"/>
                <w:szCs w:val="24"/>
                <w:highlight w:val="none"/>
                <w:lang w:val="en-US" w:eastAsia="zh-CN" w:bidi="ar-SA"/>
              </w:rPr>
            </w:pPr>
          </w:p>
        </w:tc>
        <w:tc>
          <w:tcPr>
            <w:tcW w:w="1253" w:type="dxa"/>
            <w:vAlign w:val="center"/>
          </w:tcPr>
          <w:p w14:paraId="71861EF1">
            <w:pPr>
              <w:spacing w:line="320" w:lineRule="exact"/>
              <w:ind w:left="-38"/>
              <w:jc w:val="left"/>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服务人员数量</w:t>
            </w:r>
          </w:p>
        </w:tc>
        <w:tc>
          <w:tcPr>
            <w:tcW w:w="960" w:type="dxa"/>
            <w:vAlign w:val="center"/>
          </w:tcPr>
          <w:p w14:paraId="486EFFCE">
            <w:pPr>
              <w:spacing w:line="320" w:lineRule="exact"/>
              <w:ind w:left="-38"/>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5分</w:t>
            </w:r>
          </w:p>
        </w:tc>
        <w:tc>
          <w:tcPr>
            <w:tcW w:w="3866" w:type="dxa"/>
            <w:vAlign w:val="center"/>
          </w:tcPr>
          <w:p w14:paraId="417B1049">
            <w:pPr>
              <w:spacing w:line="320" w:lineRule="exact"/>
              <w:ind w:left="-38"/>
              <w:jc w:val="left"/>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供应商针对本项目拟派遣的服务团队人员：人数少于9人（含）的不得分，在此基础上，每多1人得1分，最多得5分。</w:t>
            </w:r>
          </w:p>
        </w:tc>
        <w:tc>
          <w:tcPr>
            <w:tcW w:w="2214" w:type="dxa"/>
            <w:vAlign w:val="center"/>
          </w:tcPr>
          <w:p w14:paraId="452824E1">
            <w:pPr>
              <w:spacing w:line="320" w:lineRule="exact"/>
              <w:ind w:left="-38"/>
              <w:jc w:val="left"/>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供应商须提供拟派遣人员近1个月的社保缴纳证明并加盖供应商公章。</w:t>
            </w:r>
          </w:p>
        </w:tc>
      </w:tr>
      <w:tr w14:paraId="6D398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10" w:type="dxa"/>
            <w:vMerge w:val="continue"/>
            <w:vAlign w:val="center"/>
          </w:tcPr>
          <w:p w14:paraId="14814227">
            <w:pPr>
              <w:spacing w:line="320" w:lineRule="exact"/>
              <w:ind w:left="-38"/>
              <w:jc w:val="center"/>
              <w:rPr>
                <w:rFonts w:hint="eastAsia" w:ascii="宋体" w:hAnsi="宋体" w:eastAsia="宋体" w:cs="宋体"/>
                <w:b w:val="0"/>
                <w:color w:val="auto"/>
                <w:kern w:val="2"/>
                <w:sz w:val="24"/>
                <w:szCs w:val="24"/>
                <w:highlight w:val="none"/>
                <w:lang w:val="en-US" w:eastAsia="zh-CN" w:bidi="ar-SA"/>
              </w:rPr>
            </w:pPr>
          </w:p>
        </w:tc>
        <w:tc>
          <w:tcPr>
            <w:tcW w:w="1276" w:type="dxa"/>
            <w:vMerge w:val="continue"/>
            <w:vAlign w:val="center"/>
          </w:tcPr>
          <w:p w14:paraId="7BD4CF45">
            <w:pPr>
              <w:spacing w:line="320" w:lineRule="exact"/>
              <w:ind w:left="-38"/>
              <w:jc w:val="center"/>
              <w:rPr>
                <w:rFonts w:hint="eastAsia" w:ascii="宋体" w:hAnsi="宋体" w:eastAsia="宋体" w:cs="宋体"/>
                <w:b w:val="0"/>
                <w:color w:val="auto"/>
                <w:kern w:val="2"/>
                <w:sz w:val="24"/>
                <w:szCs w:val="24"/>
                <w:highlight w:val="none"/>
                <w:lang w:val="en-US" w:eastAsia="zh-CN" w:bidi="ar-SA"/>
              </w:rPr>
            </w:pPr>
          </w:p>
        </w:tc>
        <w:tc>
          <w:tcPr>
            <w:tcW w:w="1253" w:type="dxa"/>
            <w:vAlign w:val="center"/>
          </w:tcPr>
          <w:p w14:paraId="4111F6FC">
            <w:pPr>
              <w:spacing w:line="320" w:lineRule="exact"/>
              <w:ind w:left="-38"/>
              <w:jc w:val="left"/>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场地位置</w:t>
            </w:r>
          </w:p>
        </w:tc>
        <w:tc>
          <w:tcPr>
            <w:tcW w:w="960" w:type="dxa"/>
            <w:vAlign w:val="center"/>
          </w:tcPr>
          <w:p w14:paraId="5A8CA01C">
            <w:pPr>
              <w:spacing w:line="320" w:lineRule="exact"/>
              <w:ind w:left="-38"/>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2分</w:t>
            </w:r>
          </w:p>
        </w:tc>
        <w:tc>
          <w:tcPr>
            <w:tcW w:w="3866" w:type="dxa"/>
            <w:vAlign w:val="center"/>
          </w:tcPr>
          <w:p w14:paraId="403CAF71">
            <w:pPr>
              <w:spacing w:line="320" w:lineRule="exact"/>
              <w:ind w:left="-38"/>
              <w:jc w:val="left"/>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供应商拟供场地的位置在采购需求描述的预设范围内的得2分，不在不得分。</w:t>
            </w:r>
          </w:p>
        </w:tc>
        <w:tc>
          <w:tcPr>
            <w:tcW w:w="2214" w:type="dxa"/>
            <w:vAlign w:val="center"/>
          </w:tcPr>
          <w:p w14:paraId="421A252C">
            <w:pPr>
              <w:spacing w:line="320" w:lineRule="exact"/>
              <w:ind w:left="-38"/>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w:t>
            </w:r>
          </w:p>
        </w:tc>
      </w:tr>
      <w:tr w14:paraId="5FBD7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10" w:type="dxa"/>
            <w:vMerge w:val="continue"/>
            <w:vAlign w:val="center"/>
          </w:tcPr>
          <w:p w14:paraId="58CCBE43">
            <w:pPr>
              <w:spacing w:line="320" w:lineRule="exact"/>
              <w:ind w:left="-38"/>
              <w:jc w:val="center"/>
              <w:rPr>
                <w:rFonts w:hint="eastAsia" w:ascii="宋体" w:hAnsi="宋体" w:eastAsia="宋体" w:cs="宋体"/>
                <w:b w:val="0"/>
                <w:color w:val="auto"/>
                <w:kern w:val="2"/>
                <w:sz w:val="24"/>
                <w:szCs w:val="24"/>
                <w:highlight w:val="none"/>
                <w:lang w:val="en-US" w:eastAsia="zh-CN" w:bidi="ar-SA"/>
              </w:rPr>
            </w:pPr>
          </w:p>
        </w:tc>
        <w:tc>
          <w:tcPr>
            <w:tcW w:w="1276" w:type="dxa"/>
            <w:vMerge w:val="continue"/>
            <w:vAlign w:val="center"/>
          </w:tcPr>
          <w:p w14:paraId="18A8B625">
            <w:pPr>
              <w:spacing w:line="320" w:lineRule="exact"/>
              <w:ind w:left="-38"/>
              <w:jc w:val="center"/>
              <w:rPr>
                <w:rFonts w:hint="eastAsia" w:ascii="宋体" w:hAnsi="宋体" w:eastAsia="宋体" w:cs="宋体"/>
                <w:b w:val="0"/>
                <w:color w:val="auto"/>
                <w:kern w:val="2"/>
                <w:sz w:val="24"/>
                <w:szCs w:val="24"/>
                <w:highlight w:val="none"/>
                <w:lang w:val="en-US" w:eastAsia="zh-CN" w:bidi="ar-SA"/>
              </w:rPr>
            </w:pPr>
          </w:p>
        </w:tc>
        <w:tc>
          <w:tcPr>
            <w:tcW w:w="1253" w:type="dxa"/>
            <w:vAlign w:val="center"/>
          </w:tcPr>
          <w:p w14:paraId="5D7ED83D">
            <w:pPr>
              <w:spacing w:line="320" w:lineRule="exact"/>
              <w:ind w:left="-38"/>
              <w:jc w:val="left"/>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场地情况</w:t>
            </w:r>
          </w:p>
        </w:tc>
        <w:tc>
          <w:tcPr>
            <w:tcW w:w="960" w:type="dxa"/>
            <w:vAlign w:val="center"/>
          </w:tcPr>
          <w:p w14:paraId="400AB989">
            <w:pPr>
              <w:spacing w:line="320" w:lineRule="exact"/>
              <w:ind w:left="-38"/>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6分</w:t>
            </w:r>
          </w:p>
        </w:tc>
        <w:tc>
          <w:tcPr>
            <w:tcW w:w="3866" w:type="dxa"/>
            <w:vAlign w:val="center"/>
          </w:tcPr>
          <w:p w14:paraId="38284D2D">
            <w:pPr>
              <w:spacing w:line="320" w:lineRule="exact"/>
              <w:ind w:left="-38"/>
              <w:jc w:val="left"/>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供应商拟供场地能够满足采购人停放报废车辆以及扣留扣押车辆零配件的，得6分，否则不得分。</w:t>
            </w:r>
          </w:p>
        </w:tc>
        <w:tc>
          <w:tcPr>
            <w:tcW w:w="2214" w:type="dxa"/>
            <w:vAlign w:val="center"/>
          </w:tcPr>
          <w:p w14:paraId="2321F7C6">
            <w:pPr>
              <w:spacing w:line="320" w:lineRule="exact"/>
              <w:ind w:left="-38"/>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w:t>
            </w:r>
          </w:p>
        </w:tc>
      </w:tr>
      <w:tr w14:paraId="7CB06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10" w:type="dxa"/>
            <w:vMerge w:val="continue"/>
            <w:vAlign w:val="center"/>
          </w:tcPr>
          <w:p w14:paraId="2B258EB5">
            <w:pPr>
              <w:spacing w:line="320" w:lineRule="exact"/>
              <w:ind w:left="-38"/>
              <w:jc w:val="center"/>
              <w:rPr>
                <w:rFonts w:hint="eastAsia" w:ascii="宋体" w:hAnsi="宋体" w:eastAsia="宋体" w:cs="宋体"/>
                <w:b w:val="0"/>
                <w:color w:val="auto"/>
                <w:kern w:val="2"/>
                <w:sz w:val="24"/>
                <w:szCs w:val="24"/>
                <w:highlight w:val="none"/>
                <w:lang w:val="en-US" w:eastAsia="zh-CN" w:bidi="ar-SA"/>
              </w:rPr>
            </w:pPr>
          </w:p>
        </w:tc>
        <w:tc>
          <w:tcPr>
            <w:tcW w:w="1276" w:type="dxa"/>
            <w:vMerge w:val="continue"/>
            <w:vAlign w:val="center"/>
          </w:tcPr>
          <w:p w14:paraId="374DE018">
            <w:pPr>
              <w:spacing w:line="320" w:lineRule="exact"/>
              <w:ind w:left="-38"/>
              <w:jc w:val="center"/>
              <w:rPr>
                <w:rFonts w:hint="eastAsia" w:ascii="宋体" w:hAnsi="宋体" w:eastAsia="宋体" w:cs="宋体"/>
                <w:b w:val="0"/>
                <w:color w:val="auto"/>
                <w:kern w:val="2"/>
                <w:sz w:val="24"/>
                <w:szCs w:val="24"/>
                <w:highlight w:val="none"/>
                <w:lang w:val="en-US" w:eastAsia="zh-CN" w:bidi="ar-SA"/>
              </w:rPr>
            </w:pPr>
          </w:p>
        </w:tc>
        <w:tc>
          <w:tcPr>
            <w:tcW w:w="1253" w:type="dxa"/>
            <w:vAlign w:val="center"/>
          </w:tcPr>
          <w:p w14:paraId="346768D2">
            <w:pPr>
              <w:spacing w:line="320" w:lineRule="exact"/>
              <w:ind w:left="-38"/>
              <w:jc w:val="left"/>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整体服务方案</w:t>
            </w:r>
          </w:p>
        </w:tc>
        <w:tc>
          <w:tcPr>
            <w:tcW w:w="960" w:type="dxa"/>
            <w:vAlign w:val="center"/>
          </w:tcPr>
          <w:p w14:paraId="71E6A0AE">
            <w:pPr>
              <w:spacing w:line="320" w:lineRule="exact"/>
              <w:ind w:left="-38"/>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15分</w:t>
            </w:r>
          </w:p>
        </w:tc>
        <w:tc>
          <w:tcPr>
            <w:tcW w:w="3866" w:type="dxa"/>
            <w:vAlign w:val="center"/>
          </w:tcPr>
          <w:p w14:paraId="14B1837E">
            <w:pPr>
              <w:spacing w:line="320" w:lineRule="exact"/>
              <w:ind w:left="-38"/>
              <w:jc w:val="left"/>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供应商须结合对本项目的理解，针对第四章采购需求，提供整体服务方案。</w:t>
            </w:r>
          </w:p>
          <w:p w14:paraId="3F883E47">
            <w:pPr>
              <w:spacing w:line="320" w:lineRule="exact"/>
              <w:ind w:left="-38"/>
              <w:jc w:val="left"/>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方案内容应包括：①对本项目的需求理解及主要任务分析②整体服务规划及服务原则③项目重难点分析及保障方案④信息整理与反馈措施⑤与采购人的沟通协调措施与反馈机制</w:t>
            </w:r>
            <w:r>
              <w:rPr>
                <w:rFonts w:hint="eastAsia" w:ascii="宋体" w:hAnsi="宋体" w:eastAsia="宋体" w:cs="宋体"/>
                <w:color w:val="auto"/>
                <w:highlight w:val="none"/>
                <w:lang w:eastAsia="zh-CN"/>
              </w:rPr>
              <w:t>。</w:t>
            </w:r>
          </w:p>
          <w:p w14:paraId="2BF8FBA4">
            <w:pPr>
              <w:spacing w:line="320" w:lineRule="exact"/>
              <w:ind w:left="-38"/>
              <w:jc w:val="left"/>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每有1项内容进行了详尽、具体的阐述，操作性强，实施细节及措施合理具体，与本项目紧密结合，完全满足采购需求，该项得3分；</w:t>
            </w:r>
          </w:p>
          <w:p w14:paraId="11E43A33">
            <w:pPr>
              <w:spacing w:line="320" w:lineRule="exact"/>
              <w:ind w:left="-38"/>
              <w:jc w:val="left"/>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每有1项内容虽进行阐述，但未贴合项目实际情况进行论述，或内容中未包括具体实施细节及措施，该项得1分。</w:t>
            </w:r>
          </w:p>
          <w:p w14:paraId="6A542CF7">
            <w:pPr>
              <w:spacing w:line="320" w:lineRule="exact"/>
              <w:ind w:left="-38"/>
              <w:jc w:val="left"/>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每有1项内容未进行阐述或不满足采购需求，该项得0分。</w:t>
            </w:r>
          </w:p>
        </w:tc>
        <w:tc>
          <w:tcPr>
            <w:tcW w:w="2214" w:type="dxa"/>
            <w:vAlign w:val="center"/>
          </w:tcPr>
          <w:p w14:paraId="51D9250E">
            <w:pPr>
              <w:spacing w:line="320" w:lineRule="exact"/>
              <w:ind w:left="-38"/>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w:t>
            </w:r>
          </w:p>
        </w:tc>
      </w:tr>
      <w:tr w14:paraId="75F5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10" w:type="dxa"/>
            <w:vMerge w:val="continue"/>
            <w:vAlign w:val="center"/>
          </w:tcPr>
          <w:p w14:paraId="1A266068">
            <w:pPr>
              <w:spacing w:line="320" w:lineRule="exact"/>
              <w:ind w:left="-38"/>
              <w:jc w:val="center"/>
              <w:rPr>
                <w:rFonts w:hint="eastAsia" w:ascii="宋体" w:hAnsi="宋体" w:eastAsia="宋体" w:cs="宋体"/>
                <w:b w:val="0"/>
                <w:color w:val="auto"/>
                <w:kern w:val="2"/>
                <w:sz w:val="24"/>
                <w:szCs w:val="24"/>
                <w:highlight w:val="none"/>
                <w:lang w:val="en-US" w:eastAsia="zh-CN" w:bidi="ar-SA"/>
              </w:rPr>
            </w:pPr>
          </w:p>
        </w:tc>
        <w:tc>
          <w:tcPr>
            <w:tcW w:w="1276" w:type="dxa"/>
            <w:vMerge w:val="continue"/>
            <w:vAlign w:val="center"/>
          </w:tcPr>
          <w:p w14:paraId="7CB78215">
            <w:pPr>
              <w:spacing w:line="320" w:lineRule="exact"/>
              <w:ind w:left="-38"/>
              <w:jc w:val="center"/>
              <w:rPr>
                <w:rFonts w:hint="eastAsia" w:ascii="宋体" w:hAnsi="宋体" w:eastAsia="宋体" w:cs="宋体"/>
                <w:b w:val="0"/>
                <w:color w:val="auto"/>
                <w:kern w:val="2"/>
                <w:sz w:val="24"/>
                <w:szCs w:val="24"/>
                <w:highlight w:val="none"/>
                <w:lang w:val="en-US" w:eastAsia="zh-CN" w:bidi="ar-SA"/>
              </w:rPr>
            </w:pPr>
          </w:p>
        </w:tc>
        <w:tc>
          <w:tcPr>
            <w:tcW w:w="1253" w:type="dxa"/>
            <w:vAlign w:val="center"/>
          </w:tcPr>
          <w:p w14:paraId="0885EDA5">
            <w:pPr>
              <w:spacing w:line="320" w:lineRule="exact"/>
              <w:ind w:left="-38"/>
              <w:jc w:val="left"/>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服务质量管理保障方案</w:t>
            </w:r>
          </w:p>
        </w:tc>
        <w:tc>
          <w:tcPr>
            <w:tcW w:w="960" w:type="dxa"/>
            <w:vAlign w:val="center"/>
          </w:tcPr>
          <w:p w14:paraId="5BF64860">
            <w:pPr>
              <w:spacing w:line="320" w:lineRule="exact"/>
              <w:ind w:left="-38"/>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15分</w:t>
            </w:r>
          </w:p>
        </w:tc>
        <w:tc>
          <w:tcPr>
            <w:tcW w:w="3866" w:type="dxa"/>
            <w:vAlign w:val="center"/>
          </w:tcPr>
          <w:p w14:paraId="360FED58">
            <w:pPr>
              <w:spacing w:line="320" w:lineRule="exact"/>
              <w:ind w:left="-38"/>
              <w:jc w:val="left"/>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供应商须结合对本项目的理解，针对第四章采购需求，提供服务质量管理保障方案。</w:t>
            </w:r>
          </w:p>
          <w:p w14:paraId="2312269D">
            <w:pPr>
              <w:spacing w:line="320" w:lineRule="exact"/>
              <w:ind w:left="-38"/>
              <w:jc w:val="left"/>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方案内容应包括：①服务质量管理原则②服务质量保障措施③安全保证措施④针对本项目的设备投入规划⑤项目风险把控与合理化建议。每有1项内容进行了全面详细的阐述且满足服务需求，得3分；</w:t>
            </w:r>
          </w:p>
          <w:p w14:paraId="60E5758F">
            <w:pPr>
              <w:spacing w:line="320" w:lineRule="exact"/>
              <w:ind w:left="-38"/>
              <w:jc w:val="left"/>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每有1项内容虽阐述但并未贴合项目实际情况进行论述，或内容中未包括具体实施细节及措施，得1分；</w:t>
            </w:r>
          </w:p>
          <w:p w14:paraId="520B48DF">
            <w:pPr>
              <w:spacing w:line="320" w:lineRule="exact"/>
              <w:ind w:left="-38"/>
              <w:jc w:val="left"/>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每有1项内容未进行阐述或不满足服务需求，得0分。</w:t>
            </w:r>
          </w:p>
        </w:tc>
        <w:tc>
          <w:tcPr>
            <w:tcW w:w="2214" w:type="dxa"/>
            <w:vAlign w:val="center"/>
          </w:tcPr>
          <w:p w14:paraId="2BA4FB85">
            <w:pPr>
              <w:spacing w:line="320" w:lineRule="exact"/>
              <w:ind w:left="-38"/>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w:t>
            </w:r>
          </w:p>
        </w:tc>
      </w:tr>
      <w:tr w14:paraId="73B6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10" w:type="dxa"/>
            <w:vMerge w:val="continue"/>
            <w:vAlign w:val="center"/>
          </w:tcPr>
          <w:p w14:paraId="15DD7A49">
            <w:pPr>
              <w:spacing w:line="320" w:lineRule="exact"/>
              <w:ind w:left="-38"/>
              <w:jc w:val="center"/>
              <w:rPr>
                <w:rFonts w:hint="eastAsia" w:ascii="宋体" w:hAnsi="宋体" w:eastAsia="宋体" w:cs="宋体"/>
                <w:b w:val="0"/>
                <w:color w:val="auto"/>
                <w:kern w:val="2"/>
                <w:sz w:val="24"/>
                <w:szCs w:val="24"/>
                <w:highlight w:val="none"/>
                <w:lang w:val="en-US" w:eastAsia="zh-CN" w:bidi="ar-SA"/>
              </w:rPr>
            </w:pPr>
          </w:p>
        </w:tc>
        <w:tc>
          <w:tcPr>
            <w:tcW w:w="1276" w:type="dxa"/>
            <w:vMerge w:val="continue"/>
            <w:vAlign w:val="center"/>
          </w:tcPr>
          <w:p w14:paraId="6495C89E">
            <w:pPr>
              <w:spacing w:line="320" w:lineRule="exact"/>
              <w:ind w:left="-38"/>
              <w:jc w:val="center"/>
              <w:rPr>
                <w:rFonts w:hint="eastAsia" w:ascii="宋体" w:hAnsi="宋体" w:eastAsia="宋体" w:cs="宋体"/>
                <w:b w:val="0"/>
                <w:color w:val="auto"/>
                <w:kern w:val="2"/>
                <w:sz w:val="24"/>
                <w:szCs w:val="24"/>
                <w:highlight w:val="none"/>
                <w:lang w:val="en-US" w:eastAsia="zh-CN" w:bidi="ar-SA"/>
              </w:rPr>
            </w:pPr>
          </w:p>
        </w:tc>
        <w:tc>
          <w:tcPr>
            <w:tcW w:w="1253" w:type="dxa"/>
            <w:vAlign w:val="center"/>
          </w:tcPr>
          <w:p w14:paraId="7BF21B8A">
            <w:pPr>
              <w:spacing w:line="320" w:lineRule="exact"/>
              <w:ind w:left="-38"/>
              <w:jc w:val="left"/>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服务人员管理及培训方案</w:t>
            </w:r>
          </w:p>
        </w:tc>
        <w:tc>
          <w:tcPr>
            <w:tcW w:w="960" w:type="dxa"/>
            <w:vAlign w:val="center"/>
          </w:tcPr>
          <w:p w14:paraId="16D0E3CB">
            <w:pPr>
              <w:spacing w:line="320" w:lineRule="exact"/>
              <w:ind w:left="-38"/>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15分</w:t>
            </w:r>
          </w:p>
        </w:tc>
        <w:tc>
          <w:tcPr>
            <w:tcW w:w="3866" w:type="dxa"/>
            <w:vAlign w:val="center"/>
          </w:tcPr>
          <w:p w14:paraId="7DA9F141">
            <w:pPr>
              <w:spacing w:line="320" w:lineRule="exact"/>
              <w:ind w:left="-38"/>
              <w:jc w:val="left"/>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供应商须结合对本项目的理解，针对第四章采购需求，提供服务人员管理及培训方案。</w:t>
            </w:r>
          </w:p>
          <w:p w14:paraId="326B4A59">
            <w:pPr>
              <w:spacing w:line="320" w:lineRule="exact"/>
              <w:ind w:left="-38"/>
              <w:jc w:val="left"/>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方案内容应包括：①服务团队人员及岗位分工②人员协调机制③服务团队管理原则④在岗培训⑤内部考核制度</w:t>
            </w:r>
            <w:r>
              <w:rPr>
                <w:rFonts w:hint="eastAsia" w:ascii="宋体" w:hAnsi="宋体" w:eastAsia="宋体" w:cs="宋体"/>
                <w:color w:val="auto"/>
                <w:highlight w:val="none"/>
                <w:lang w:eastAsia="zh-CN"/>
              </w:rPr>
              <w:t>。</w:t>
            </w:r>
          </w:p>
          <w:p w14:paraId="50482173">
            <w:pPr>
              <w:spacing w:line="320" w:lineRule="exact"/>
              <w:ind w:left="-38"/>
              <w:jc w:val="left"/>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每有1项内容进行了全面详细的阐述且满足采购需求，得3分；</w:t>
            </w:r>
          </w:p>
          <w:p w14:paraId="1BB5E59F">
            <w:pPr>
              <w:spacing w:line="320" w:lineRule="exact"/>
              <w:ind w:left="-38"/>
              <w:jc w:val="left"/>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每有1项内容虽阐述但并未贴合项目实际情况进行论述，或内容中未包括具体实施细节及措施，得1分；</w:t>
            </w:r>
          </w:p>
          <w:p w14:paraId="77D6CDB6">
            <w:pPr>
              <w:spacing w:line="320" w:lineRule="exact"/>
              <w:ind w:left="-38"/>
              <w:jc w:val="left"/>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每有1项内容未进行阐述或不满足采购需求，得0分。</w:t>
            </w:r>
          </w:p>
        </w:tc>
        <w:tc>
          <w:tcPr>
            <w:tcW w:w="2214" w:type="dxa"/>
            <w:vAlign w:val="center"/>
          </w:tcPr>
          <w:p w14:paraId="46A85C17">
            <w:pPr>
              <w:spacing w:line="320" w:lineRule="exact"/>
              <w:ind w:left="-38"/>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w:t>
            </w:r>
          </w:p>
        </w:tc>
      </w:tr>
      <w:tr w14:paraId="69DAE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10" w:type="dxa"/>
            <w:vMerge w:val="continue"/>
            <w:vAlign w:val="center"/>
          </w:tcPr>
          <w:p w14:paraId="4B357636">
            <w:pPr>
              <w:spacing w:line="320" w:lineRule="exact"/>
              <w:ind w:left="-38"/>
              <w:jc w:val="center"/>
              <w:rPr>
                <w:rFonts w:hint="eastAsia" w:ascii="宋体" w:hAnsi="宋体" w:eastAsia="宋体" w:cs="宋体"/>
                <w:b w:val="0"/>
                <w:color w:val="auto"/>
                <w:kern w:val="2"/>
                <w:sz w:val="24"/>
                <w:szCs w:val="24"/>
                <w:highlight w:val="none"/>
                <w:lang w:val="en-US" w:eastAsia="zh-CN" w:bidi="ar-SA"/>
              </w:rPr>
            </w:pPr>
          </w:p>
        </w:tc>
        <w:tc>
          <w:tcPr>
            <w:tcW w:w="1276" w:type="dxa"/>
            <w:vMerge w:val="continue"/>
            <w:vAlign w:val="center"/>
          </w:tcPr>
          <w:p w14:paraId="13001BE0">
            <w:pPr>
              <w:spacing w:line="320" w:lineRule="exact"/>
              <w:ind w:left="-38"/>
              <w:jc w:val="center"/>
              <w:rPr>
                <w:rFonts w:hint="eastAsia" w:ascii="宋体" w:hAnsi="宋体" w:eastAsia="宋体" w:cs="宋体"/>
                <w:b w:val="0"/>
                <w:color w:val="auto"/>
                <w:kern w:val="2"/>
                <w:sz w:val="24"/>
                <w:szCs w:val="24"/>
                <w:highlight w:val="none"/>
                <w:lang w:val="en-US" w:eastAsia="zh-CN" w:bidi="ar-SA"/>
              </w:rPr>
            </w:pPr>
          </w:p>
        </w:tc>
        <w:tc>
          <w:tcPr>
            <w:tcW w:w="1253" w:type="dxa"/>
            <w:vAlign w:val="center"/>
          </w:tcPr>
          <w:p w14:paraId="1FDF7BD0">
            <w:pPr>
              <w:spacing w:line="320" w:lineRule="exact"/>
              <w:ind w:left="-38"/>
              <w:jc w:val="left"/>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应急预案及措施</w:t>
            </w:r>
          </w:p>
        </w:tc>
        <w:tc>
          <w:tcPr>
            <w:tcW w:w="960" w:type="dxa"/>
            <w:vAlign w:val="center"/>
          </w:tcPr>
          <w:p w14:paraId="6152A5F4">
            <w:pPr>
              <w:spacing w:line="320" w:lineRule="exact"/>
              <w:ind w:left="-38"/>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15分</w:t>
            </w:r>
          </w:p>
        </w:tc>
        <w:tc>
          <w:tcPr>
            <w:tcW w:w="3866" w:type="dxa"/>
            <w:vAlign w:val="center"/>
          </w:tcPr>
          <w:p w14:paraId="4147B6D7">
            <w:pPr>
              <w:spacing w:line="320" w:lineRule="exact"/>
              <w:ind w:left="-38"/>
              <w:jc w:val="left"/>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供应商须结合对本项目的理解，针对第四章采购需求，提供应急预案及措施。</w:t>
            </w:r>
          </w:p>
          <w:p w14:paraId="1C6C5D7B">
            <w:pPr>
              <w:spacing w:line="320" w:lineRule="exact"/>
              <w:ind w:left="-38"/>
              <w:jc w:val="left"/>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方案内容应包括：①突发事件应急措施②应急处理预案③消防及安全防护预案④应急反应时间⑤应急保障人员</w:t>
            </w:r>
            <w:r>
              <w:rPr>
                <w:rFonts w:hint="eastAsia" w:ascii="宋体" w:hAnsi="宋体" w:eastAsia="宋体" w:cs="宋体"/>
                <w:color w:val="auto"/>
                <w:highlight w:val="none"/>
                <w:lang w:eastAsia="zh-CN"/>
              </w:rPr>
              <w:t>。</w:t>
            </w:r>
          </w:p>
          <w:p w14:paraId="745B5E8D">
            <w:pPr>
              <w:spacing w:line="320" w:lineRule="exact"/>
              <w:ind w:left="-38"/>
              <w:jc w:val="left"/>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每有1项内容进行了全面详细的阐述且满足采购需求，得3分；</w:t>
            </w:r>
          </w:p>
          <w:p w14:paraId="57D3B8B8">
            <w:pPr>
              <w:spacing w:line="320" w:lineRule="exact"/>
              <w:ind w:left="-38"/>
              <w:jc w:val="left"/>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每有1项内容虽阐述但并未贴合项目实际情况进行论述，或内容中未包括具体实施细节及措施，得1分；</w:t>
            </w:r>
          </w:p>
          <w:p w14:paraId="0B401BB0">
            <w:pPr>
              <w:spacing w:line="320" w:lineRule="exact"/>
              <w:ind w:left="-38"/>
              <w:jc w:val="left"/>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每有1项内容未进行阐述或不满足服务需求，得0分。</w:t>
            </w:r>
          </w:p>
        </w:tc>
        <w:tc>
          <w:tcPr>
            <w:tcW w:w="2214" w:type="dxa"/>
            <w:vAlign w:val="center"/>
          </w:tcPr>
          <w:p w14:paraId="705AE10A">
            <w:pPr>
              <w:spacing w:line="320" w:lineRule="exact"/>
              <w:ind w:left="-38"/>
              <w:jc w:val="center"/>
              <w:rPr>
                <w:rFonts w:hint="eastAsia" w:ascii="宋体" w:hAnsi="宋体" w:eastAsia="宋体" w:cs="宋体"/>
                <w:b w:val="0"/>
                <w:color w:val="auto"/>
                <w:kern w:val="2"/>
                <w:sz w:val="24"/>
                <w:szCs w:val="24"/>
                <w:highlight w:val="none"/>
                <w:lang w:val="en-US" w:eastAsia="zh-CN" w:bidi="ar-SA"/>
              </w:rPr>
            </w:pPr>
          </w:p>
          <w:p w14:paraId="5396F97E">
            <w:pPr>
              <w:spacing w:line="320" w:lineRule="exact"/>
              <w:ind w:left="-38"/>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w:t>
            </w:r>
          </w:p>
        </w:tc>
      </w:tr>
      <w:tr w14:paraId="321EF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4199" w:type="dxa"/>
            <w:gridSpan w:val="4"/>
            <w:vAlign w:val="center"/>
          </w:tcPr>
          <w:p w14:paraId="559DC22D">
            <w:pPr>
              <w:spacing w:line="320" w:lineRule="exact"/>
              <w:ind w:left="-38"/>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总计</w:t>
            </w:r>
          </w:p>
        </w:tc>
        <w:tc>
          <w:tcPr>
            <w:tcW w:w="6080" w:type="dxa"/>
            <w:gridSpan w:val="2"/>
            <w:vAlign w:val="center"/>
          </w:tcPr>
          <w:p w14:paraId="039B1F33">
            <w:pPr>
              <w:spacing w:line="320" w:lineRule="exact"/>
              <w:ind w:left="-38"/>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100分</w:t>
            </w:r>
          </w:p>
        </w:tc>
      </w:tr>
    </w:tbl>
    <w:p w14:paraId="01579C72">
      <w:pPr>
        <w:spacing w:line="320" w:lineRule="exact"/>
        <w:ind w:left="-38"/>
        <w:rPr>
          <w:rFonts w:hint="eastAsia" w:ascii="宋体" w:hAnsi="宋体" w:eastAsia="宋体" w:cs="宋体"/>
          <w:color w:val="auto"/>
          <w:szCs w:val="21"/>
          <w:highlight w:val="none"/>
        </w:rPr>
      </w:pPr>
    </w:p>
    <w:tbl>
      <w:tblPr>
        <w:tblStyle w:val="45"/>
        <w:tblpPr w:leftFromText="180" w:rightFromText="180" w:vertAnchor="text" w:tblpX="9155" w:tblpY="166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
      </w:tblGrid>
      <w:tr w14:paraId="15ECC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324" w:type="dxa"/>
          </w:tcPr>
          <w:p w14:paraId="2837E0B8">
            <w:pPr>
              <w:widowControl/>
              <w:jc w:val="left"/>
              <w:rPr>
                <w:rFonts w:hint="eastAsia" w:ascii="宋体" w:hAnsi="宋体" w:eastAsia="宋体" w:cs="宋体"/>
                <w:b/>
                <w:color w:val="auto"/>
                <w:sz w:val="36"/>
                <w:szCs w:val="36"/>
                <w:highlight w:val="none"/>
                <w:vertAlign w:val="baseline"/>
              </w:rPr>
            </w:pPr>
          </w:p>
        </w:tc>
      </w:tr>
    </w:tbl>
    <w:p w14:paraId="4887A112">
      <w:pPr>
        <w:spacing w:line="360" w:lineRule="auto"/>
        <w:jc w:val="center"/>
        <w:outlineLvl w:val="0"/>
        <w:rPr>
          <w:rFonts w:hint="eastAsia" w:ascii="宋体" w:hAnsi="宋体" w:eastAsia="宋体" w:cs="宋体"/>
          <w:b/>
          <w:color w:val="auto"/>
          <w:sz w:val="36"/>
          <w:szCs w:val="36"/>
          <w:highlight w:val="none"/>
        </w:rPr>
      </w:pPr>
      <w:bookmarkStart w:id="667" w:name="_Toc4851"/>
      <w:r>
        <w:rPr>
          <w:rFonts w:hint="eastAsia" w:ascii="宋体" w:hAnsi="宋体" w:eastAsia="宋体" w:cs="宋体"/>
          <w:b/>
          <w:color w:val="auto"/>
          <w:sz w:val="36"/>
          <w:szCs w:val="36"/>
          <w:highlight w:val="none"/>
        </w:rPr>
        <w:t>第四章   采购需求</w:t>
      </w:r>
      <w:bookmarkEnd w:id="667"/>
    </w:p>
    <w:p w14:paraId="6F3217A4">
      <w:pPr>
        <w:spacing w:line="360" w:lineRule="auto"/>
        <w:contextualSpacing/>
        <w:rPr>
          <w:rFonts w:hint="eastAsia" w:ascii="宋体" w:hAnsi="宋体" w:eastAsia="宋体" w:cs="宋体"/>
          <w:color w:val="auto"/>
          <w:sz w:val="24"/>
          <w:highlight w:val="none"/>
        </w:rPr>
      </w:pPr>
    </w:p>
    <w:p w14:paraId="6F1BB8DB">
      <w:pPr>
        <w:pStyle w:val="74"/>
        <w:numPr>
          <w:ilvl w:val="0"/>
          <w:numId w:val="13"/>
        </w:numPr>
        <w:spacing w:line="360" w:lineRule="auto"/>
        <w:ind w:firstLineChars="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w:t>
      </w:r>
    </w:p>
    <w:p w14:paraId="548C3AED">
      <w:pPr>
        <w:pStyle w:val="74"/>
        <w:numPr>
          <w:ilvl w:val="0"/>
          <w:numId w:val="14"/>
        </w:numPr>
        <w:spacing w:line="360" w:lineRule="auto"/>
        <w:ind w:left="420" w:leftChars="200" w:firstLine="0" w:firstLineChars="0"/>
        <w:contextualSpacing/>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项目概况</w:t>
      </w:r>
    </w:p>
    <w:p w14:paraId="757B00DC">
      <w:pPr>
        <w:keepNext w:val="0"/>
        <w:keepLines w:val="0"/>
        <w:pageBreakBefore w:val="0"/>
        <w:widowControl/>
        <w:kinsoku/>
        <w:wordWrap/>
        <w:overflowPunct/>
        <w:topLinePunct w:val="0"/>
        <w:autoSpaceDE/>
        <w:autoSpaceDN/>
        <w:bidi w:val="0"/>
        <w:adjustRightInd w:val="0"/>
        <w:snapToGrid w:val="0"/>
        <w:spacing w:line="360" w:lineRule="auto"/>
        <w:ind w:left="3" w:leftChars="0" w:firstLine="636" w:firstLineChars="265"/>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根据《中华人民共和国行政强制法》第二十六条规定，依法查封、扣押或者拖移至停车场的车辆，在法律规定的保管期(交通违法车辆扣押期限120日）内，产生的停车费用由行政机关承担。</w:t>
      </w:r>
    </w:p>
    <w:p w14:paraId="6E307A92">
      <w:pPr>
        <w:keepNext w:val="0"/>
        <w:keepLines w:val="0"/>
        <w:pageBreakBefore w:val="0"/>
        <w:widowControl/>
        <w:kinsoku/>
        <w:wordWrap/>
        <w:overflowPunct/>
        <w:topLinePunct w:val="0"/>
        <w:autoSpaceDE/>
        <w:autoSpaceDN/>
        <w:bidi w:val="0"/>
        <w:adjustRightInd w:val="0"/>
        <w:snapToGrid w:val="0"/>
        <w:spacing w:line="360" w:lineRule="auto"/>
        <w:ind w:left="3" w:leftChars="0" w:firstLine="475" w:firstLineChars="198"/>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24"/>
          <w:highlight w:val="none"/>
          <w:lang w:eastAsia="zh-CN"/>
        </w:rPr>
        <w:t xml:space="preserve">  交通支队扣留、扣押停车保管项目是对违法车辆，事故车辆保管服务项目。停车场不得停放其他社会车辆，违法车辆与事故车辆分区停放，按要求配备停车场所需设备及人员，专人24小时巡视，即时对进出车辆登记及系统录入，对存放场内车辆按要求进行清洗，对事故车辆零配件按要求进行保管登记。配合支队完成各项停车保管工作。</w:t>
      </w:r>
    </w:p>
    <w:p w14:paraId="09A22E4D">
      <w:pPr>
        <w:keepNext w:val="0"/>
        <w:keepLines w:val="0"/>
        <w:pageBreakBefore w:val="0"/>
        <w:widowControl/>
        <w:kinsoku/>
        <w:wordWrap/>
        <w:overflowPunct/>
        <w:topLinePunct w:val="0"/>
        <w:autoSpaceDE/>
        <w:autoSpaceDN/>
        <w:bidi w:val="0"/>
        <w:adjustRightInd w:val="0"/>
        <w:snapToGrid w:val="0"/>
        <w:spacing w:line="360" w:lineRule="auto"/>
        <w:ind w:left="0" w:leftChars="0" w:firstLine="717" w:firstLineChars="299"/>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为保障顺义区日常交通执法整治工作，根据顺义区整体现状，结合实际工作需要，拟将本区划分为三个区域分别设置依法扣留扣押车辆的停车场地，分别为：城东地区停车场、城中心</w:t>
      </w:r>
      <w:r>
        <w:rPr>
          <w:rFonts w:hint="eastAsia" w:ascii="宋体" w:hAnsi="宋体" w:eastAsia="宋体" w:cs="宋体"/>
          <w:color w:val="auto"/>
          <w:sz w:val="24"/>
          <w:highlight w:val="none"/>
        </w:rPr>
        <w:t>区停车场和城西地区停车场。</w:t>
      </w:r>
    </w:p>
    <w:p w14:paraId="0461E411">
      <w:pPr>
        <w:pStyle w:val="74"/>
        <w:keepNext w:val="0"/>
        <w:keepLines w:val="0"/>
        <w:pageBreakBefore w:val="0"/>
        <w:widowControl w:val="0"/>
        <w:kinsoku/>
        <w:wordWrap/>
        <w:overflowPunct/>
        <w:topLinePunct w:val="0"/>
        <w:autoSpaceDE w:val="0"/>
        <w:autoSpaceDN w:val="0"/>
        <w:bidi w:val="0"/>
        <w:adjustRightInd w:val="0"/>
        <w:snapToGrid/>
        <w:spacing w:line="360" w:lineRule="auto"/>
        <w:ind w:firstLine="56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 项目地点：北京市顺义区</w:t>
      </w:r>
    </w:p>
    <w:p w14:paraId="3FDECEFF">
      <w:pPr>
        <w:pStyle w:val="74"/>
        <w:numPr>
          <w:ilvl w:val="0"/>
          <w:numId w:val="13"/>
        </w:numPr>
        <w:spacing w:line="360" w:lineRule="auto"/>
        <w:ind w:firstLineChars="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服务内容及</w:t>
      </w:r>
      <w:r>
        <w:rPr>
          <w:rFonts w:hint="eastAsia" w:ascii="宋体" w:hAnsi="宋体" w:eastAsia="宋体" w:cs="宋体"/>
          <w:b/>
          <w:color w:val="auto"/>
          <w:sz w:val="24"/>
          <w:szCs w:val="24"/>
          <w:highlight w:val="none"/>
        </w:rPr>
        <w:t>要求</w:t>
      </w:r>
    </w:p>
    <w:p w14:paraId="3B737EB5">
      <w:pPr>
        <w:keepNext w:val="0"/>
        <w:keepLines w:val="0"/>
        <w:pageBreakBefore w:val="0"/>
        <w:widowControl w:val="0"/>
        <w:kinsoku/>
        <w:wordWrap/>
        <w:overflowPunct/>
        <w:topLinePunct w:val="0"/>
        <w:autoSpaceDE/>
        <w:autoSpaceDN/>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基本要求</w:t>
      </w:r>
    </w:p>
    <w:p w14:paraId="5132459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拟将本区划分为三个区域分别设置依法扣留扣押车辆的停车场地，分别为：城东地区停车场、城中心区停车场和城西地区停车场。交通涉法、涉案停车场设计为小客车停车位（停车位尺寸为5.5*2.6m）、非机动车停车位、摩托车停车位、中重型货车停车位（停车位尺寸为16*3.5m），设计为垂直式停车位。停车场服务时间：24小时对外开放涉案、涉法车辆接收发还业务。</w:t>
      </w:r>
    </w:p>
    <w:p w14:paraId="3941F14C">
      <w:pPr>
        <w:keepNext w:val="0"/>
        <w:keepLines w:val="0"/>
        <w:pageBreakBefore w:val="0"/>
        <w:widowControl w:val="0"/>
        <w:kinsoku/>
        <w:wordWrap/>
        <w:overflowPunct/>
        <w:topLinePunct w:val="0"/>
        <w:autoSpaceDE/>
        <w:autoSpaceDN/>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服务期及服务地点</w:t>
      </w:r>
    </w:p>
    <w:p w14:paraId="00230D7B">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服务期：自合同签订生效之日起12个月。</w:t>
      </w:r>
    </w:p>
    <w:p w14:paraId="5ED077DC">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服务地点：采购人指定地点。</w:t>
      </w:r>
    </w:p>
    <w:p w14:paraId="18BE5046">
      <w:pPr>
        <w:pStyle w:val="4"/>
        <w:numPr>
          <w:ilvl w:val="0"/>
          <w:numId w:val="0"/>
        </w:numPr>
        <w:ind w:leftChars="0"/>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三、服务需求</w:t>
      </w:r>
    </w:p>
    <w:p w14:paraId="3598BEB3">
      <w:pPr>
        <w:pageBreakBefore w:val="0"/>
        <w:widowControl w:val="0"/>
        <w:kinsoku/>
        <w:wordWrap/>
        <w:overflowPunct/>
        <w:topLinePunct w:val="0"/>
        <w:bidi w:val="0"/>
        <w:adjustRightInd w:val="0"/>
        <w:snapToGrid w:val="0"/>
        <w:spacing w:line="360" w:lineRule="auto"/>
        <w:ind w:firstLine="241" w:firstLineChars="1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第一包：</w:t>
      </w:r>
      <w:r>
        <w:rPr>
          <w:rFonts w:hint="eastAsia" w:ascii="宋体" w:hAnsi="宋体" w:eastAsia="宋体" w:cs="宋体"/>
          <w:b/>
          <w:bCs/>
          <w:color w:val="auto"/>
          <w:sz w:val="24"/>
          <w:highlight w:val="none"/>
        </w:rPr>
        <w:t>城东地区停车场</w:t>
      </w:r>
    </w:p>
    <w:p w14:paraId="3CA30853">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停车场预设区域：顺义城东区域，停车场面积不少于50亩。</w:t>
      </w:r>
    </w:p>
    <w:p w14:paraId="537BD9BE">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停车场基本设置及人员配置</w:t>
      </w:r>
    </w:p>
    <w:p w14:paraId="560038AE">
      <w:pPr>
        <w:pageBreakBefore w:val="0"/>
        <w:widowControl w:val="0"/>
        <w:kinsoku/>
        <w:wordWrap/>
        <w:overflowPunct/>
        <w:topLinePunct w:val="0"/>
        <w:bidi w:val="0"/>
        <w:adjustRightInd w:val="0"/>
        <w:snapToGrid w:val="0"/>
        <w:spacing w:line="360" w:lineRule="auto"/>
        <w:ind w:left="840" w:leftChars="342" w:hanging="122" w:hangingChars="51"/>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2.1</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交通涉法、涉案停车场为24小时停车场，设计车辆出入口为1个（按照采购人要求进行改造），服务时间为24小时开放，停车场内设置24小时中控室1个。</w:t>
      </w:r>
    </w:p>
    <w:p w14:paraId="6A259B73">
      <w:pPr>
        <w:pageBreakBefore w:val="0"/>
        <w:widowControl w:val="0"/>
        <w:kinsoku/>
        <w:wordWrap/>
        <w:overflowPunct/>
        <w:topLinePunct w:val="0"/>
        <w:bidi w:val="0"/>
        <w:adjustRightInd w:val="0"/>
        <w:snapToGrid w:val="0"/>
        <w:spacing w:line="360" w:lineRule="auto"/>
        <w:ind w:left="840" w:leftChars="342" w:hanging="122" w:hangingChars="51"/>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2.2</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为保障停车场良好的运营和服务质量，根据场内车位数量与预设交通组织模式及对该停车场消防安全、场内巡视、涉案车辆处理人员等要求，人员需求如下：</w:t>
      </w:r>
    </w:p>
    <w:p w14:paraId="57C3A2F3">
      <w:pPr>
        <w:pageBreakBefore w:val="0"/>
        <w:widowControl w:val="0"/>
        <w:kinsoku/>
        <w:wordWrap/>
        <w:overflowPunct/>
        <w:topLinePunct w:val="0"/>
        <w:bidi w:val="0"/>
        <w:adjustRightInd w:val="0"/>
        <w:snapToGrid w:val="0"/>
        <w:spacing w:line="360" w:lineRule="auto"/>
        <w:ind w:left="840" w:leftChars="342" w:hanging="122" w:hangingChars="51"/>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（1）项目经理1人，负责总协调、与采购人对接、现场管理和与产权方协调等工作；</w:t>
      </w:r>
    </w:p>
    <w:p w14:paraId="6337BA04">
      <w:pPr>
        <w:pageBreakBefore w:val="0"/>
        <w:widowControl w:val="0"/>
        <w:kinsoku/>
        <w:wordWrap/>
        <w:overflowPunct/>
        <w:topLinePunct w:val="0"/>
        <w:bidi w:val="0"/>
        <w:adjustRightInd w:val="0"/>
        <w:snapToGrid w:val="0"/>
        <w:spacing w:line="360" w:lineRule="auto"/>
        <w:ind w:left="840" w:leftChars="342" w:hanging="122" w:hangingChars="51"/>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（2）涉法、涉案车辆管理员2人，负责监控室值班，对扣留扣押车辆进出场登记系统录入（进场车辆系统录入，出厂放车手续审验系统录入）；</w:t>
      </w:r>
    </w:p>
    <w:p w14:paraId="395DE257">
      <w:pPr>
        <w:pageBreakBefore w:val="0"/>
        <w:widowControl w:val="0"/>
        <w:kinsoku/>
        <w:wordWrap/>
        <w:overflowPunct/>
        <w:topLinePunct w:val="0"/>
        <w:bidi w:val="0"/>
        <w:adjustRightInd w:val="0"/>
        <w:snapToGrid w:val="0"/>
        <w:spacing w:line="360" w:lineRule="auto"/>
        <w:ind w:left="840" w:leftChars="342" w:hanging="122" w:hangingChars="51"/>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（3）停车场巡视管理员6人，负责监控室值班并对车辆巡视、防火、防盗及车辆停放位置指挥等工作。</w:t>
      </w:r>
    </w:p>
    <w:p w14:paraId="334DF948">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场地基本设施配置要求</w:t>
      </w:r>
    </w:p>
    <w:p w14:paraId="394BBE40">
      <w:pPr>
        <w:pageBreakBefore w:val="0"/>
        <w:widowControl w:val="0"/>
        <w:kinsoku/>
        <w:wordWrap/>
        <w:overflowPunct/>
        <w:topLinePunct w:val="0"/>
        <w:bidi w:val="0"/>
        <w:adjustRightInd w:val="0"/>
        <w:snapToGrid w:val="0"/>
        <w:spacing w:line="360" w:lineRule="auto"/>
        <w:ind w:left="848" w:leftChars="404" w:firstLine="1"/>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要求停车场车位不少于200个停车位，具体设置要求如下：</w:t>
      </w:r>
    </w:p>
    <w:p w14:paraId="6B48806A">
      <w:pPr>
        <w:pageBreakBefore w:val="0"/>
        <w:widowControl w:val="0"/>
        <w:numPr>
          <w:ilvl w:val="0"/>
          <w:numId w:val="15"/>
        </w:numPr>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按照交通涉法、涉案停车场要求，本停车场必须为封闭式管理，对停车场安装独立围栏，监控、封闭式车库等设计,停车场地面硬化；</w:t>
      </w:r>
    </w:p>
    <w:p w14:paraId="66F4ABC3">
      <w:pPr>
        <w:pageBreakBefore w:val="0"/>
        <w:widowControl w:val="0"/>
        <w:numPr>
          <w:ilvl w:val="0"/>
          <w:numId w:val="15"/>
        </w:numPr>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业务办公用房1处，包含满足服务人员的办公场地、监控室、职工宿舍、活动房等；</w:t>
      </w:r>
    </w:p>
    <w:p w14:paraId="6988E025">
      <w:pPr>
        <w:pageBreakBefore w:val="0"/>
        <w:widowControl w:val="0"/>
        <w:numPr>
          <w:ilvl w:val="0"/>
          <w:numId w:val="15"/>
        </w:numPr>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护栏围挡不少于530m；</w:t>
      </w:r>
    </w:p>
    <w:p w14:paraId="7A698B5B">
      <w:pPr>
        <w:pageBreakBefore w:val="0"/>
        <w:widowControl w:val="0"/>
        <w:numPr>
          <w:ilvl w:val="0"/>
          <w:numId w:val="15"/>
        </w:numPr>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封闭车库不少于156m²；</w:t>
      </w:r>
    </w:p>
    <w:p w14:paraId="06C6F5A2">
      <w:pPr>
        <w:pageBreakBefore w:val="0"/>
        <w:widowControl w:val="0"/>
        <w:numPr>
          <w:ilvl w:val="0"/>
          <w:numId w:val="15"/>
        </w:numPr>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照明设施不少于9组；</w:t>
      </w:r>
    </w:p>
    <w:p w14:paraId="79D591BB">
      <w:pPr>
        <w:pageBreakBefore w:val="0"/>
        <w:widowControl w:val="0"/>
        <w:numPr>
          <w:ilvl w:val="0"/>
          <w:numId w:val="15"/>
        </w:numPr>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安防监控不少于1套；</w:t>
      </w:r>
    </w:p>
    <w:p w14:paraId="41552351">
      <w:pPr>
        <w:pageBreakBefore w:val="0"/>
        <w:widowControl w:val="0"/>
        <w:numPr>
          <w:ilvl w:val="0"/>
          <w:numId w:val="15"/>
        </w:numPr>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导向箭头；</w:t>
      </w:r>
    </w:p>
    <w:p w14:paraId="4949489C">
      <w:pPr>
        <w:pageBreakBefore w:val="0"/>
        <w:widowControl w:val="0"/>
        <w:numPr>
          <w:ilvl w:val="0"/>
          <w:numId w:val="15"/>
        </w:numPr>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禁停网格线、道路边缘线；</w:t>
      </w:r>
    </w:p>
    <w:p w14:paraId="3181BA78">
      <w:pPr>
        <w:pageBreakBefore w:val="0"/>
        <w:widowControl w:val="0"/>
        <w:numPr>
          <w:ilvl w:val="0"/>
          <w:numId w:val="15"/>
        </w:numPr>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标识标牌不少于30组；</w:t>
      </w:r>
    </w:p>
    <w:p w14:paraId="6CCB1F91">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（10）</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防汛沙袋30*70不少于70袋；</w:t>
      </w:r>
    </w:p>
    <w:p w14:paraId="0C0012DD">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应急LED照明手电不少于2个；</w:t>
      </w:r>
    </w:p>
    <w:p w14:paraId="2E8974E0">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（12）</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铁锹1.5m手柄不少于2把；</w:t>
      </w:r>
    </w:p>
    <w:p w14:paraId="58743CE2">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备用雨水泵750W不少于1台；</w:t>
      </w:r>
    </w:p>
    <w:p w14:paraId="4E12EF34">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备用水带（1寸口径20m）不少于2盘；</w:t>
      </w:r>
    </w:p>
    <w:p w14:paraId="4263E898">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（15）</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雨衣（安全反光套装）不少于9件；</w:t>
      </w:r>
    </w:p>
    <w:p w14:paraId="23A983FF">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（16）</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雨鞋不少于9双；</w:t>
      </w:r>
    </w:p>
    <w:p w14:paraId="5EE55050">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（17）</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雨伞（直柄）不少于9把；</w:t>
      </w:r>
    </w:p>
    <w:p w14:paraId="6125F8D5">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（18）</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雨水篦子，井盖钩子（圆纹钢1米）不少于1把；</w:t>
      </w:r>
    </w:p>
    <w:p w14:paraId="2A264DDB">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（19）</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警戒线（100m红白）不少于2盘；</w:t>
      </w:r>
    </w:p>
    <w:p w14:paraId="5A4B10B0">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停车场内用电设备配置</w:t>
      </w:r>
    </w:p>
    <w:p w14:paraId="7D5D075D">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eastAsia="宋体" w:cs="宋体"/>
          <w:bCs/>
          <w:color w:val="auto"/>
          <w:sz w:val="24"/>
          <w:highlight w:val="none"/>
        </w:rPr>
        <w:tab/>
      </w:r>
      <w:r>
        <w:rPr>
          <w:rFonts w:hint="eastAsia" w:ascii="宋体" w:hAnsi="宋体" w:eastAsia="宋体" w:cs="宋体"/>
          <w:color w:val="auto"/>
          <w:kern w:val="0"/>
          <w:sz w:val="24"/>
          <w:highlight w:val="none"/>
        </w:rPr>
        <w:t>柜式空调 不少于1台；</w:t>
      </w:r>
    </w:p>
    <w:p w14:paraId="0D39B5FC">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r>
        <w:rPr>
          <w:rFonts w:hint="eastAsia" w:ascii="宋体" w:hAnsi="宋体" w:eastAsia="宋体" w:cs="宋体"/>
          <w:bCs/>
          <w:color w:val="auto"/>
          <w:sz w:val="24"/>
          <w:highlight w:val="none"/>
        </w:rPr>
        <w:tab/>
      </w:r>
      <w:r>
        <w:rPr>
          <w:rFonts w:hint="eastAsia" w:ascii="宋体" w:hAnsi="宋体" w:eastAsia="宋体" w:cs="宋体"/>
          <w:color w:val="auto"/>
          <w:kern w:val="0"/>
          <w:sz w:val="24"/>
          <w:highlight w:val="none"/>
        </w:rPr>
        <w:t>壁挂式空调 不少于1台；</w:t>
      </w:r>
    </w:p>
    <w:p w14:paraId="3F1D3601">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r>
        <w:rPr>
          <w:rFonts w:hint="eastAsia" w:ascii="宋体" w:hAnsi="宋体" w:eastAsia="宋体" w:cs="宋体"/>
          <w:bCs/>
          <w:color w:val="auto"/>
          <w:sz w:val="24"/>
          <w:highlight w:val="none"/>
        </w:rPr>
        <w:tab/>
      </w:r>
      <w:r>
        <w:rPr>
          <w:rFonts w:hint="eastAsia" w:ascii="宋体" w:hAnsi="宋体" w:eastAsia="宋体" w:cs="宋体"/>
          <w:color w:val="auto"/>
          <w:kern w:val="0"/>
          <w:sz w:val="24"/>
          <w:highlight w:val="none"/>
        </w:rPr>
        <w:t>监控室：监视器、监控机房设备等 不少于1套；</w:t>
      </w:r>
    </w:p>
    <w:p w14:paraId="2DFAA8B2">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w:t>
      </w:r>
      <w:r>
        <w:rPr>
          <w:rFonts w:hint="eastAsia" w:ascii="宋体" w:hAnsi="宋体" w:eastAsia="宋体" w:cs="宋体"/>
          <w:bCs/>
          <w:color w:val="auto"/>
          <w:sz w:val="24"/>
          <w:highlight w:val="none"/>
        </w:rPr>
        <w:tab/>
      </w:r>
      <w:r>
        <w:rPr>
          <w:rFonts w:hint="eastAsia" w:ascii="宋体" w:hAnsi="宋体" w:eastAsia="宋体" w:cs="宋体"/>
          <w:color w:val="auto"/>
          <w:kern w:val="0"/>
          <w:sz w:val="24"/>
          <w:highlight w:val="none"/>
        </w:rPr>
        <w:t>监控点位（包含摄像机、交换机等） 不少于10个；</w:t>
      </w:r>
    </w:p>
    <w:p w14:paraId="2C42473E">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w:t>
      </w:r>
      <w:r>
        <w:rPr>
          <w:rFonts w:hint="eastAsia" w:ascii="宋体" w:hAnsi="宋体" w:eastAsia="宋体" w:cs="宋体"/>
          <w:bCs/>
          <w:color w:val="auto"/>
          <w:sz w:val="24"/>
          <w:highlight w:val="none"/>
        </w:rPr>
        <w:tab/>
      </w:r>
      <w:r>
        <w:rPr>
          <w:rFonts w:hint="eastAsia" w:ascii="宋体" w:hAnsi="宋体" w:eastAsia="宋体" w:cs="宋体"/>
          <w:color w:val="auto"/>
          <w:kern w:val="0"/>
          <w:sz w:val="24"/>
          <w:highlight w:val="none"/>
        </w:rPr>
        <w:t>其他用电设备（照明、排风扇、办公设备等） 不少于3套。</w:t>
      </w:r>
    </w:p>
    <w:p w14:paraId="42E34108">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停车场保险</w:t>
      </w:r>
    </w:p>
    <w:p w14:paraId="42DD26B3">
      <w:pPr>
        <w:pageBreakBefore w:val="0"/>
        <w:widowControl w:val="0"/>
        <w:kinsoku/>
        <w:wordWrap/>
        <w:overflowPunct/>
        <w:topLinePunct w:val="0"/>
        <w:bidi w:val="0"/>
        <w:adjustRightInd w:val="0"/>
        <w:snapToGrid w:val="0"/>
        <w:spacing w:line="360" w:lineRule="auto"/>
        <w:ind w:left="840" w:leftChars="342" w:hanging="122" w:hangingChars="51"/>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5.1</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成交人须为停车场车位投保，险种为车位责任保险和公众责任险。</w:t>
      </w:r>
    </w:p>
    <w:p w14:paraId="78D1111D">
      <w:pPr>
        <w:pageBreakBefore w:val="0"/>
        <w:widowControl w:val="0"/>
        <w:kinsoku/>
        <w:wordWrap/>
        <w:overflowPunct/>
        <w:topLinePunct w:val="0"/>
        <w:bidi w:val="0"/>
        <w:adjustRightInd w:val="0"/>
        <w:snapToGrid w:val="0"/>
        <w:spacing w:line="360" w:lineRule="auto"/>
        <w:ind w:left="840" w:leftChars="342" w:hanging="122" w:hangingChars="51"/>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5.2</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其中车位责任险以车位为单位投保。赔付额度为累计限额130万，每次事故30万。免赔：盗抢每次事故免赔20%。非盗抢：每次事故免赔500元或损失的10%，两者以高为准。</w:t>
      </w:r>
    </w:p>
    <w:p w14:paraId="2EBF8518">
      <w:pPr>
        <w:pageBreakBefore w:val="0"/>
        <w:widowControl w:val="0"/>
        <w:kinsoku/>
        <w:wordWrap/>
        <w:overflowPunct/>
        <w:topLinePunct w:val="0"/>
        <w:bidi w:val="0"/>
        <w:adjustRightInd w:val="0"/>
        <w:snapToGrid w:val="0"/>
        <w:spacing w:line="360" w:lineRule="auto"/>
        <w:ind w:left="840" w:leftChars="342" w:hanging="122" w:hangingChars="51"/>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5.3</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公众责任险以停车场为单位投保，范围累计赔偿限额200万，每次事故赔偿限额50万元，每次事故每人赔偿限额10万元，其中每次事故财产损失赔偿限额1万元。公众责任险主要负责赔付车场内设备设施与行人发生的事故纠纷，如：车场内未及时清理的积雪将客户摔伤，可以报人从责任险来解决。</w:t>
      </w:r>
    </w:p>
    <w:p w14:paraId="3241BF77">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服务期内的场地电费、水费应包含在应答报价中。</w:t>
      </w:r>
    </w:p>
    <w:p w14:paraId="5F401A0A">
      <w:pPr>
        <w:pStyle w:val="4"/>
        <w:pageBreakBefore w:val="0"/>
        <w:widowControl w:val="0"/>
        <w:numPr>
          <w:ilvl w:val="0"/>
          <w:numId w:val="0"/>
        </w:numPr>
        <w:kinsoku/>
        <w:wordWrap/>
        <w:overflowPunct/>
        <w:topLinePunct w:val="0"/>
        <w:bidi w:val="0"/>
        <w:adjustRightInd w:val="0"/>
        <w:spacing w:line="360" w:lineRule="auto"/>
        <w:ind w:lef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b w:val="0"/>
          <w:bCs/>
          <w:color w:val="auto"/>
          <w:kern w:val="2"/>
          <w:sz w:val="24"/>
          <w:szCs w:val="24"/>
          <w:highlight w:val="none"/>
          <w:lang w:val="en-US" w:eastAsia="zh-CN" w:bidi="ar-SA"/>
        </w:rPr>
        <w:t>7.其他要求</w:t>
      </w:r>
    </w:p>
    <w:p w14:paraId="1A202C4A">
      <w:pPr>
        <w:pStyle w:val="2"/>
        <w:pageBreakBefore w:val="0"/>
        <w:widowControl w:val="0"/>
        <w:numPr>
          <w:ilvl w:val="0"/>
          <w:numId w:val="0"/>
        </w:numPr>
        <w:kinsoku/>
        <w:wordWrap/>
        <w:overflowPunct/>
        <w:topLinePunct w:val="0"/>
        <w:bidi w:val="0"/>
        <w:adjustRightInd w:val="0"/>
        <w:spacing w:line="360" w:lineRule="auto"/>
        <w:ind w:leftChars="200" w:firstLine="240" w:firstLineChars="1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7.1 最高限价：</w:t>
      </w:r>
      <w:r>
        <w:rPr>
          <w:rFonts w:hint="eastAsia" w:hAnsi="宋体" w:cs="宋体"/>
          <w:color w:val="auto"/>
          <w:sz w:val="24"/>
          <w:highlight w:val="none"/>
          <w:u w:val="none"/>
          <w:lang w:eastAsia="zh-CN"/>
        </w:rPr>
        <w:t>116.932955</w:t>
      </w:r>
      <w:r>
        <w:rPr>
          <w:rFonts w:hint="eastAsia" w:ascii="宋体" w:hAnsi="宋体" w:eastAsia="宋体" w:cs="宋体"/>
          <w:color w:val="auto"/>
          <w:kern w:val="2"/>
          <w:sz w:val="24"/>
          <w:szCs w:val="24"/>
          <w:highlight w:val="none"/>
          <w:lang w:val="en-US" w:eastAsia="zh-CN" w:bidi="ar-SA"/>
        </w:rPr>
        <w:t>万元。</w:t>
      </w:r>
    </w:p>
    <w:p w14:paraId="08AD3C98">
      <w:pPr>
        <w:pStyle w:val="2"/>
        <w:pageBreakBefore w:val="0"/>
        <w:widowControl w:val="0"/>
        <w:numPr>
          <w:ilvl w:val="0"/>
          <w:numId w:val="0"/>
        </w:numPr>
        <w:kinsoku/>
        <w:wordWrap/>
        <w:overflowPunct/>
        <w:topLinePunct w:val="0"/>
        <w:bidi w:val="0"/>
        <w:adjustRightInd w:val="0"/>
        <w:spacing w:line="360" w:lineRule="auto"/>
        <w:ind w:leftChars="200" w:firstLine="240" w:firstLineChars="1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w:t>
      </w:r>
    </w:p>
    <w:p w14:paraId="650383CB">
      <w:pPr>
        <w:pStyle w:val="2"/>
        <w:pageBreakBefore w:val="0"/>
        <w:widowControl w:val="0"/>
        <w:numPr>
          <w:ilvl w:val="0"/>
          <w:numId w:val="0"/>
        </w:numPr>
        <w:kinsoku/>
        <w:wordWrap/>
        <w:overflowPunct/>
        <w:topLinePunct w:val="0"/>
        <w:bidi w:val="0"/>
        <w:adjustRightInd w:val="0"/>
        <w:spacing w:line="360" w:lineRule="auto"/>
        <w:ind w:firstLine="241" w:firstLineChars="100"/>
        <w:jc w:val="both"/>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第二包：</w:t>
      </w:r>
      <w:r>
        <w:rPr>
          <w:rFonts w:hint="eastAsia" w:ascii="宋体" w:hAnsi="宋体" w:eastAsia="宋体" w:cs="宋体"/>
          <w:b/>
          <w:bCs/>
          <w:color w:val="auto"/>
          <w:sz w:val="24"/>
          <w:highlight w:val="none"/>
        </w:rPr>
        <w:t>城中心区停车场</w:t>
      </w:r>
    </w:p>
    <w:p w14:paraId="0B7A8779">
      <w:pPr>
        <w:pageBreakBefore w:val="0"/>
        <w:widowControl w:val="0"/>
        <w:kinsoku/>
        <w:wordWrap/>
        <w:overflowPunct/>
        <w:topLinePunct w:val="0"/>
        <w:bidi w:val="0"/>
        <w:adjustRightInd w:val="0"/>
        <w:snapToGrid w:val="0"/>
        <w:spacing w:line="360" w:lineRule="auto"/>
        <w:ind w:left="850" w:hanging="849" w:hangingChars="354"/>
        <w:textAlignment w:val="auto"/>
        <w:rPr>
          <w:rFonts w:hint="eastAsia" w:ascii="宋体" w:hAnsi="宋体" w:eastAsia="宋体" w:cs="宋体"/>
          <w:bCs/>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1.</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停车场预设区域：顺义城中心区。</w:t>
      </w:r>
    </w:p>
    <w:p w14:paraId="3BB60CC9">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停车场基本设置及人员配置</w:t>
      </w:r>
    </w:p>
    <w:p w14:paraId="124D0E0F">
      <w:pPr>
        <w:pageBreakBefore w:val="0"/>
        <w:widowControl w:val="0"/>
        <w:kinsoku/>
        <w:wordWrap/>
        <w:overflowPunct/>
        <w:topLinePunct w:val="0"/>
        <w:bidi w:val="0"/>
        <w:adjustRightInd w:val="0"/>
        <w:snapToGrid w:val="0"/>
        <w:spacing w:line="360" w:lineRule="auto"/>
        <w:ind w:left="840" w:leftChars="342" w:hanging="122" w:hangingChars="51"/>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2.1</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交通涉法、涉案停车场为24小时停车场，设计车辆出入口为1个（按照采购人要求进行改造），服务时间为24小时开放，停车场内设置24小时中控室1个。</w:t>
      </w:r>
    </w:p>
    <w:p w14:paraId="2E1355F0">
      <w:pPr>
        <w:pageBreakBefore w:val="0"/>
        <w:widowControl w:val="0"/>
        <w:kinsoku/>
        <w:wordWrap/>
        <w:overflowPunct/>
        <w:topLinePunct w:val="0"/>
        <w:bidi w:val="0"/>
        <w:adjustRightInd w:val="0"/>
        <w:snapToGrid w:val="0"/>
        <w:spacing w:line="360" w:lineRule="auto"/>
        <w:ind w:left="840" w:leftChars="342" w:hanging="122" w:hangingChars="51"/>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2.2</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为保障停车场良好的运营和服务质量，根据场内车位数量与预设交通组织模式及对该停车场消防安全、场内巡视、涉案车辆处理人员等要求，人员需求如下：</w:t>
      </w:r>
    </w:p>
    <w:p w14:paraId="4E3E2ECA">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项目经理1人，负责总协调、与采购人对接、现场管理和与产权方协调等工作；</w:t>
      </w:r>
    </w:p>
    <w:p w14:paraId="2CBDD5AD">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涉法、涉案车辆管理员3人，负责监控室值班，对扣留扣押车辆进出场登记系统录入（进场车辆系统录入，出厂放车手续审验系统录入）；</w:t>
      </w:r>
    </w:p>
    <w:p w14:paraId="452FD36C">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停车场巡视管理员6人，负责监控室值班并对车辆巡视、防火、防盗及车辆停放位置指挥等工作。</w:t>
      </w:r>
    </w:p>
    <w:p w14:paraId="13A04C93">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场地基本设施配置要求</w:t>
      </w:r>
    </w:p>
    <w:p w14:paraId="3BC53556">
      <w:pPr>
        <w:pageBreakBefore w:val="0"/>
        <w:widowControl w:val="0"/>
        <w:kinsoku/>
        <w:wordWrap/>
        <w:overflowPunct/>
        <w:topLinePunct w:val="0"/>
        <w:bidi w:val="0"/>
        <w:adjustRightInd w:val="0"/>
        <w:snapToGrid w:val="0"/>
        <w:spacing w:line="360" w:lineRule="auto"/>
        <w:ind w:left="848" w:leftChars="404"/>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要求停车场车位不少于300个停车位，具体设置要求如下：</w:t>
      </w:r>
    </w:p>
    <w:p w14:paraId="2714DB32">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按照交通涉法、涉案停车场要求，本停车场必须为封闭式管理，对停车场安装独立围栏，监控、封闭式车库等设计,停车场地面硬化；</w:t>
      </w:r>
    </w:p>
    <w:p w14:paraId="53627B79">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业务办公用房1处，包含满足服务人员的办公场地、监控室、职工宿舍、活动房等；</w:t>
      </w:r>
    </w:p>
    <w:p w14:paraId="57B805E2">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护栏围挡不少于630m；</w:t>
      </w:r>
    </w:p>
    <w:p w14:paraId="4427B48B">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封闭车库不少于156m²；</w:t>
      </w:r>
    </w:p>
    <w:p w14:paraId="43997F04">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照明设施不少于12组；</w:t>
      </w:r>
    </w:p>
    <w:p w14:paraId="4CB89540">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安防监控不少于1套；</w:t>
      </w:r>
    </w:p>
    <w:p w14:paraId="58EABBA5">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（7）</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导向箭头；</w:t>
      </w:r>
    </w:p>
    <w:p w14:paraId="0BBE9007">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（8）</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禁停网格线、道路边缘线；</w:t>
      </w:r>
    </w:p>
    <w:p w14:paraId="1F62F6D3">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（9）</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标识标牌不少于30组；</w:t>
      </w:r>
    </w:p>
    <w:p w14:paraId="798148F8">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（10）</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防汛沙袋30*70不少于100袋；</w:t>
      </w:r>
    </w:p>
    <w:p w14:paraId="06E77EBB">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应急LED照明手电不少于3个；</w:t>
      </w:r>
    </w:p>
    <w:p w14:paraId="759AC720">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（12）</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铁锹1.5m手柄不少于2把；</w:t>
      </w:r>
    </w:p>
    <w:p w14:paraId="69812739">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备用雨水泵750W 不少于1台；</w:t>
      </w:r>
    </w:p>
    <w:p w14:paraId="61D9F93E">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备用水带（1寸口径20m）不少于3盘；</w:t>
      </w:r>
    </w:p>
    <w:p w14:paraId="41BF6EE9">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（15）</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雨衣（安全反光套装）不少于20件；</w:t>
      </w:r>
    </w:p>
    <w:p w14:paraId="0D3FD086">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（16）</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雨鞋（回力HXL807）不少于20双；</w:t>
      </w:r>
    </w:p>
    <w:p w14:paraId="3B2726B9">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（17）</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雨伞（直柄）不少于12把；</w:t>
      </w:r>
    </w:p>
    <w:p w14:paraId="231BAC3A">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（18）</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雨水篦子，井盖钩子（圆纹钢1米）不少于2把；</w:t>
      </w:r>
    </w:p>
    <w:p w14:paraId="1958388D">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（19）</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警戒线（100m红白）不少于2盘。</w:t>
      </w:r>
    </w:p>
    <w:p w14:paraId="16DED89A">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停车场内用电设备配置</w:t>
      </w:r>
    </w:p>
    <w:p w14:paraId="68D051CA">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eastAsia="宋体" w:cs="宋体"/>
          <w:bCs/>
          <w:color w:val="auto"/>
          <w:sz w:val="24"/>
          <w:highlight w:val="none"/>
        </w:rPr>
        <w:tab/>
      </w:r>
      <w:r>
        <w:rPr>
          <w:rFonts w:hint="eastAsia" w:ascii="宋体" w:hAnsi="宋体" w:eastAsia="宋体" w:cs="宋体"/>
          <w:color w:val="auto"/>
          <w:kern w:val="0"/>
          <w:sz w:val="24"/>
          <w:highlight w:val="none"/>
        </w:rPr>
        <w:t>柜式空调 不少于2台；</w:t>
      </w:r>
    </w:p>
    <w:p w14:paraId="30A0A7F4">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r>
        <w:rPr>
          <w:rFonts w:hint="eastAsia" w:ascii="宋体" w:hAnsi="宋体" w:eastAsia="宋体" w:cs="宋体"/>
          <w:bCs/>
          <w:color w:val="auto"/>
          <w:sz w:val="24"/>
          <w:highlight w:val="none"/>
        </w:rPr>
        <w:tab/>
      </w:r>
      <w:r>
        <w:rPr>
          <w:rFonts w:hint="eastAsia" w:ascii="宋体" w:hAnsi="宋体" w:eastAsia="宋体" w:cs="宋体"/>
          <w:color w:val="auto"/>
          <w:kern w:val="0"/>
          <w:sz w:val="24"/>
          <w:highlight w:val="none"/>
        </w:rPr>
        <w:t>壁挂式空调 不少于1台；</w:t>
      </w:r>
    </w:p>
    <w:p w14:paraId="2A6BDEE2">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r>
        <w:rPr>
          <w:rFonts w:hint="eastAsia" w:ascii="宋体" w:hAnsi="宋体" w:eastAsia="宋体" w:cs="宋体"/>
          <w:bCs/>
          <w:color w:val="auto"/>
          <w:sz w:val="24"/>
          <w:highlight w:val="none"/>
        </w:rPr>
        <w:tab/>
      </w:r>
      <w:r>
        <w:rPr>
          <w:rFonts w:hint="eastAsia" w:ascii="宋体" w:hAnsi="宋体" w:eastAsia="宋体" w:cs="宋体"/>
          <w:color w:val="auto"/>
          <w:kern w:val="0"/>
          <w:sz w:val="24"/>
          <w:highlight w:val="none"/>
        </w:rPr>
        <w:t>监控室：监视器、监控机房设备等 不少于1套；</w:t>
      </w:r>
    </w:p>
    <w:p w14:paraId="103A1B66">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w:t>
      </w:r>
      <w:r>
        <w:rPr>
          <w:rFonts w:hint="eastAsia" w:ascii="宋体" w:hAnsi="宋体" w:eastAsia="宋体" w:cs="宋体"/>
          <w:bCs/>
          <w:color w:val="auto"/>
          <w:sz w:val="24"/>
          <w:highlight w:val="none"/>
        </w:rPr>
        <w:tab/>
      </w:r>
      <w:r>
        <w:rPr>
          <w:rFonts w:hint="eastAsia" w:ascii="宋体" w:hAnsi="宋体" w:eastAsia="宋体" w:cs="宋体"/>
          <w:color w:val="auto"/>
          <w:kern w:val="0"/>
          <w:sz w:val="24"/>
          <w:highlight w:val="none"/>
        </w:rPr>
        <w:t>监控点位（包含摄像机、交换机等） 不少于16个；</w:t>
      </w:r>
    </w:p>
    <w:p w14:paraId="694B9FEC">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w:t>
      </w:r>
      <w:r>
        <w:rPr>
          <w:rFonts w:hint="eastAsia" w:ascii="宋体" w:hAnsi="宋体" w:eastAsia="宋体" w:cs="宋体"/>
          <w:bCs/>
          <w:color w:val="auto"/>
          <w:sz w:val="24"/>
          <w:highlight w:val="none"/>
        </w:rPr>
        <w:tab/>
      </w:r>
      <w:r>
        <w:rPr>
          <w:rFonts w:hint="eastAsia" w:ascii="宋体" w:hAnsi="宋体" w:eastAsia="宋体" w:cs="宋体"/>
          <w:color w:val="auto"/>
          <w:kern w:val="0"/>
          <w:sz w:val="24"/>
          <w:highlight w:val="none"/>
        </w:rPr>
        <w:t>其他用电设备（照明、排风扇、办公设备等） 不少于5套。</w:t>
      </w:r>
    </w:p>
    <w:p w14:paraId="7D330A76">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停车场保险</w:t>
      </w:r>
    </w:p>
    <w:p w14:paraId="568891D4">
      <w:pPr>
        <w:pageBreakBefore w:val="0"/>
        <w:widowControl w:val="0"/>
        <w:kinsoku/>
        <w:wordWrap/>
        <w:overflowPunct/>
        <w:topLinePunct w:val="0"/>
        <w:bidi w:val="0"/>
        <w:adjustRightInd w:val="0"/>
        <w:snapToGrid w:val="0"/>
        <w:spacing w:line="360" w:lineRule="auto"/>
        <w:ind w:left="840" w:leftChars="342" w:hanging="122" w:hangingChars="51"/>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5.1</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成交人须为停车场车位投保，险种为车位责任保险和公众责任险。</w:t>
      </w:r>
    </w:p>
    <w:p w14:paraId="003A0A8A">
      <w:pPr>
        <w:pageBreakBefore w:val="0"/>
        <w:widowControl w:val="0"/>
        <w:kinsoku/>
        <w:wordWrap/>
        <w:overflowPunct/>
        <w:topLinePunct w:val="0"/>
        <w:bidi w:val="0"/>
        <w:adjustRightInd w:val="0"/>
        <w:snapToGrid w:val="0"/>
        <w:spacing w:line="360" w:lineRule="auto"/>
        <w:ind w:left="840" w:leftChars="342" w:hanging="122" w:hangingChars="51"/>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5.2</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其中车位责任险以车位为单位投保。赔付额度为累计限额130万，每次事故30万。免赔：盗抢每次事故免赔20%。非盗抢：每次事故免赔500元或损失的10%，两者以高为准。</w:t>
      </w:r>
    </w:p>
    <w:p w14:paraId="66327D61">
      <w:pPr>
        <w:pageBreakBefore w:val="0"/>
        <w:widowControl w:val="0"/>
        <w:kinsoku/>
        <w:wordWrap/>
        <w:overflowPunct/>
        <w:topLinePunct w:val="0"/>
        <w:bidi w:val="0"/>
        <w:adjustRightInd w:val="0"/>
        <w:snapToGrid w:val="0"/>
        <w:spacing w:line="360" w:lineRule="auto"/>
        <w:ind w:left="840" w:leftChars="342" w:hanging="122" w:hangingChars="51"/>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5.3</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公众责任险以停车场为单位投保，范围累计赔偿限额200万，每次事故赔偿限额50万元，每次事故每人赔偿限额10万元，其中每次事故财产损失赔偿限额1万元。公众责任险主要负责赔付车场内设备设施与行人发生的事故纠纷，如：车场内未及时清理的积雪将客户摔伤，可以报人从责任险来解决。</w:t>
      </w:r>
    </w:p>
    <w:p w14:paraId="269D727D">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服务期内的场地电费、水费应包含在应答报价中。</w:t>
      </w:r>
    </w:p>
    <w:p w14:paraId="562B8AC9">
      <w:pPr>
        <w:pStyle w:val="4"/>
        <w:pageBreakBefore w:val="0"/>
        <w:widowControl w:val="0"/>
        <w:numPr>
          <w:ilvl w:val="0"/>
          <w:numId w:val="0"/>
        </w:numPr>
        <w:kinsoku/>
        <w:wordWrap/>
        <w:overflowPunct/>
        <w:topLinePunct w:val="0"/>
        <w:bidi w:val="0"/>
        <w:adjustRightInd w:val="0"/>
        <w:spacing w:line="360" w:lineRule="auto"/>
        <w:ind w:lef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b w:val="0"/>
          <w:bCs/>
          <w:color w:val="auto"/>
          <w:kern w:val="2"/>
          <w:sz w:val="24"/>
          <w:szCs w:val="24"/>
          <w:highlight w:val="none"/>
          <w:lang w:val="en-US" w:eastAsia="zh-CN" w:bidi="ar-SA"/>
        </w:rPr>
        <w:t>7.其他要求</w:t>
      </w:r>
    </w:p>
    <w:p w14:paraId="5D4158F8">
      <w:pPr>
        <w:pageBreakBefore w:val="0"/>
        <w:widowControl w:val="0"/>
        <w:kinsoku/>
        <w:wordWrap/>
        <w:overflowPunct/>
        <w:topLinePunct w:val="0"/>
        <w:bidi w:val="0"/>
        <w:adjustRightInd w:val="0"/>
        <w:snapToGrid w:val="0"/>
        <w:spacing w:line="360" w:lineRule="auto"/>
        <w:ind w:left="840" w:leftChars="342" w:hanging="122" w:hangingChars="51"/>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7.1 最高限价：</w:t>
      </w:r>
      <w:r>
        <w:rPr>
          <w:rFonts w:hint="eastAsia" w:ascii="宋体" w:hAnsi="宋体" w:cs="宋体"/>
          <w:color w:val="auto"/>
          <w:sz w:val="24"/>
          <w:highlight w:val="none"/>
          <w:u w:val="none"/>
          <w:lang w:eastAsia="zh-CN"/>
        </w:rPr>
        <w:t>112.496655</w:t>
      </w:r>
      <w:r>
        <w:rPr>
          <w:rFonts w:hint="eastAsia" w:ascii="宋体" w:hAnsi="宋体" w:eastAsia="宋体" w:cs="宋体"/>
          <w:color w:val="auto"/>
          <w:kern w:val="2"/>
          <w:sz w:val="24"/>
          <w:szCs w:val="24"/>
          <w:highlight w:val="none"/>
          <w:lang w:val="en-US" w:eastAsia="zh-CN" w:bidi="ar-SA"/>
        </w:rPr>
        <w:t>万元。</w:t>
      </w:r>
    </w:p>
    <w:p w14:paraId="3656C8FA">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highlight w:val="none"/>
          <w:lang w:eastAsia="zh-CN"/>
        </w:rPr>
      </w:pPr>
    </w:p>
    <w:p w14:paraId="61AA3F5B">
      <w:pPr>
        <w:pageBreakBefore w:val="0"/>
        <w:widowControl w:val="0"/>
        <w:kinsoku/>
        <w:wordWrap/>
        <w:overflowPunct/>
        <w:topLinePunct w:val="0"/>
        <w:bidi w:val="0"/>
        <w:adjustRightInd w:val="0"/>
        <w:snapToGrid w:val="0"/>
        <w:spacing w:line="360" w:lineRule="auto"/>
        <w:ind w:firstLine="241" w:firstLineChars="1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第三包：</w:t>
      </w:r>
      <w:r>
        <w:rPr>
          <w:rFonts w:hint="eastAsia" w:ascii="宋体" w:hAnsi="宋体" w:eastAsia="宋体" w:cs="宋体"/>
          <w:b/>
          <w:bCs/>
          <w:color w:val="auto"/>
          <w:sz w:val="24"/>
          <w:highlight w:val="none"/>
        </w:rPr>
        <w:t>城西地区停车场</w:t>
      </w:r>
    </w:p>
    <w:p w14:paraId="14AA0F8E">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停车场预设区域：顺义城西区域，停车场面积不少于70亩。</w:t>
      </w:r>
    </w:p>
    <w:p w14:paraId="237E6A8A">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停车场基本设置及人员配置</w:t>
      </w:r>
    </w:p>
    <w:p w14:paraId="13547363">
      <w:pPr>
        <w:pageBreakBefore w:val="0"/>
        <w:widowControl w:val="0"/>
        <w:kinsoku/>
        <w:wordWrap/>
        <w:overflowPunct/>
        <w:topLinePunct w:val="0"/>
        <w:bidi w:val="0"/>
        <w:adjustRightInd w:val="0"/>
        <w:snapToGrid w:val="0"/>
        <w:spacing w:line="360" w:lineRule="auto"/>
        <w:ind w:left="840" w:leftChars="342" w:hanging="122" w:hangingChars="51"/>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2.1</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交通涉法、涉案停车场为24小时停车场，设计车辆出入口为1个（按照采购人要求进行改造），服务时间为24小时开放，停车场内设置24小时中控室1个。</w:t>
      </w:r>
    </w:p>
    <w:p w14:paraId="2E5BED59">
      <w:pPr>
        <w:pageBreakBefore w:val="0"/>
        <w:widowControl w:val="0"/>
        <w:kinsoku/>
        <w:wordWrap/>
        <w:overflowPunct/>
        <w:topLinePunct w:val="0"/>
        <w:bidi w:val="0"/>
        <w:adjustRightInd w:val="0"/>
        <w:snapToGrid w:val="0"/>
        <w:spacing w:line="360" w:lineRule="auto"/>
        <w:ind w:left="840" w:leftChars="342" w:hanging="122" w:hangingChars="51"/>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2.2</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为保障停车场良好的运营和服务质量，根据场内车位数量与预设交通组织模式及对该停车场消防安全、场内巡视、涉案车辆处理人员等要求，人员需求如下：</w:t>
      </w:r>
    </w:p>
    <w:p w14:paraId="19C2753A">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（1）项目经理1人，负责总协调、与采购人对接、现场管理和与产权方协调等工作；</w:t>
      </w:r>
    </w:p>
    <w:p w14:paraId="3B21F740">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（2）涉法、涉案车辆管理员2人，负责监控室值班，对扣留扣押车辆进出场登记系统录入（进场车辆系统录入，出厂放车手续审验系统录入）；</w:t>
      </w:r>
    </w:p>
    <w:p w14:paraId="006CB0A8">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（3）停车场巡视管理员6人，负责监控室值班并对车辆巡视、防火、防盗及车辆停放位置指挥等工作。</w:t>
      </w:r>
    </w:p>
    <w:p w14:paraId="69BA2CDA">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场地基本设施配置要求</w:t>
      </w:r>
    </w:p>
    <w:p w14:paraId="691D4890">
      <w:pPr>
        <w:pageBreakBefore w:val="0"/>
        <w:widowControl w:val="0"/>
        <w:kinsoku/>
        <w:wordWrap/>
        <w:overflowPunct/>
        <w:topLinePunct w:val="0"/>
        <w:bidi w:val="0"/>
        <w:adjustRightInd w:val="0"/>
        <w:snapToGrid w:val="0"/>
        <w:spacing w:line="360" w:lineRule="auto"/>
        <w:ind w:left="848" w:leftChars="404" w:firstLine="1"/>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要求停车场车位不少于200个停车位，具体设置要求如下：</w:t>
      </w:r>
    </w:p>
    <w:p w14:paraId="03A11975">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按照涉法、涉案停车场要求，本停车场必须为封闭式管理，对停车场安装独立围栏，监控、封闭式车库等设计，停车场地面硬化；</w:t>
      </w:r>
    </w:p>
    <w:p w14:paraId="6B7991BF">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业务办公用房（具有满足人员数量的办公场地、监控室、职工宿舍、活动房等）1处；</w:t>
      </w:r>
    </w:p>
    <w:p w14:paraId="01932AEA">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护栏围挡不少于650m；</w:t>
      </w:r>
    </w:p>
    <w:p w14:paraId="3E507B0D">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封闭车库不少于166m²；</w:t>
      </w:r>
    </w:p>
    <w:p w14:paraId="3BCC3A3B">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照明设施不少于16组；</w:t>
      </w:r>
    </w:p>
    <w:p w14:paraId="4E50738E">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安防监控不少于1套；</w:t>
      </w:r>
    </w:p>
    <w:p w14:paraId="7DBBD783">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（7）</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导向箭头；</w:t>
      </w:r>
    </w:p>
    <w:p w14:paraId="0EEB4C86">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（8）</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禁停网格线、道路边缘线；</w:t>
      </w:r>
    </w:p>
    <w:p w14:paraId="6E376B21">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（9）</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标识标牌不少于34组；</w:t>
      </w:r>
    </w:p>
    <w:p w14:paraId="31D90FAC">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（10）防汛沙袋30*70不少于130袋；</w:t>
      </w:r>
    </w:p>
    <w:p w14:paraId="4CF8C4DB">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（11）应急LED照明手电不少于5个；</w:t>
      </w:r>
    </w:p>
    <w:p w14:paraId="784F77C8">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（12）铁锹1.5m手柄不少于4把；</w:t>
      </w:r>
    </w:p>
    <w:p w14:paraId="7D1074BD">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（13）备用雨水泵750W不少于1台；</w:t>
      </w:r>
    </w:p>
    <w:p w14:paraId="287AAE3D">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（14）备用水带（1寸口径20m）不少于4盘；</w:t>
      </w:r>
    </w:p>
    <w:p w14:paraId="2ABFDC68">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（15）雨衣（安全反光套装）不少于28件；</w:t>
      </w:r>
    </w:p>
    <w:p w14:paraId="214A69CC">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（16）雨鞋（回力HXL807）不少于28双；</w:t>
      </w:r>
    </w:p>
    <w:p w14:paraId="795A91A5">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（17）雨伞（直柄）不少于17把；</w:t>
      </w:r>
    </w:p>
    <w:p w14:paraId="46920EEC">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（18）雨水篦子，井盖钩子（圆纹钢1米）不少于3把；</w:t>
      </w:r>
    </w:p>
    <w:p w14:paraId="260E286C">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（19）警戒线（100m红白）不少于3盘。</w:t>
      </w:r>
    </w:p>
    <w:p w14:paraId="3D94EF9F">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停车场内用电设备配置</w:t>
      </w:r>
    </w:p>
    <w:p w14:paraId="04835310">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eastAsia="宋体" w:cs="宋体"/>
          <w:bCs/>
          <w:color w:val="auto"/>
          <w:sz w:val="24"/>
          <w:highlight w:val="none"/>
        </w:rPr>
        <w:tab/>
      </w:r>
      <w:r>
        <w:rPr>
          <w:rFonts w:hint="eastAsia" w:ascii="宋体" w:hAnsi="宋体" w:eastAsia="宋体" w:cs="宋体"/>
          <w:color w:val="auto"/>
          <w:kern w:val="0"/>
          <w:sz w:val="24"/>
          <w:highlight w:val="none"/>
        </w:rPr>
        <w:t>柜式空调 不少于2台；</w:t>
      </w:r>
    </w:p>
    <w:p w14:paraId="4362B4BE">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r>
        <w:rPr>
          <w:rFonts w:hint="eastAsia" w:ascii="宋体" w:hAnsi="宋体" w:eastAsia="宋体" w:cs="宋体"/>
          <w:bCs/>
          <w:color w:val="auto"/>
          <w:sz w:val="24"/>
          <w:highlight w:val="none"/>
        </w:rPr>
        <w:tab/>
      </w:r>
      <w:r>
        <w:rPr>
          <w:rFonts w:hint="eastAsia" w:ascii="宋体" w:hAnsi="宋体" w:eastAsia="宋体" w:cs="宋体"/>
          <w:color w:val="auto"/>
          <w:kern w:val="0"/>
          <w:sz w:val="24"/>
          <w:highlight w:val="none"/>
        </w:rPr>
        <w:t>壁挂式空调 不少于1台；</w:t>
      </w:r>
    </w:p>
    <w:p w14:paraId="7EF79147">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r>
        <w:rPr>
          <w:rFonts w:hint="eastAsia" w:ascii="宋体" w:hAnsi="宋体" w:eastAsia="宋体" w:cs="宋体"/>
          <w:bCs/>
          <w:color w:val="auto"/>
          <w:sz w:val="24"/>
          <w:highlight w:val="none"/>
        </w:rPr>
        <w:tab/>
      </w:r>
      <w:r>
        <w:rPr>
          <w:rFonts w:hint="eastAsia" w:ascii="宋体" w:hAnsi="宋体" w:eastAsia="宋体" w:cs="宋体"/>
          <w:color w:val="auto"/>
          <w:kern w:val="0"/>
          <w:sz w:val="24"/>
          <w:highlight w:val="none"/>
        </w:rPr>
        <w:t>监控室：监视器、监控机房设备等 不少于1套；</w:t>
      </w:r>
    </w:p>
    <w:p w14:paraId="4438DA72">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w:t>
      </w:r>
      <w:r>
        <w:rPr>
          <w:rFonts w:hint="eastAsia" w:ascii="宋体" w:hAnsi="宋体" w:eastAsia="宋体" w:cs="宋体"/>
          <w:bCs/>
          <w:color w:val="auto"/>
          <w:sz w:val="24"/>
          <w:highlight w:val="none"/>
        </w:rPr>
        <w:tab/>
      </w:r>
      <w:r>
        <w:rPr>
          <w:rFonts w:hint="eastAsia" w:ascii="宋体" w:hAnsi="宋体" w:eastAsia="宋体" w:cs="宋体"/>
          <w:color w:val="auto"/>
          <w:kern w:val="0"/>
          <w:sz w:val="24"/>
          <w:highlight w:val="none"/>
        </w:rPr>
        <w:t>监控点位（包含摄像机、交换机等） 不少于20个；</w:t>
      </w:r>
    </w:p>
    <w:p w14:paraId="5E991551">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w:t>
      </w:r>
      <w:r>
        <w:rPr>
          <w:rFonts w:hint="eastAsia" w:ascii="宋体" w:hAnsi="宋体" w:eastAsia="宋体" w:cs="宋体"/>
          <w:bCs/>
          <w:color w:val="auto"/>
          <w:sz w:val="24"/>
          <w:highlight w:val="none"/>
        </w:rPr>
        <w:tab/>
      </w:r>
      <w:r>
        <w:rPr>
          <w:rFonts w:hint="eastAsia" w:ascii="宋体" w:hAnsi="宋体" w:eastAsia="宋体" w:cs="宋体"/>
          <w:color w:val="auto"/>
          <w:kern w:val="0"/>
          <w:sz w:val="24"/>
          <w:highlight w:val="none"/>
        </w:rPr>
        <w:t>其他用电设备（照明、排风扇、办公设备等） 不少于5套。</w:t>
      </w:r>
    </w:p>
    <w:p w14:paraId="73D7199B">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停车场保险</w:t>
      </w:r>
    </w:p>
    <w:p w14:paraId="1B940316">
      <w:pPr>
        <w:pageBreakBefore w:val="0"/>
        <w:widowControl w:val="0"/>
        <w:kinsoku/>
        <w:wordWrap/>
        <w:overflowPunct/>
        <w:topLinePunct w:val="0"/>
        <w:bidi w:val="0"/>
        <w:adjustRightInd w:val="0"/>
        <w:snapToGrid w:val="0"/>
        <w:spacing w:line="360" w:lineRule="auto"/>
        <w:ind w:left="840" w:leftChars="342" w:hanging="122" w:hangingChars="51"/>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5.1</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成交人须为停车场车位投保，险种为车位责任保险和公众责任险。</w:t>
      </w:r>
    </w:p>
    <w:p w14:paraId="5396410E">
      <w:pPr>
        <w:pageBreakBefore w:val="0"/>
        <w:widowControl w:val="0"/>
        <w:kinsoku/>
        <w:wordWrap/>
        <w:overflowPunct/>
        <w:topLinePunct w:val="0"/>
        <w:bidi w:val="0"/>
        <w:adjustRightInd w:val="0"/>
        <w:snapToGrid w:val="0"/>
        <w:spacing w:line="360" w:lineRule="auto"/>
        <w:ind w:left="840" w:leftChars="342" w:hanging="122" w:hangingChars="51"/>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5.2</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其中车位责任险以车位为单位投保。赔付额度为累计限额130万，每次事故30万。免赔：盗抢每次事故免赔20%。非盗抢：每次事故免赔500元或损失的10%，两者以高为准。</w:t>
      </w:r>
    </w:p>
    <w:p w14:paraId="7AE7D8E0">
      <w:pPr>
        <w:pageBreakBefore w:val="0"/>
        <w:widowControl w:val="0"/>
        <w:kinsoku/>
        <w:wordWrap/>
        <w:overflowPunct/>
        <w:topLinePunct w:val="0"/>
        <w:bidi w:val="0"/>
        <w:adjustRightInd w:val="0"/>
        <w:snapToGrid w:val="0"/>
        <w:spacing w:line="360" w:lineRule="auto"/>
        <w:ind w:left="840" w:leftChars="342" w:hanging="122" w:hangingChars="51"/>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5.3</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公众责任险以停车场为单位投保，范围累计赔偿限额200万，每次事故赔偿限额50万元，每次事故每人赔偿限额10万元，其中每次事故财产损失赔偿限额1万元。公众责任险主要负责赔付车场内设备设施与行人发生的事故纠纷，如：车场内未及时清理的积雪将客户摔伤，可以报人从责任险来解决。</w:t>
      </w:r>
    </w:p>
    <w:p w14:paraId="254C5D61">
      <w:pPr>
        <w:pageBreakBefore w:val="0"/>
        <w:widowControl w:val="0"/>
        <w:kinsoku/>
        <w:wordWrap/>
        <w:overflowPunct/>
        <w:topLinePunct w:val="0"/>
        <w:bidi w:val="0"/>
        <w:adjustRightInd w:val="0"/>
        <w:snapToGrid w:val="0"/>
        <w:spacing w:line="360" w:lineRule="auto"/>
        <w:ind w:left="843" w:leftChars="228" w:hanging="364" w:hangingChars="15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服务期内的场地电费、水费应包含在应答报价中。</w:t>
      </w:r>
    </w:p>
    <w:p w14:paraId="53D87310">
      <w:pPr>
        <w:pStyle w:val="4"/>
        <w:pageBreakBefore w:val="0"/>
        <w:widowControl w:val="0"/>
        <w:numPr>
          <w:ilvl w:val="0"/>
          <w:numId w:val="0"/>
        </w:numPr>
        <w:kinsoku/>
        <w:wordWrap/>
        <w:overflowPunct/>
        <w:topLinePunct w:val="0"/>
        <w:bidi w:val="0"/>
        <w:adjustRightInd w:val="0"/>
        <w:spacing w:line="360" w:lineRule="auto"/>
        <w:ind w:lef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7.其他要求</w:t>
      </w:r>
    </w:p>
    <w:p w14:paraId="52DB7F87">
      <w:pPr>
        <w:pageBreakBefore w:val="0"/>
        <w:widowControl w:val="0"/>
        <w:kinsoku/>
        <w:wordWrap/>
        <w:overflowPunct/>
        <w:topLinePunct w:val="0"/>
        <w:bidi w:val="0"/>
        <w:adjustRightInd w:val="0"/>
        <w:snapToGrid w:val="0"/>
        <w:spacing w:line="360" w:lineRule="auto"/>
        <w:ind w:left="840" w:leftChars="342" w:hanging="122" w:hangingChars="51"/>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7.1 最高限价：</w:t>
      </w:r>
      <w:r>
        <w:rPr>
          <w:rFonts w:hint="eastAsia" w:ascii="宋体" w:hAnsi="宋体" w:cs="宋体"/>
          <w:color w:val="auto"/>
          <w:sz w:val="24"/>
          <w:highlight w:val="none"/>
          <w:u w:val="none"/>
          <w:lang w:eastAsia="zh-CN"/>
        </w:rPr>
        <w:t>128.922955</w:t>
      </w:r>
      <w:r>
        <w:rPr>
          <w:rFonts w:hint="eastAsia" w:ascii="宋体" w:hAnsi="宋体" w:eastAsia="宋体" w:cs="宋体"/>
          <w:color w:val="auto"/>
          <w:kern w:val="2"/>
          <w:sz w:val="24"/>
          <w:szCs w:val="24"/>
          <w:highlight w:val="none"/>
          <w:lang w:val="en-US" w:eastAsia="zh-CN" w:bidi="ar-SA"/>
        </w:rPr>
        <w:t>万元。</w:t>
      </w:r>
    </w:p>
    <w:p w14:paraId="00E42F70">
      <w:pPr>
        <w:adjustRightInd w:val="0"/>
        <w:snapToGrid w:val="0"/>
        <w:spacing w:line="440" w:lineRule="exact"/>
        <w:ind w:left="843" w:leftChars="228" w:hanging="364" w:hangingChars="152"/>
        <w:rPr>
          <w:rFonts w:hint="eastAsia" w:ascii="宋体" w:hAnsi="宋体" w:eastAsia="宋体" w:cs="宋体"/>
          <w:bCs/>
          <w:color w:val="auto"/>
          <w:sz w:val="24"/>
          <w:highlight w:val="none"/>
        </w:rPr>
      </w:pPr>
    </w:p>
    <w:p w14:paraId="6BA9A017">
      <w:pPr>
        <w:pStyle w:val="2"/>
        <w:numPr>
          <w:ilvl w:val="0"/>
          <w:numId w:val="0"/>
        </w:numPr>
        <w:spacing w:line="360" w:lineRule="auto"/>
        <w:jc w:val="both"/>
        <w:rPr>
          <w:rFonts w:hint="eastAsia" w:ascii="宋体" w:hAnsi="宋体" w:eastAsia="宋体" w:cs="宋体"/>
          <w:color w:val="auto"/>
          <w:sz w:val="24"/>
          <w:highlight w:val="none"/>
        </w:rPr>
      </w:pPr>
    </w:p>
    <w:p w14:paraId="074FEF75">
      <w:pPr>
        <w:adjustRightInd w:val="0"/>
        <w:snapToGrid w:val="0"/>
        <w:spacing w:line="440" w:lineRule="exact"/>
        <w:rPr>
          <w:rFonts w:hint="eastAsia" w:ascii="宋体" w:hAnsi="宋体" w:eastAsia="宋体" w:cs="宋体"/>
          <w:color w:val="auto"/>
          <w:kern w:val="2"/>
          <w:sz w:val="24"/>
          <w:szCs w:val="24"/>
          <w:highlight w:val="none"/>
          <w:lang w:val="en-US" w:eastAsia="zh-CN" w:bidi="ar-SA"/>
        </w:rPr>
      </w:pPr>
    </w:p>
    <w:p w14:paraId="0C846C42">
      <w:pPr>
        <w:adjustRightInd w:val="0"/>
        <w:snapToGrid w:val="0"/>
        <w:spacing w:line="440" w:lineRule="exact"/>
        <w:ind w:left="840" w:leftChars="342" w:hanging="122" w:hangingChars="51"/>
        <w:rPr>
          <w:rFonts w:hint="eastAsia" w:ascii="宋体" w:hAnsi="宋体" w:eastAsia="宋体" w:cs="宋体"/>
          <w:color w:val="auto"/>
          <w:kern w:val="2"/>
          <w:sz w:val="24"/>
          <w:szCs w:val="24"/>
          <w:highlight w:val="none"/>
          <w:lang w:val="en-US" w:eastAsia="zh-CN" w:bidi="ar-SA"/>
        </w:rPr>
      </w:pPr>
    </w:p>
    <w:p w14:paraId="4832863A">
      <w:pPr>
        <w:pStyle w:val="2"/>
        <w:numPr>
          <w:ilvl w:val="0"/>
          <w:numId w:val="0"/>
        </w:numPr>
        <w:spacing w:line="360" w:lineRule="auto"/>
        <w:jc w:val="both"/>
        <w:rPr>
          <w:rFonts w:hint="eastAsia" w:ascii="宋体" w:hAnsi="宋体" w:eastAsia="宋体" w:cs="宋体"/>
          <w:color w:val="auto"/>
          <w:sz w:val="24"/>
          <w:highlight w:val="none"/>
          <w:lang w:val="en-US" w:eastAsia="zh-CN"/>
        </w:rPr>
      </w:pPr>
    </w:p>
    <w:p w14:paraId="5FB2F5B8">
      <w:pPr>
        <w:adjustRightInd w:val="0"/>
        <w:snapToGrid w:val="0"/>
        <w:spacing w:line="440" w:lineRule="exact"/>
        <w:rPr>
          <w:rFonts w:hint="eastAsia" w:ascii="宋体" w:hAnsi="宋体" w:eastAsia="宋体" w:cs="宋体"/>
          <w:color w:val="auto"/>
          <w:sz w:val="24"/>
          <w:highlight w:val="none"/>
        </w:rPr>
      </w:pPr>
    </w:p>
    <w:p w14:paraId="147AE231">
      <w:pPr>
        <w:pStyle w:val="2"/>
        <w:numPr>
          <w:ilvl w:val="0"/>
          <w:numId w:val="0"/>
        </w:numPr>
        <w:spacing w:line="360" w:lineRule="auto"/>
        <w:jc w:val="both"/>
        <w:rPr>
          <w:rFonts w:hint="eastAsia" w:ascii="宋体" w:hAnsi="宋体" w:eastAsia="宋体" w:cs="宋体"/>
          <w:color w:val="auto"/>
          <w:kern w:val="2"/>
          <w:sz w:val="24"/>
          <w:szCs w:val="24"/>
          <w:highlight w:val="none"/>
          <w:lang w:val="en-US" w:eastAsia="zh-CN" w:bidi="ar-SA"/>
        </w:rPr>
      </w:pPr>
    </w:p>
    <w:p w14:paraId="3DA46681">
      <w:pPr>
        <w:numPr>
          <w:ilvl w:val="0"/>
          <w:numId w:val="16"/>
        </w:numPr>
        <w:spacing w:line="360" w:lineRule="auto"/>
        <w:ind w:leftChars="200"/>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r>
        <w:rPr>
          <w:rFonts w:hint="eastAsia" w:ascii="宋体" w:hAnsi="宋体" w:eastAsia="宋体" w:cs="宋体"/>
          <w:b/>
          <w:color w:val="auto"/>
          <w:sz w:val="36"/>
          <w:szCs w:val="36"/>
          <w:highlight w:val="none"/>
        </w:rPr>
        <w:t xml:space="preserve">  </w:t>
      </w:r>
      <w:bookmarkStart w:id="668" w:name="_Toc23242"/>
      <w:r>
        <w:rPr>
          <w:rFonts w:hint="eastAsia" w:ascii="宋体" w:hAnsi="宋体" w:eastAsia="宋体" w:cs="宋体"/>
          <w:b/>
          <w:color w:val="auto"/>
          <w:sz w:val="36"/>
          <w:szCs w:val="36"/>
          <w:highlight w:val="none"/>
        </w:rPr>
        <w:t>合同草案条款</w:t>
      </w:r>
      <w:bookmarkEnd w:id="668"/>
    </w:p>
    <w:p w14:paraId="0626AF25">
      <w:pPr>
        <w:adjustRightInd w:val="0"/>
        <w:snapToGrid w:val="0"/>
        <w:spacing w:line="44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此合同仅供参考。以最终采购人与成交供应商签订的合同条款为准进行公示，最终签订合同的主要条款不能与磋商文件有冲突</w:t>
      </w:r>
      <w:r>
        <w:rPr>
          <w:rFonts w:hint="eastAsia" w:ascii="宋体" w:hAnsi="宋体" w:eastAsia="宋体" w:cs="宋体"/>
          <w:color w:val="auto"/>
          <w:highlight w:val="none"/>
          <w:lang w:eastAsia="zh-CN"/>
        </w:rPr>
        <w:t>）</w:t>
      </w:r>
    </w:p>
    <w:p w14:paraId="1EE6A957">
      <w:pPr>
        <w:keepNext w:val="0"/>
        <w:keepLines w:val="0"/>
        <w:pageBreakBefore w:val="0"/>
        <w:widowControl w:val="0"/>
        <w:kinsoku/>
        <w:wordWrap/>
        <w:overflowPunct/>
        <w:topLinePunct w:val="0"/>
        <w:autoSpaceDE/>
        <w:autoSpaceDN/>
        <w:bidi w:val="0"/>
        <w:adjustRightInd/>
        <w:snapToGrid/>
        <w:spacing w:line="500" w:lineRule="exact"/>
        <w:ind w:firstLine="3012" w:firstLineChars="1000"/>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en-US" w:eastAsia="zh-CN"/>
        </w:rPr>
        <w:t>停车场服务</w:t>
      </w:r>
      <w:r>
        <w:rPr>
          <w:rFonts w:hint="eastAsia" w:ascii="仿宋" w:hAnsi="仿宋" w:eastAsia="仿宋" w:cs="仿宋"/>
          <w:b/>
          <w:bCs/>
          <w:color w:val="auto"/>
          <w:sz w:val="30"/>
          <w:szCs w:val="30"/>
          <w:highlight w:val="none"/>
        </w:rPr>
        <w:t>合同</w:t>
      </w:r>
    </w:p>
    <w:p w14:paraId="4C9B781E">
      <w:pPr>
        <w:bidi w:val="0"/>
        <w:rPr>
          <w:rFonts w:hint="eastAsia"/>
          <w:color w:val="auto"/>
          <w:highlight w:val="none"/>
        </w:rPr>
      </w:pPr>
    </w:p>
    <w:p w14:paraId="2482212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委托方（甲方）：北京市公安局顺义分局</w:t>
      </w:r>
    </w:p>
    <w:p w14:paraId="0EF1558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受托方（乙方）：</w:t>
      </w:r>
    </w:p>
    <w:p w14:paraId="541E3BC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为保证交通违法车辆、事故车辆的存放安全，维护被扣留车辆驾驶人（所有人）的正当权益，本着各负其责、协作配合的原则，甲方委托乙方管理甲方依法扣留的交通违法车辆、事故车辆。</w:t>
      </w:r>
      <w:r>
        <w:rPr>
          <w:rFonts w:hint="eastAsia" w:ascii="宋体" w:hAnsi="宋体" w:eastAsia="宋体" w:cs="宋体"/>
          <w:color w:val="auto"/>
          <w:sz w:val="24"/>
          <w:szCs w:val="24"/>
          <w:highlight w:val="none"/>
          <w:lang w:val="en-US" w:eastAsia="zh-CN"/>
        </w:rPr>
        <w:t>现</w:t>
      </w:r>
      <w:r>
        <w:rPr>
          <w:rFonts w:hint="eastAsia" w:ascii="宋体" w:hAnsi="宋体" w:eastAsia="宋体" w:cs="宋体"/>
          <w:color w:val="auto"/>
          <w:sz w:val="24"/>
          <w:szCs w:val="24"/>
          <w:highlight w:val="none"/>
        </w:rPr>
        <w:t>经充分协商，</w:t>
      </w:r>
      <w:r>
        <w:rPr>
          <w:rFonts w:hint="eastAsia" w:ascii="宋体" w:hAnsi="宋体" w:eastAsia="宋体" w:cs="宋体"/>
          <w:color w:val="auto"/>
          <w:sz w:val="24"/>
          <w:szCs w:val="24"/>
          <w:highlight w:val="none"/>
          <w:lang w:val="en-US" w:eastAsia="zh-CN"/>
        </w:rPr>
        <w:t>甲乙</w:t>
      </w:r>
      <w:r>
        <w:rPr>
          <w:rFonts w:hint="eastAsia" w:ascii="宋体" w:hAnsi="宋体" w:eastAsia="宋体" w:cs="宋体"/>
          <w:color w:val="auto"/>
          <w:sz w:val="24"/>
          <w:szCs w:val="24"/>
          <w:highlight w:val="none"/>
        </w:rPr>
        <w:t>双方达成</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如下：</w:t>
      </w:r>
    </w:p>
    <w:p w14:paraId="4C523A7B">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一、涉案车辆停车场的地点、规模</w:t>
      </w:r>
    </w:p>
    <w:p w14:paraId="585D7E8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甲方委托乙方存放管理依法扣留交通违法事故车辆的停车场位于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（停车场具体位置）</w:t>
      </w:r>
      <w:r>
        <w:rPr>
          <w:rFonts w:hint="eastAsia" w:ascii="宋体" w:hAnsi="宋体" w:eastAsia="宋体" w:cs="宋体"/>
          <w:color w:val="auto"/>
          <w:sz w:val="24"/>
          <w:szCs w:val="24"/>
          <w:highlight w:val="none"/>
        </w:rPr>
        <w:t>。停车场面积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平方米，备案停车位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个，其中用于停放违法事故车的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平方米，折合小型停车位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个。</w:t>
      </w:r>
    </w:p>
    <w:p w14:paraId="7F328BC4">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合同金额及</w:t>
      </w:r>
      <w:r>
        <w:rPr>
          <w:rFonts w:hint="eastAsia" w:ascii="宋体" w:hAnsi="宋体" w:eastAsia="宋体" w:cs="宋体"/>
          <w:b/>
          <w:bCs/>
          <w:color w:val="auto"/>
          <w:sz w:val="24"/>
          <w:szCs w:val="24"/>
          <w:highlight w:val="none"/>
        </w:rPr>
        <w:t>付款方式</w:t>
      </w:r>
    </w:p>
    <w:p w14:paraId="35F3D07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1.本合同总金额为人民币¥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元整</w:t>
      </w:r>
      <w:r>
        <w:rPr>
          <w:rFonts w:hint="eastAsia" w:ascii="宋体" w:hAnsi="宋体" w:eastAsia="宋体" w:cs="宋体"/>
          <w:color w:val="auto"/>
          <w:sz w:val="24"/>
          <w:szCs w:val="24"/>
          <w:highlight w:val="none"/>
        </w:rPr>
        <w:t>)。</w:t>
      </w:r>
    </w:p>
    <w:p w14:paraId="5A5EE34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2.本合同签署生效后，甲方按季度向乙方支付合同款，每季度支付合价款25%的款项，即人民币¥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元整</w:t>
      </w:r>
      <w:r>
        <w:rPr>
          <w:rFonts w:hint="eastAsia" w:ascii="宋体" w:hAnsi="宋体" w:eastAsia="宋体" w:cs="宋体"/>
          <w:color w:val="auto"/>
          <w:sz w:val="24"/>
          <w:szCs w:val="24"/>
          <w:highlight w:val="none"/>
        </w:rPr>
        <w:t>)；甲方付款前，乙方应提供等额增值税发票和甲方要求的相关资料。</w:t>
      </w:r>
    </w:p>
    <w:p w14:paraId="329DBB3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3.因政府财政资金拨付延迟而导致甲方不能按合同约定时间向乙方支付</w:t>
      </w:r>
      <w:r>
        <w:rPr>
          <w:rFonts w:hint="eastAsia" w:ascii="宋体" w:hAnsi="宋体" w:eastAsia="宋体" w:cs="宋体"/>
          <w:color w:val="auto"/>
          <w:sz w:val="24"/>
          <w:szCs w:val="24"/>
          <w:highlight w:val="none"/>
          <w:lang w:val="en-US" w:eastAsia="zh-CN"/>
        </w:rPr>
        <w:t>合同价款</w:t>
      </w:r>
      <w:r>
        <w:rPr>
          <w:rFonts w:hint="eastAsia" w:ascii="宋体" w:hAnsi="宋体" w:eastAsia="宋体" w:cs="宋体"/>
          <w:color w:val="auto"/>
          <w:sz w:val="24"/>
          <w:szCs w:val="24"/>
          <w:highlight w:val="none"/>
        </w:rPr>
        <w:t>的，不构成甲方违约，乙方不得因此追究甲方的违约责任。</w:t>
      </w:r>
    </w:p>
    <w:p w14:paraId="67A86154">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、甲方权利、义务</w:t>
      </w:r>
    </w:p>
    <w:p w14:paraId="4D90B1F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甲方有权对乙方是否按有关规定规范经营进行监督、举报。</w:t>
      </w:r>
    </w:p>
    <w:p w14:paraId="5D4D32E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甲方有权要求乙方执行甲方对涉案车辆停车场的设置标准。</w:t>
      </w:r>
    </w:p>
    <w:p w14:paraId="10CD191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甲方有权要求乙方使用甲方提供的交通违法事故车辆管理台帐登记扣留车辆信息，并凭甲方开具的《返还物品凭证》、《扣留拖移车辆存放费用告知书》办理放车手续。</w:t>
      </w:r>
    </w:p>
    <w:p w14:paraId="64AFCC9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甲方有权在乙方发生违反甲方关于涉案车辆停车场管理规定的问题时，可以采取责令整改、暂停或取消涉案车辆停车场资格的措施，并将问题通报有关部门。</w:t>
      </w:r>
    </w:p>
    <w:p w14:paraId="42507B2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甲方有权要求乙方执行北京市公安局公安交通管理局及甲方制定的关于交通违法事故车辆存放管理的其他规定和制度。</w:t>
      </w:r>
    </w:p>
    <w:p w14:paraId="23480C7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甲方须当场与乙方办理依法扣留的交通违法事故车辆交接手续。</w:t>
      </w:r>
    </w:p>
    <w:p w14:paraId="209DEB7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甲方须向乙方支付甲方应承担的停车费。</w:t>
      </w:r>
    </w:p>
    <w:p w14:paraId="6B19626C">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、乙方权利、义务</w:t>
      </w:r>
    </w:p>
    <w:p w14:paraId="18EBD8B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乙方有权要求甲方及被扣留车辆的驾驶人（所有人），依据法律、法规及相关标准支付其应承担的停车费。</w:t>
      </w:r>
    </w:p>
    <w:p w14:paraId="115C232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乙方有权对甲方采取的责令整改、暂停或取消涉案车辆停车场资格等措施提出质疑，并要求甲方答复。</w:t>
      </w:r>
    </w:p>
    <w:p w14:paraId="2454257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乙方须每年审验公共停车场资质、营业执照、税务登记证，并及时投保公共停车场责任险。</w:t>
      </w:r>
    </w:p>
    <w:p w14:paraId="75D4084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乙方须</w:t>
      </w:r>
      <w:r>
        <w:rPr>
          <w:rFonts w:hint="eastAsia" w:ascii="宋体" w:hAnsi="宋体" w:eastAsia="宋体" w:cs="宋体"/>
          <w:color w:val="auto"/>
          <w:sz w:val="24"/>
          <w:szCs w:val="24"/>
          <w:highlight w:val="none"/>
          <w:lang w:eastAsia="zh-CN"/>
        </w:rPr>
        <w:t>执行</w:t>
      </w:r>
      <w:r>
        <w:rPr>
          <w:rFonts w:hint="eastAsia" w:ascii="宋体" w:hAnsi="宋体" w:eastAsia="宋体" w:cs="宋体"/>
          <w:color w:val="auto"/>
          <w:sz w:val="24"/>
          <w:szCs w:val="24"/>
          <w:highlight w:val="none"/>
        </w:rPr>
        <w:t>北京市公安局公安交通管理局及甲方制定的关于交通违法事故车辆存放管理的其他规定和制度。</w:t>
      </w:r>
      <w:r>
        <w:rPr>
          <w:rFonts w:hint="eastAsia" w:ascii="宋体" w:hAnsi="宋体" w:eastAsia="宋体" w:cs="宋体"/>
          <w:color w:val="auto"/>
          <w:sz w:val="24"/>
          <w:szCs w:val="24"/>
          <w:highlight w:val="none"/>
          <w:lang w:eastAsia="zh-CN"/>
        </w:rPr>
        <w:t>在法律规定的保管期内</w:t>
      </w:r>
      <w:r>
        <w:rPr>
          <w:rFonts w:hint="eastAsia" w:ascii="宋体" w:hAnsi="宋体" w:eastAsia="宋体" w:cs="宋体"/>
          <w:color w:val="auto"/>
          <w:sz w:val="24"/>
          <w:szCs w:val="24"/>
          <w:highlight w:val="none"/>
        </w:rPr>
        <w:t>不得以提供服务等名义收取管理费、代驾费。</w:t>
      </w:r>
    </w:p>
    <w:p w14:paraId="134E3A3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乙方须将甲方移送的交通违法车辆、事故车辆分区停放，并与其他车辆使用隔离设施隔开。</w:t>
      </w:r>
    </w:p>
    <w:p w14:paraId="1D58134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乙方须根据扣留车辆状况及办案单位要求，提供苫布、车棚等物品或设施，妥善保管甲方移送的交通违法车辆、事故车辆。</w:t>
      </w:r>
    </w:p>
    <w:p w14:paraId="224431C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因保管措施不当，造成扣留车辆丢失、损毁、损坏的，乙方须依照相关标准对车辆驾驶人（或所有人）进行赔偿</w:t>
      </w:r>
    </w:p>
    <w:p w14:paraId="43F4B71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乙方须按甲方要求使用甲方提供的</w:t>
      </w:r>
      <w:r>
        <w:rPr>
          <w:rFonts w:hint="eastAsia" w:ascii="宋体" w:hAnsi="宋体" w:eastAsia="宋体" w:cs="宋体"/>
          <w:color w:val="auto"/>
          <w:sz w:val="24"/>
          <w:szCs w:val="24"/>
          <w:highlight w:val="none"/>
          <w:lang w:eastAsia="zh-CN"/>
        </w:rPr>
        <w:t>“平安扣”系统录入扣留、扣押车辆信息</w:t>
      </w:r>
      <w:r>
        <w:rPr>
          <w:rFonts w:hint="eastAsia" w:ascii="宋体" w:hAnsi="宋体" w:eastAsia="宋体" w:cs="宋体"/>
          <w:color w:val="auto"/>
          <w:sz w:val="24"/>
          <w:szCs w:val="24"/>
          <w:highlight w:val="none"/>
        </w:rPr>
        <w:t>。</w:t>
      </w:r>
    </w:p>
    <w:p w14:paraId="373F86E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乙方须安排人员昼夜对存放的被扣留交通违法事故车辆进行检查，核对车辆数目，检查是否存在火灾等安全隐患，同时不得使用被扣留车辆，确保车辆绝对安全。</w:t>
      </w:r>
    </w:p>
    <w:p w14:paraId="3904239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w:t>
      </w:r>
      <w:r>
        <w:rPr>
          <w:rFonts w:hint="eastAsia" w:ascii="宋体" w:hAnsi="宋体" w:eastAsia="宋体" w:cs="宋体"/>
          <w:color w:val="auto"/>
          <w:sz w:val="24"/>
          <w:szCs w:val="24"/>
          <w:highlight w:val="none"/>
        </w:rPr>
        <w:t>涉案停车场办理放车手续时，须免收甲方打印《返还物品凭证》当天起24小时内产生的停车费</w:t>
      </w:r>
      <w:r>
        <w:rPr>
          <w:rFonts w:hint="eastAsia" w:ascii="宋体" w:hAnsi="宋体" w:eastAsia="宋体" w:cs="宋体"/>
          <w:color w:val="auto"/>
          <w:sz w:val="24"/>
          <w:szCs w:val="24"/>
          <w:highlight w:val="none"/>
          <w:lang w:eastAsia="zh-CN"/>
        </w:rPr>
        <w:t>。</w:t>
      </w:r>
    </w:p>
    <w:p w14:paraId="500957A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乙方应遵守甲方制定的有关违法事故停车场管理的其他规定。</w:t>
      </w:r>
    </w:p>
    <w:p w14:paraId="30F6EF5A">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、违约责任</w:t>
      </w:r>
    </w:p>
    <w:p w14:paraId="6228F7E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乙方有下列情形之一的，</w:t>
      </w:r>
      <w:r>
        <w:rPr>
          <w:rFonts w:hint="eastAsia" w:ascii="宋体" w:hAnsi="宋体" w:eastAsia="宋体" w:cs="宋体"/>
          <w:color w:val="auto"/>
          <w:sz w:val="24"/>
          <w:szCs w:val="24"/>
          <w:highlight w:val="none"/>
          <w:lang w:val="en-US" w:eastAsia="zh-CN"/>
        </w:rPr>
        <w:t>每次应支付给甲方本合同总金额的1%作为违约金并</w:t>
      </w:r>
      <w:r>
        <w:rPr>
          <w:rFonts w:hint="eastAsia" w:ascii="宋体" w:hAnsi="宋体" w:eastAsia="宋体" w:cs="宋体"/>
          <w:color w:val="auto"/>
          <w:sz w:val="24"/>
          <w:szCs w:val="24"/>
          <w:highlight w:val="none"/>
        </w:rPr>
        <w:t>须按甲方要求限期整改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整改后仍达不到要求的，</w:t>
      </w:r>
      <w:r>
        <w:rPr>
          <w:rFonts w:hint="eastAsia" w:ascii="宋体" w:hAnsi="宋体" w:eastAsia="宋体" w:cs="宋体"/>
          <w:color w:val="auto"/>
          <w:sz w:val="24"/>
          <w:szCs w:val="24"/>
          <w:highlight w:val="none"/>
          <w:lang w:val="en-US" w:eastAsia="zh-CN"/>
        </w:rPr>
        <w:t>甲方有权解除本合同而无需承担违约责任</w:t>
      </w:r>
      <w:r>
        <w:rPr>
          <w:rFonts w:hint="eastAsia" w:ascii="宋体" w:hAnsi="宋体" w:eastAsia="宋体" w:cs="宋体"/>
          <w:color w:val="auto"/>
          <w:sz w:val="24"/>
          <w:szCs w:val="24"/>
          <w:highlight w:val="none"/>
        </w:rPr>
        <w:t>：</w:t>
      </w:r>
    </w:p>
    <w:p w14:paraId="2F07A51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未按时审验公共停车场资质、停车收费标准、营业执照、税务登记证，投保公共停车场责任险的。</w:t>
      </w:r>
    </w:p>
    <w:p w14:paraId="7A1BB4A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场地、设施、设备不符合规定要求的。</w:t>
      </w:r>
    </w:p>
    <w:p w14:paraId="6E3B02A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未按规定设立停车收费标准标志牌，并公示公共停车场经营备案表、停车收费标准核准表、营业执照、税务登记证、服务制度的。</w:t>
      </w:r>
    </w:p>
    <w:p w14:paraId="6D73BC0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未按规定办理扣留车辆交接手续的。</w:t>
      </w:r>
    </w:p>
    <w:p w14:paraId="06A6795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未按规定在台帐上登记扣留车辆相关信息的。</w:t>
      </w:r>
    </w:p>
    <w:p w14:paraId="25CE48E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未按规定妥善保管甲方移交的扣留车辆，造成车辆丢失、损毁、损坏，或者擅自使用、处置车辆的。</w:t>
      </w:r>
    </w:p>
    <w:p w14:paraId="4117E87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未按规定程序发还车辆的。</w:t>
      </w:r>
    </w:p>
    <w:p w14:paraId="29E26EA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未按规定标准收取停车费、擅自设立收费项目或变相收费的。</w:t>
      </w:r>
    </w:p>
    <w:p w14:paraId="33AD3C2C">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六、其他</w:t>
      </w:r>
    </w:p>
    <w:p w14:paraId="31A0840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未尽事宜，由双方共同约定，作为该</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的补充，并具有同等法律效力。</w:t>
      </w:r>
    </w:p>
    <w:p w14:paraId="4B978D3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遇国家法律、法规、政策改变或因不可抗力等原因，致</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无法执行时，本</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自行终止。</w:t>
      </w:r>
    </w:p>
    <w:p w14:paraId="49A8FC1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有效期为一年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止</w:t>
      </w:r>
      <w:r>
        <w:rPr>
          <w:rFonts w:hint="eastAsia" w:ascii="宋体" w:hAnsi="宋体" w:eastAsia="宋体" w:cs="宋体"/>
          <w:color w:val="auto"/>
          <w:sz w:val="24"/>
          <w:szCs w:val="24"/>
          <w:highlight w:val="none"/>
        </w:rPr>
        <w:t>。</w:t>
      </w:r>
    </w:p>
    <w:p w14:paraId="02BEA7B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甲乙双方因履行本合同产生纠纷协商不成时，双方均可向北京市顺义区人民法院起诉解决。</w:t>
      </w:r>
    </w:p>
    <w:p w14:paraId="720239B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一式四份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自甲乙双方签字盖章之日起生效，其中甲方执三份，乙方执一份</w:t>
      </w:r>
      <w:r>
        <w:rPr>
          <w:rFonts w:hint="eastAsia" w:ascii="宋体" w:hAnsi="宋体" w:eastAsia="宋体" w:cs="宋体"/>
          <w:color w:val="auto"/>
          <w:sz w:val="24"/>
          <w:szCs w:val="24"/>
          <w:highlight w:val="none"/>
        </w:rPr>
        <w:t>。</w:t>
      </w:r>
    </w:p>
    <w:p w14:paraId="067ECC43">
      <w:pPr>
        <w:keepNext w:val="0"/>
        <w:keepLines w:val="0"/>
        <w:pageBreakBefore w:val="0"/>
        <w:widowControl w:val="0"/>
        <w:kinsoku/>
        <w:wordWrap/>
        <w:overflowPunct/>
        <w:topLinePunct w:val="0"/>
        <w:autoSpaceDE/>
        <w:autoSpaceDN/>
        <w:bidi w:val="0"/>
        <w:adjustRightInd/>
        <w:snapToGrid/>
        <w:spacing w:line="500" w:lineRule="exact"/>
        <w:ind w:left="559" w:leftChars="266" w:firstLine="0" w:firstLineChars="0"/>
        <w:textAlignment w:val="auto"/>
        <w:rPr>
          <w:rFonts w:hint="eastAsia" w:ascii="宋体" w:hAnsi="宋体" w:eastAsia="宋体" w:cs="宋体"/>
          <w:color w:val="auto"/>
          <w:sz w:val="24"/>
          <w:szCs w:val="24"/>
          <w:highlight w:val="none"/>
        </w:rPr>
      </w:pPr>
    </w:p>
    <w:p w14:paraId="6832E1DD">
      <w:pPr>
        <w:keepNext w:val="0"/>
        <w:keepLines w:val="0"/>
        <w:pageBreakBefore w:val="0"/>
        <w:widowControl w:val="0"/>
        <w:kinsoku/>
        <w:wordWrap/>
        <w:overflowPunct/>
        <w:topLinePunct w:val="0"/>
        <w:autoSpaceDE/>
        <w:autoSpaceDN/>
        <w:bidi w:val="0"/>
        <w:adjustRightInd/>
        <w:snapToGrid/>
        <w:spacing w:line="500" w:lineRule="exact"/>
        <w:ind w:left="559" w:leftChars="266"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（盖章）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(盖章）</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负责人签字：               负责人签字：</w:t>
      </w:r>
    </w:p>
    <w:p w14:paraId="7F27917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p>
    <w:p w14:paraId="239F5430">
      <w:pPr>
        <w:keepNext w:val="0"/>
        <w:keepLines w:val="0"/>
        <w:pageBreakBefore w:val="0"/>
        <w:widowControl w:val="0"/>
        <w:kinsoku/>
        <w:wordWrap/>
        <w:overflowPunct/>
        <w:topLinePunct w:val="0"/>
        <w:autoSpaceDE/>
        <w:autoSpaceDN/>
        <w:bidi w:val="0"/>
        <w:adjustRightInd/>
        <w:snapToGrid/>
        <w:spacing w:line="500" w:lineRule="exact"/>
        <w:ind w:firstLine="1680" w:firstLineChars="7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0DF7EA60">
      <w:pPr>
        <w:pStyle w:val="18"/>
        <w:rPr>
          <w:rFonts w:hint="eastAsia" w:ascii="宋体" w:hAnsi="宋体" w:eastAsia="宋体" w:cs="宋体"/>
          <w:color w:val="auto"/>
          <w:kern w:val="0"/>
          <w:sz w:val="18"/>
          <w:szCs w:val="18"/>
          <w:highlight w:val="none"/>
        </w:rPr>
      </w:pPr>
    </w:p>
    <w:p w14:paraId="71615CED">
      <w:pPr>
        <w:numPr>
          <w:ilvl w:val="0"/>
          <w:numId w:val="16"/>
        </w:numPr>
        <w:spacing w:line="360" w:lineRule="auto"/>
        <w:ind w:left="420" w:leftChars="200" w:firstLine="0" w:firstLineChars="0"/>
        <w:jc w:val="center"/>
        <w:outlineLvl w:val="0"/>
        <w:rPr>
          <w:rFonts w:hint="eastAsia" w:ascii="宋体" w:hAnsi="宋体" w:eastAsia="宋体" w:cs="宋体"/>
          <w:b/>
          <w:color w:val="auto"/>
          <w:sz w:val="36"/>
          <w:szCs w:val="36"/>
          <w:highlight w:val="none"/>
        </w:rPr>
      </w:pPr>
      <w:bookmarkStart w:id="669" w:name="_Toc17084"/>
      <w:r>
        <w:rPr>
          <w:rFonts w:hint="eastAsia" w:ascii="宋体" w:hAnsi="宋体" w:eastAsia="宋体" w:cs="宋体"/>
          <w:b/>
          <w:color w:val="auto"/>
          <w:sz w:val="36"/>
          <w:szCs w:val="36"/>
          <w:highlight w:val="none"/>
        </w:rPr>
        <w:t xml:space="preserve">  </w:t>
      </w:r>
      <w:bookmarkStart w:id="670" w:name="_Toc26082"/>
      <w:r>
        <w:rPr>
          <w:rFonts w:hint="eastAsia" w:ascii="宋体" w:hAnsi="宋体" w:eastAsia="宋体" w:cs="宋体"/>
          <w:b/>
          <w:color w:val="auto"/>
          <w:sz w:val="36"/>
          <w:szCs w:val="36"/>
          <w:highlight w:val="none"/>
        </w:rPr>
        <w:t>响应文件格式</w:t>
      </w:r>
      <w:bookmarkEnd w:id="669"/>
      <w:bookmarkEnd w:id="670"/>
    </w:p>
    <w:p w14:paraId="57C9EC63">
      <w:pPr>
        <w:tabs>
          <w:tab w:val="left" w:pos="900"/>
          <w:tab w:val="left" w:pos="1980"/>
        </w:tabs>
        <w:snapToGrid w:val="0"/>
        <w:spacing w:line="360" w:lineRule="auto"/>
        <w:ind w:left="142"/>
        <w:rPr>
          <w:rFonts w:hint="eastAsia" w:ascii="宋体" w:hAnsi="宋体" w:eastAsia="宋体" w:cs="宋体"/>
          <w:b/>
          <w:color w:val="auto"/>
          <w:kern w:val="0"/>
          <w:sz w:val="24"/>
          <w:highlight w:val="none"/>
        </w:rPr>
      </w:pPr>
    </w:p>
    <w:p w14:paraId="62C73EEE">
      <w:pPr>
        <w:tabs>
          <w:tab w:val="left" w:pos="900"/>
          <w:tab w:val="left" w:pos="1980"/>
        </w:tabs>
        <w:snapToGrid w:val="0"/>
        <w:spacing w:line="360" w:lineRule="auto"/>
        <w:ind w:left="14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供应商编制文件须知</w:t>
      </w:r>
    </w:p>
    <w:p w14:paraId="4D32C7B0">
      <w:pPr>
        <w:tabs>
          <w:tab w:val="left" w:pos="900"/>
          <w:tab w:val="left" w:pos="1980"/>
        </w:tabs>
        <w:snapToGrid w:val="0"/>
        <w:spacing w:line="360" w:lineRule="auto"/>
        <w:ind w:left="142"/>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1、供应商按照本部分的顺序编制响应文件，编制中涉及格式资料的，应按照本部分提供的内容和格式（所有表格的格式可扩展）填写提交。</w:t>
      </w:r>
    </w:p>
    <w:p w14:paraId="2096FFA3">
      <w:pPr>
        <w:tabs>
          <w:tab w:val="left" w:pos="900"/>
          <w:tab w:val="left" w:pos="1980"/>
        </w:tabs>
        <w:snapToGrid w:val="0"/>
        <w:spacing w:line="360" w:lineRule="auto"/>
        <w:ind w:left="142"/>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kern w:val="0"/>
          <w:sz w:val="24"/>
          <w:highlight w:val="none"/>
        </w:rPr>
        <w:t>对于竞争性磋商文件中标记了“实质性格式”文件的，供应商</w:t>
      </w:r>
      <w:r>
        <w:rPr>
          <w:rFonts w:hint="eastAsia" w:ascii="宋体" w:hAnsi="宋体" w:eastAsia="宋体" w:cs="宋体"/>
          <w:color w:val="auto"/>
          <w:sz w:val="24"/>
          <w:highlight w:val="none"/>
        </w:rPr>
        <w:t>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eastAsia="宋体" w:cs="宋体"/>
          <w:b/>
          <w:color w:val="auto"/>
          <w:kern w:val="0"/>
          <w:sz w:val="24"/>
          <w:highlight w:val="none"/>
        </w:rPr>
        <w:t>否则响应无效</w:t>
      </w:r>
      <w:r>
        <w:rPr>
          <w:rFonts w:hint="eastAsia" w:ascii="宋体" w:hAnsi="宋体" w:eastAsia="宋体" w:cs="宋体"/>
          <w:color w:val="auto"/>
          <w:kern w:val="0"/>
          <w:sz w:val="24"/>
          <w:highlight w:val="none"/>
        </w:rPr>
        <w:t>。未标记“实质性格式”的文件和竞争性磋商文件未提供格式的内容，可由供应商自行编写。</w:t>
      </w:r>
    </w:p>
    <w:p w14:paraId="2449C1DF">
      <w:pPr>
        <w:tabs>
          <w:tab w:val="left" w:pos="900"/>
          <w:tab w:val="left" w:pos="1980"/>
        </w:tabs>
        <w:snapToGrid w:val="0"/>
        <w:spacing w:line="360" w:lineRule="auto"/>
        <w:ind w:left="142"/>
        <w:rPr>
          <w:rFonts w:hint="eastAsia" w:ascii="宋体" w:hAnsi="宋体" w:eastAsia="宋体" w:cs="宋体"/>
          <w:color w:val="auto"/>
          <w:sz w:val="24"/>
          <w:highlight w:val="none"/>
        </w:rPr>
      </w:pPr>
      <w:r>
        <w:rPr>
          <w:rFonts w:hint="eastAsia" w:ascii="宋体" w:hAnsi="宋体" w:eastAsia="宋体" w:cs="宋体"/>
          <w:color w:val="auto"/>
          <w:sz w:val="24"/>
          <w:highlight w:val="none"/>
        </w:rPr>
        <w:t>3、全部声明和问题的回答及所附材料必须是真实的、准确的和完整的。</w:t>
      </w:r>
    </w:p>
    <w:p w14:paraId="1E30B79F">
      <w:pPr>
        <w:pStyle w:val="29"/>
        <w:numPr>
          <w:ilvl w:val="0"/>
          <w:numId w:val="0"/>
        </w:numPr>
        <w:rPr>
          <w:rFonts w:hint="eastAsia" w:ascii="宋体" w:hAnsi="宋体" w:eastAsia="宋体" w:cs="宋体"/>
          <w:color w:val="auto"/>
          <w:highlight w:val="none"/>
        </w:rPr>
      </w:pPr>
    </w:p>
    <w:p w14:paraId="1DA3479B">
      <w:pPr>
        <w:widowControl/>
        <w:spacing w:line="360" w:lineRule="auto"/>
        <w:jc w:val="left"/>
        <w:rPr>
          <w:rFonts w:hint="eastAsia" w:ascii="宋体" w:hAnsi="宋体" w:eastAsia="宋体" w:cs="宋体"/>
          <w:b/>
          <w:color w:val="auto"/>
          <w:sz w:val="24"/>
          <w:highlight w:val="none"/>
        </w:rPr>
      </w:pPr>
    </w:p>
    <w:p w14:paraId="4FEADFE9">
      <w:pPr>
        <w:widowControl/>
        <w:jc w:val="left"/>
        <w:rPr>
          <w:rFonts w:hint="eastAsia" w:ascii="宋体" w:hAnsi="宋体" w:eastAsia="宋体" w:cs="宋体"/>
          <w:color w:val="auto"/>
          <w:sz w:val="24"/>
          <w:highlight w:val="none"/>
        </w:rPr>
      </w:pPr>
    </w:p>
    <w:p w14:paraId="40D24A14">
      <w:pPr>
        <w:widowControl/>
        <w:jc w:val="left"/>
        <w:rPr>
          <w:rFonts w:hint="eastAsia" w:ascii="宋体" w:hAnsi="宋体" w:eastAsia="宋体" w:cs="宋体"/>
          <w:color w:val="auto"/>
          <w:sz w:val="24"/>
          <w:highlight w:val="none"/>
        </w:rPr>
      </w:pPr>
    </w:p>
    <w:p w14:paraId="53B6335E">
      <w:pPr>
        <w:widowControl/>
        <w:jc w:val="left"/>
        <w:rPr>
          <w:rFonts w:hint="eastAsia" w:ascii="宋体" w:hAnsi="宋体" w:eastAsia="宋体" w:cs="宋体"/>
          <w:color w:val="auto"/>
          <w:sz w:val="24"/>
          <w:highlight w:val="none"/>
        </w:rPr>
      </w:pPr>
    </w:p>
    <w:p w14:paraId="38742C1D">
      <w:pPr>
        <w:widowControl/>
        <w:jc w:val="left"/>
        <w:rPr>
          <w:rFonts w:hint="eastAsia" w:ascii="宋体" w:hAnsi="宋体" w:eastAsia="宋体" w:cs="宋体"/>
          <w:color w:val="auto"/>
          <w:sz w:val="24"/>
          <w:highlight w:val="none"/>
        </w:rPr>
      </w:pPr>
    </w:p>
    <w:p w14:paraId="0D768A06">
      <w:pPr>
        <w:widowControl/>
        <w:jc w:val="left"/>
        <w:rPr>
          <w:rFonts w:hint="eastAsia" w:ascii="宋体" w:hAnsi="宋体" w:eastAsia="宋体" w:cs="宋体"/>
          <w:color w:val="auto"/>
          <w:sz w:val="24"/>
          <w:highlight w:val="none"/>
        </w:rPr>
      </w:pPr>
    </w:p>
    <w:p w14:paraId="7DAB6C1E">
      <w:pPr>
        <w:widowControl/>
        <w:jc w:val="left"/>
        <w:rPr>
          <w:rFonts w:hint="eastAsia" w:ascii="宋体" w:hAnsi="宋体" w:eastAsia="宋体" w:cs="宋体"/>
          <w:color w:val="auto"/>
          <w:sz w:val="24"/>
          <w:highlight w:val="none"/>
        </w:rPr>
      </w:pPr>
    </w:p>
    <w:p w14:paraId="634E8896">
      <w:pPr>
        <w:widowControl/>
        <w:jc w:val="left"/>
        <w:rPr>
          <w:rFonts w:hint="eastAsia" w:ascii="宋体" w:hAnsi="宋体" w:eastAsia="宋体" w:cs="宋体"/>
          <w:color w:val="auto"/>
          <w:sz w:val="24"/>
          <w:highlight w:val="none"/>
        </w:rPr>
      </w:pPr>
    </w:p>
    <w:p w14:paraId="010246F4">
      <w:pPr>
        <w:widowControl/>
        <w:jc w:val="left"/>
        <w:rPr>
          <w:rFonts w:hint="eastAsia" w:ascii="宋体" w:hAnsi="宋体" w:eastAsia="宋体" w:cs="宋体"/>
          <w:color w:val="auto"/>
          <w:sz w:val="24"/>
          <w:highlight w:val="none"/>
        </w:rPr>
      </w:pPr>
    </w:p>
    <w:p w14:paraId="0336382B">
      <w:pPr>
        <w:widowControl/>
        <w:jc w:val="left"/>
        <w:rPr>
          <w:rFonts w:hint="eastAsia" w:ascii="宋体" w:hAnsi="宋体" w:eastAsia="宋体" w:cs="宋体"/>
          <w:color w:val="auto"/>
          <w:sz w:val="24"/>
          <w:highlight w:val="none"/>
        </w:rPr>
      </w:pPr>
    </w:p>
    <w:p w14:paraId="52989569">
      <w:pPr>
        <w:widowControl/>
        <w:jc w:val="left"/>
        <w:rPr>
          <w:rFonts w:hint="eastAsia" w:ascii="宋体" w:hAnsi="宋体" w:eastAsia="宋体" w:cs="宋体"/>
          <w:color w:val="auto"/>
          <w:sz w:val="24"/>
          <w:highlight w:val="none"/>
        </w:rPr>
      </w:pPr>
    </w:p>
    <w:p w14:paraId="3FF3A46F">
      <w:pPr>
        <w:widowControl/>
        <w:jc w:val="left"/>
        <w:rPr>
          <w:rFonts w:hint="eastAsia" w:ascii="宋体" w:hAnsi="宋体" w:eastAsia="宋体" w:cs="宋体"/>
          <w:color w:val="auto"/>
          <w:sz w:val="24"/>
          <w:highlight w:val="none"/>
        </w:rPr>
      </w:pPr>
    </w:p>
    <w:p w14:paraId="79CF47A3">
      <w:pPr>
        <w:widowControl/>
        <w:jc w:val="left"/>
        <w:rPr>
          <w:rFonts w:hint="eastAsia" w:ascii="宋体" w:hAnsi="宋体" w:eastAsia="宋体" w:cs="宋体"/>
          <w:color w:val="auto"/>
          <w:sz w:val="24"/>
          <w:highlight w:val="none"/>
        </w:rPr>
      </w:pPr>
    </w:p>
    <w:p w14:paraId="4DCBC205">
      <w:pPr>
        <w:widowControl/>
        <w:jc w:val="left"/>
        <w:rPr>
          <w:rFonts w:hint="eastAsia" w:ascii="宋体" w:hAnsi="宋体" w:eastAsia="宋体" w:cs="宋体"/>
          <w:color w:val="auto"/>
          <w:sz w:val="24"/>
          <w:highlight w:val="none"/>
        </w:rPr>
      </w:pPr>
    </w:p>
    <w:p w14:paraId="72A28CDB">
      <w:pPr>
        <w:widowControl/>
        <w:jc w:val="left"/>
        <w:rPr>
          <w:rFonts w:hint="eastAsia" w:ascii="宋体" w:hAnsi="宋体" w:eastAsia="宋体" w:cs="宋体"/>
          <w:color w:val="auto"/>
          <w:sz w:val="24"/>
          <w:highlight w:val="none"/>
        </w:rPr>
      </w:pPr>
    </w:p>
    <w:p w14:paraId="5AC239EC">
      <w:pPr>
        <w:widowControl/>
        <w:jc w:val="left"/>
        <w:rPr>
          <w:rFonts w:hint="eastAsia" w:ascii="宋体" w:hAnsi="宋体" w:eastAsia="宋体" w:cs="宋体"/>
          <w:color w:val="auto"/>
          <w:sz w:val="24"/>
          <w:highlight w:val="none"/>
        </w:rPr>
      </w:pPr>
    </w:p>
    <w:p w14:paraId="33788119">
      <w:pPr>
        <w:widowControl/>
        <w:jc w:val="left"/>
        <w:rPr>
          <w:rFonts w:hint="eastAsia" w:ascii="宋体" w:hAnsi="宋体" w:eastAsia="宋体" w:cs="宋体"/>
          <w:color w:val="auto"/>
          <w:sz w:val="24"/>
          <w:highlight w:val="none"/>
        </w:rPr>
      </w:pPr>
    </w:p>
    <w:p w14:paraId="0AB44A86">
      <w:pPr>
        <w:widowControl/>
        <w:jc w:val="left"/>
        <w:rPr>
          <w:rFonts w:hint="eastAsia" w:ascii="宋体" w:hAnsi="宋体" w:eastAsia="宋体" w:cs="宋体"/>
          <w:color w:val="auto"/>
          <w:sz w:val="24"/>
          <w:highlight w:val="none"/>
        </w:rPr>
      </w:pPr>
    </w:p>
    <w:p w14:paraId="0B301F6C">
      <w:pPr>
        <w:widowControl/>
        <w:jc w:val="left"/>
        <w:rPr>
          <w:rFonts w:hint="eastAsia" w:ascii="宋体" w:hAnsi="宋体" w:eastAsia="宋体" w:cs="宋体"/>
          <w:color w:val="auto"/>
          <w:sz w:val="24"/>
          <w:highlight w:val="none"/>
        </w:rPr>
      </w:pPr>
    </w:p>
    <w:p w14:paraId="754893C6">
      <w:pPr>
        <w:widowControl/>
        <w:jc w:val="left"/>
        <w:rPr>
          <w:rFonts w:hint="eastAsia" w:ascii="宋体" w:hAnsi="宋体" w:eastAsia="宋体" w:cs="宋体"/>
          <w:color w:val="auto"/>
          <w:sz w:val="24"/>
          <w:highlight w:val="none"/>
        </w:rPr>
      </w:pPr>
    </w:p>
    <w:p w14:paraId="569A7FA1">
      <w:pPr>
        <w:widowControl/>
        <w:jc w:val="left"/>
        <w:rPr>
          <w:rFonts w:hint="eastAsia" w:ascii="宋体" w:hAnsi="宋体" w:eastAsia="宋体" w:cs="宋体"/>
          <w:color w:val="auto"/>
          <w:sz w:val="24"/>
          <w:highlight w:val="none"/>
        </w:rPr>
      </w:pPr>
    </w:p>
    <w:p w14:paraId="534877C0">
      <w:pPr>
        <w:widowControl/>
        <w:jc w:val="left"/>
        <w:rPr>
          <w:rFonts w:hint="eastAsia" w:ascii="宋体" w:hAnsi="宋体" w:eastAsia="宋体" w:cs="宋体"/>
          <w:color w:val="auto"/>
          <w:sz w:val="24"/>
          <w:highlight w:val="none"/>
        </w:rPr>
      </w:pPr>
    </w:p>
    <w:p w14:paraId="5EF3D105">
      <w:pPr>
        <w:widowControl/>
        <w:jc w:val="left"/>
        <w:rPr>
          <w:rFonts w:hint="eastAsia" w:ascii="宋体" w:hAnsi="宋体" w:eastAsia="宋体" w:cs="宋体"/>
          <w:color w:val="auto"/>
          <w:sz w:val="24"/>
          <w:highlight w:val="none"/>
        </w:rPr>
      </w:pPr>
    </w:p>
    <w:p w14:paraId="17D156EF">
      <w:pPr>
        <w:widowControl/>
        <w:jc w:val="left"/>
        <w:rPr>
          <w:rFonts w:hint="eastAsia" w:ascii="宋体" w:hAnsi="宋体" w:eastAsia="宋体" w:cs="宋体"/>
          <w:color w:val="auto"/>
          <w:sz w:val="24"/>
          <w:highlight w:val="none"/>
        </w:rPr>
      </w:pPr>
    </w:p>
    <w:p w14:paraId="44AEEAE5">
      <w:pPr>
        <w:widowControl/>
        <w:jc w:val="left"/>
        <w:rPr>
          <w:rFonts w:hint="eastAsia" w:ascii="宋体" w:hAnsi="宋体" w:eastAsia="宋体" w:cs="宋体"/>
          <w:color w:val="auto"/>
          <w:sz w:val="24"/>
          <w:highlight w:val="none"/>
        </w:rPr>
      </w:pPr>
    </w:p>
    <w:p w14:paraId="32FBC299">
      <w:pPr>
        <w:widowControl/>
        <w:jc w:val="left"/>
        <w:rPr>
          <w:rFonts w:hint="eastAsia" w:ascii="宋体" w:hAnsi="宋体" w:eastAsia="宋体" w:cs="宋体"/>
          <w:color w:val="auto"/>
          <w:sz w:val="24"/>
          <w:highlight w:val="none"/>
        </w:rPr>
      </w:pPr>
    </w:p>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14:paraId="603BBCFB">
      <w:pPr>
        <w:rPr>
          <w:rFonts w:hint="eastAsia" w:ascii="宋体" w:hAnsi="宋体" w:eastAsia="宋体" w:cs="宋体"/>
          <w:b/>
          <w:color w:val="auto"/>
          <w:spacing w:val="20"/>
          <w:szCs w:val="21"/>
          <w:highlight w:val="none"/>
        </w:rPr>
      </w:pPr>
    </w:p>
    <w:p w14:paraId="1EFFDA00">
      <w:pPr>
        <w:rPr>
          <w:rFonts w:hint="eastAsia" w:ascii="宋体" w:hAnsi="宋体" w:eastAsia="宋体" w:cs="宋体"/>
          <w:b/>
          <w:color w:val="auto"/>
          <w:sz w:val="24"/>
          <w:highlight w:val="none"/>
        </w:rPr>
      </w:pPr>
      <w:r>
        <w:rPr>
          <w:rFonts w:hint="eastAsia" w:ascii="宋体" w:hAnsi="宋体" w:eastAsia="宋体" w:cs="宋体"/>
          <w:b/>
          <w:color w:val="auto"/>
          <w:spacing w:val="20"/>
          <w:sz w:val="24"/>
          <w:highlight w:val="none"/>
        </w:rPr>
        <w:t>响应文件</w:t>
      </w:r>
      <w:r>
        <w:rPr>
          <w:rFonts w:hint="eastAsia" w:ascii="宋体" w:hAnsi="宋体" w:eastAsia="宋体" w:cs="宋体"/>
          <w:b/>
          <w:color w:val="auto"/>
          <w:sz w:val="24"/>
          <w:highlight w:val="none"/>
        </w:rPr>
        <w:t>封面（非实质性格式）</w:t>
      </w:r>
    </w:p>
    <w:p w14:paraId="5C362791">
      <w:pPr>
        <w:jc w:val="center"/>
        <w:rPr>
          <w:rFonts w:hint="eastAsia" w:ascii="宋体" w:hAnsi="宋体" w:eastAsia="宋体" w:cs="宋体"/>
          <w:color w:val="auto"/>
          <w:szCs w:val="21"/>
          <w:highlight w:val="none"/>
        </w:rPr>
      </w:pPr>
    </w:p>
    <w:p w14:paraId="30A72BCE">
      <w:pPr>
        <w:jc w:val="left"/>
        <w:rPr>
          <w:rFonts w:hint="eastAsia" w:ascii="宋体" w:hAnsi="宋体" w:eastAsia="宋体" w:cs="宋体"/>
          <w:b/>
          <w:color w:val="auto"/>
          <w:sz w:val="24"/>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b/>
          <w:color w:val="auto"/>
          <w:sz w:val="24"/>
          <w:highlight w:val="none"/>
        </w:rPr>
        <w:t xml:space="preserve"> </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36"/>
          <w:szCs w:val="36"/>
          <w:highlight w:val="none"/>
        </w:rPr>
        <w:t>正/副本</w:t>
      </w:r>
    </w:p>
    <w:p w14:paraId="55F62862">
      <w:pPr>
        <w:jc w:val="center"/>
        <w:rPr>
          <w:rFonts w:hint="eastAsia" w:ascii="宋体" w:hAnsi="宋体" w:eastAsia="宋体" w:cs="宋体"/>
          <w:color w:val="auto"/>
          <w:szCs w:val="21"/>
          <w:highlight w:val="none"/>
          <w:lang w:val="en-US" w:eastAsia="zh-CN"/>
        </w:rPr>
      </w:pPr>
    </w:p>
    <w:p w14:paraId="618DE919">
      <w:pPr>
        <w:jc w:val="center"/>
        <w:rPr>
          <w:rFonts w:hint="eastAsia" w:ascii="宋体" w:hAnsi="宋体" w:eastAsia="宋体" w:cs="宋体"/>
          <w:b/>
          <w:color w:val="auto"/>
          <w:spacing w:val="60"/>
          <w:sz w:val="84"/>
          <w:szCs w:val="84"/>
          <w:highlight w:val="none"/>
        </w:rPr>
      </w:pPr>
    </w:p>
    <w:p w14:paraId="77404FAC">
      <w:pPr>
        <w:jc w:val="center"/>
        <w:rPr>
          <w:rFonts w:hint="eastAsia" w:ascii="宋体" w:hAnsi="宋体" w:eastAsia="宋体" w:cs="宋体"/>
          <w:b/>
          <w:color w:val="auto"/>
          <w:spacing w:val="60"/>
          <w:sz w:val="84"/>
          <w:szCs w:val="84"/>
          <w:highlight w:val="none"/>
        </w:rPr>
      </w:pPr>
    </w:p>
    <w:p w14:paraId="125F8D32">
      <w:pPr>
        <w:jc w:val="center"/>
        <w:rPr>
          <w:rFonts w:hint="eastAsia" w:ascii="宋体" w:hAnsi="宋体" w:eastAsia="宋体" w:cs="宋体"/>
          <w:b/>
          <w:color w:val="auto"/>
          <w:spacing w:val="60"/>
          <w:sz w:val="84"/>
          <w:szCs w:val="84"/>
          <w:highlight w:val="none"/>
        </w:rPr>
      </w:pPr>
      <w:r>
        <w:rPr>
          <w:rFonts w:hint="eastAsia" w:ascii="宋体" w:hAnsi="宋体" w:eastAsia="宋体" w:cs="宋体"/>
          <w:b/>
          <w:color w:val="auto"/>
          <w:spacing w:val="60"/>
          <w:sz w:val="84"/>
          <w:szCs w:val="84"/>
          <w:highlight w:val="none"/>
        </w:rPr>
        <w:t>响 应 文 件</w:t>
      </w:r>
    </w:p>
    <w:p w14:paraId="1BFE74D1">
      <w:pPr>
        <w:jc w:val="center"/>
        <w:rPr>
          <w:rFonts w:hint="eastAsia" w:ascii="宋体" w:hAnsi="宋体" w:eastAsia="宋体" w:cs="宋体"/>
          <w:b/>
          <w:color w:val="auto"/>
          <w:spacing w:val="60"/>
          <w:sz w:val="52"/>
          <w:szCs w:val="52"/>
          <w:highlight w:val="none"/>
        </w:rPr>
      </w:pPr>
    </w:p>
    <w:p w14:paraId="62D75D61">
      <w:pPr>
        <w:ind w:firstLine="542" w:firstLineChars="150"/>
        <w:rPr>
          <w:rFonts w:hint="eastAsia" w:ascii="宋体" w:hAnsi="宋体" w:eastAsia="宋体" w:cs="宋体"/>
          <w:b/>
          <w:color w:val="auto"/>
          <w:spacing w:val="20"/>
          <w:sz w:val="32"/>
          <w:szCs w:val="32"/>
          <w:highlight w:val="none"/>
        </w:rPr>
      </w:pPr>
    </w:p>
    <w:p w14:paraId="72C49310">
      <w:pPr>
        <w:ind w:firstLine="542" w:firstLineChars="150"/>
        <w:rPr>
          <w:rFonts w:hint="eastAsia" w:ascii="宋体" w:hAnsi="宋体" w:eastAsia="宋体" w:cs="宋体"/>
          <w:b/>
          <w:color w:val="auto"/>
          <w:spacing w:val="20"/>
          <w:sz w:val="32"/>
          <w:szCs w:val="32"/>
          <w:highlight w:val="none"/>
        </w:rPr>
      </w:pPr>
    </w:p>
    <w:p w14:paraId="2C1414DC">
      <w:pPr>
        <w:keepNext w:val="0"/>
        <w:keepLines w:val="0"/>
        <w:pageBreakBefore w:val="0"/>
        <w:widowControl w:val="0"/>
        <w:kinsoku/>
        <w:wordWrap/>
        <w:overflowPunct/>
        <w:topLinePunct w:val="0"/>
        <w:autoSpaceDE/>
        <w:autoSpaceDN/>
        <w:bidi w:val="0"/>
        <w:adjustRightInd/>
        <w:snapToGrid/>
        <w:spacing w:line="480" w:lineRule="auto"/>
        <w:ind w:firstLine="361" w:firstLineChars="100"/>
        <w:textAlignment w:val="auto"/>
        <w:rPr>
          <w:rFonts w:hint="eastAsia" w:ascii="宋体" w:hAnsi="宋体" w:eastAsia="宋体" w:cs="宋体"/>
          <w:b/>
          <w:color w:val="auto"/>
          <w:spacing w:val="20"/>
          <w:sz w:val="32"/>
          <w:szCs w:val="32"/>
          <w:highlight w:val="none"/>
          <w:u w:val="single"/>
          <w:lang w:val="en-US" w:eastAsia="zh-CN"/>
        </w:rPr>
      </w:pPr>
      <w:r>
        <w:rPr>
          <w:rFonts w:hint="eastAsia" w:ascii="宋体" w:hAnsi="宋体" w:eastAsia="宋体" w:cs="宋体"/>
          <w:b/>
          <w:color w:val="auto"/>
          <w:spacing w:val="20"/>
          <w:sz w:val="32"/>
          <w:szCs w:val="32"/>
          <w:highlight w:val="none"/>
        </w:rPr>
        <w:t>项目名称:</w:t>
      </w:r>
    </w:p>
    <w:p w14:paraId="603EB8DD">
      <w:pPr>
        <w:keepNext w:val="0"/>
        <w:keepLines w:val="0"/>
        <w:pageBreakBefore w:val="0"/>
        <w:widowControl w:val="0"/>
        <w:kinsoku/>
        <w:wordWrap/>
        <w:overflowPunct/>
        <w:topLinePunct w:val="0"/>
        <w:autoSpaceDE/>
        <w:autoSpaceDN/>
        <w:bidi w:val="0"/>
        <w:adjustRightInd/>
        <w:snapToGrid/>
        <w:spacing w:line="480" w:lineRule="auto"/>
        <w:ind w:firstLine="361" w:firstLineChars="100"/>
        <w:textAlignment w:val="auto"/>
        <w:rPr>
          <w:rFonts w:hint="eastAsia" w:ascii="宋体" w:hAnsi="宋体" w:eastAsia="宋体" w:cs="宋体"/>
          <w:b/>
          <w:color w:val="auto"/>
          <w:spacing w:val="20"/>
          <w:sz w:val="32"/>
          <w:szCs w:val="32"/>
          <w:highlight w:val="none"/>
          <w:lang w:val="en-US" w:eastAsia="zh-CN"/>
        </w:rPr>
      </w:pPr>
      <w:r>
        <w:rPr>
          <w:rFonts w:hint="eastAsia" w:ascii="宋体" w:hAnsi="宋体" w:eastAsia="宋体" w:cs="宋体"/>
          <w:b/>
          <w:color w:val="auto"/>
          <w:spacing w:val="20"/>
          <w:sz w:val="32"/>
          <w:szCs w:val="32"/>
          <w:highlight w:val="none"/>
        </w:rPr>
        <w:t>项目编号</w:t>
      </w:r>
      <w:r>
        <w:rPr>
          <w:rFonts w:hint="eastAsia" w:ascii="宋体" w:hAnsi="宋体" w:eastAsia="宋体" w:cs="宋体"/>
          <w:b/>
          <w:color w:val="auto"/>
          <w:spacing w:val="20"/>
          <w:sz w:val="32"/>
          <w:szCs w:val="32"/>
          <w:highlight w:val="none"/>
          <w:lang w:val="en-US" w:eastAsia="zh-CN"/>
        </w:rPr>
        <w:t>、包号</w:t>
      </w:r>
      <w:r>
        <w:rPr>
          <w:rFonts w:hint="eastAsia" w:ascii="宋体" w:hAnsi="宋体" w:eastAsia="宋体" w:cs="宋体"/>
          <w:b/>
          <w:color w:val="auto"/>
          <w:spacing w:val="20"/>
          <w:sz w:val="32"/>
          <w:szCs w:val="32"/>
          <w:highlight w:val="none"/>
        </w:rPr>
        <w:t>：</w:t>
      </w:r>
      <w:r>
        <w:rPr>
          <w:rFonts w:hint="eastAsia" w:ascii="宋体" w:hAnsi="宋体" w:eastAsia="宋体" w:cs="宋体"/>
          <w:b/>
          <w:color w:val="auto"/>
          <w:spacing w:val="20"/>
          <w:sz w:val="32"/>
          <w:szCs w:val="32"/>
          <w:highlight w:val="none"/>
          <w:lang w:val="en-US" w:eastAsia="zh-CN"/>
        </w:rPr>
        <w:t xml:space="preserve">       </w:t>
      </w:r>
    </w:p>
    <w:p w14:paraId="1D12F830">
      <w:pPr>
        <w:keepNext w:val="0"/>
        <w:keepLines w:val="0"/>
        <w:pageBreakBefore w:val="0"/>
        <w:widowControl w:val="0"/>
        <w:kinsoku/>
        <w:wordWrap/>
        <w:overflowPunct/>
        <w:topLinePunct w:val="0"/>
        <w:autoSpaceDE/>
        <w:autoSpaceDN/>
        <w:bidi w:val="0"/>
        <w:adjustRightInd/>
        <w:snapToGrid/>
        <w:spacing w:line="480" w:lineRule="auto"/>
        <w:ind w:firstLine="361" w:firstLineChars="100"/>
        <w:jc w:val="left"/>
        <w:textAlignment w:val="auto"/>
        <w:rPr>
          <w:rFonts w:hint="eastAsia" w:ascii="宋体" w:hAnsi="宋体" w:eastAsia="宋体" w:cs="宋体"/>
          <w:b/>
          <w:color w:val="auto"/>
          <w:spacing w:val="20"/>
          <w:sz w:val="32"/>
          <w:szCs w:val="32"/>
          <w:highlight w:val="none"/>
          <w:u w:val="single"/>
          <w:lang w:val="en-US" w:eastAsia="zh-CN"/>
        </w:rPr>
      </w:pPr>
      <w:r>
        <w:rPr>
          <w:rFonts w:hint="eastAsia" w:ascii="宋体" w:hAnsi="宋体" w:eastAsia="宋体" w:cs="宋体"/>
          <w:b/>
          <w:color w:val="auto"/>
          <w:spacing w:val="20"/>
          <w:sz w:val="32"/>
          <w:szCs w:val="32"/>
          <w:highlight w:val="none"/>
        </w:rPr>
        <w:t>供应商名称</w:t>
      </w:r>
      <w:r>
        <w:rPr>
          <w:rFonts w:hint="eastAsia" w:ascii="宋体" w:hAnsi="宋体" w:eastAsia="宋体" w:cs="宋体"/>
          <w:b/>
          <w:color w:val="auto"/>
          <w:spacing w:val="20"/>
          <w:sz w:val="32"/>
          <w:szCs w:val="32"/>
          <w:highlight w:val="none"/>
          <w:lang w:eastAsia="zh-CN"/>
        </w:rPr>
        <w:t>（</w:t>
      </w:r>
      <w:r>
        <w:rPr>
          <w:rFonts w:hint="eastAsia" w:ascii="宋体" w:hAnsi="宋体" w:eastAsia="宋体" w:cs="宋体"/>
          <w:b/>
          <w:color w:val="auto"/>
          <w:spacing w:val="20"/>
          <w:sz w:val="32"/>
          <w:szCs w:val="32"/>
          <w:highlight w:val="none"/>
          <w:lang w:val="en-US" w:eastAsia="zh-CN"/>
        </w:rPr>
        <w:t>盖章</w:t>
      </w:r>
      <w:r>
        <w:rPr>
          <w:rFonts w:hint="eastAsia" w:ascii="宋体" w:hAnsi="宋体" w:eastAsia="宋体" w:cs="宋体"/>
          <w:b/>
          <w:color w:val="auto"/>
          <w:spacing w:val="20"/>
          <w:sz w:val="32"/>
          <w:szCs w:val="32"/>
          <w:highlight w:val="none"/>
          <w:lang w:eastAsia="zh-CN"/>
        </w:rPr>
        <w:t>）</w:t>
      </w:r>
      <w:r>
        <w:rPr>
          <w:rFonts w:hint="eastAsia" w:ascii="宋体" w:hAnsi="宋体" w:eastAsia="宋体" w:cs="宋体"/>
          <w:b/>
          <w:color w:val="auto"/>
          <w:spacing w:val="20"/>
          <w:sz w:val="32"/>
          <w:szCs w:val="32"/>
          <w:highlight w:val="none"/>
        </w:rPr>
        <w:t>：</w:t>
      </w:r>
    </w:p>
    <w:p w14:paraId="0940385B">
      <w:pPr>
        <w:pStyle w:val="31"/>
        <w:keepNext w:val="0"/>
        <w:keepLines w:val="0"/>
        <w:pageBreakBefore w:val="0"/>
        <w:widowControl w:val="0"/>
        <w:kinsoku/>
        <w:wordWrap/>
        <w:overflowPunct/>
        <w:topLinePunct w:val="0"/>
        <w:autoSpaceDE/>
        <w:autoSpaceDN/>
        <w:bidi w:val="0"/>
        <w:adjustRightInd/>
        <w:snapToGrid/>
        <w:spacing w:line="480" w:lineRule="auto"/>
        <w:ind w:firstLine="361" w:firstLineChars="100"/>
        <w:textAlignment w:val="auto"/>
        <w:rPr>
          <w:rFonts w:hint="eastAsia" w:ascii="宋体" w:hAnsi="宋体" w:eastAsia="宋体" w:cs="宋体"/>
          <w:b/>
          <w:color w:val="auto"/>
          <w:spacing w:val="20"/>
          <w:kern w:val="2"/>
          <w:sz w:val="32"/>
          <w:szCs w:val="32"/>
          <w:highlight w:val="none"/>
          <w:u w:val="single"/>
          <w:lang w:val="en-US" w:eastAsia="zh-CN" w:bidi="ar-SA"/>
        </w:rPr>
      </w:pPr>
      <w:r>
        <w:rPr>
          <w:rFonts w:hint="eastAsia" w:ascii="宋体" w:hAnsi="宋体" w:eastAsia="宋体" w:cs="宋体"/>
          <w:b/>
          <w:color w:val="auto"/>
          <w:spacing w:val="20"/>
          <w:kern w:val="2"/>
          <w:sz w:val="32"/>
          <w:szCs w:val="32"/>
          <w:highlight w:val="none"/>
          <w:lang w:val="en-US" w:eastAsia="zh-CN" w:bidi="ar-SA"/>
        </w:rPr>
        <w:t>日期：</w:t>
      </w:r>
    </w:p>
    <w:p w14:paraId="63564AAC">
      <w:pPr>
        <w:pStyle w:val="31"/>
        <w:rPr>
          <w:rFonts w:hint="eastAsia" w:ascii="宋体" w:hAnsi="宋体" w:eastAsia="宋体" w:cs="宋体"/>
          <w:color w:val="auto"/>
          <w:highlight w:val="none"/>
          <w:lang w:val="en-US" w:eastAsia="zh-CN"/>
        </w:rPr>
      </w:pPr>
    </w:p>
    <w:p w14:paraId="3F7FDEB4">
      <w:pPr>
        <w:jc w:val="center"/>
        <w:rPr>
          <w:rFonts w:hint="eastAsia" w:ascii="宋体" w:hAnsi="宋体" w:eastAsia="宋体" w:cs="宋体"/>
          <w:b/>
          <w:color w:val="auto"/>
          <w:sz w:val="32"/>
          <w:szCs w:val="32"/>
          <w:highlight w:val="none"/>
        </w:rPr>
      </w:pPr>
    </w:p>
    <w:p w14:paraId="1BB404C8">
      <w:pPr>
        <w:rPr>
          <w:rFonts w:hint="eastAsia" w:ascii="宋体" w:hAnsi="宋体" w:eastAsia="宋体" w:cs="宋体"/>
          <w:b/>
          <w:color w:val="auto"/>
          <w:highlight w:val="none"/>
        </w:rPr>
      </w:pPr>
      <w:r>
        <w:rPr>
          <w:rFonts w:hint="eastAsia" w:ascii="宋体" w:hAnsi="宋体" w:eastAsia="宋体" w:cs="宋体"/>
          <w:b/>
          <w:color w:val="auto"/>
          <w:spacing w:val="20"/>
          <w:sz w:val="32"/>
          <w:szCs w:val="32"/>
          <w:highlight w:val="none"/>
        </w:rPr>
        <w:br w:type="page"/>
      </w:r>
    </w:p>
    <w:p w14:paraId="41A8F6C2">
      <w:pPr>
        <w:tabs>
          <w:tab w:val="left" w:pos="360"/>
        </w:tabs>
        <w:snapToGrid w:val="0"/>
        <w:spacing w:line="360" w:lineRule="auto"/>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1 满足《中华人民共和国政府采购法》第二十二条规定</w:t>
      </w:r>
    </w:p>
    <w:p w14:paraId="32419545">
      <w:pPr>
        <w:spacing w:line="360" w:lineRule="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1-1 营业执照等证明文件</w:t>
      </w:r>
    </w:p>
    <w:p w14:paraId="7AD0B587">
      <w:pPr>
        <w:tabs>
          <w:tab w:val="left" w:pos="1080"/>
        </w:tabs>
        <w:snapToGrid w:val="0"/>
        <w:rPr>
          <w:rFonts w:hint="eastAsia" w:ascii="宋体" w:hAnsi="宋体" w:eastAsia="宋体" w:cs="宋体"/>
          <w:color w:val="auto"/>
          <w:sz w:val="24"/>
          <w:highlight w:val="none"/>
        </w:rPr>
      </w:pPr>
    </w:p>
    <w:p w14:paraId="468EB711">
      <w:pPr>
        <w:widowControl/>
        <w:jc w:val="left"/>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br w:type="page"/>
      </w:r>
    </w:p>
    <w:p w14:paraId="7C5C3228">
      <w:pPr>
        <w:pStyle w:val="5"/>
        <w:rPr>
          <w:rFonts w:hint="eastAsia" w:ascii="宋体" w:hAnsi="宋体" w:eastAsia="宋体" w:cs="宋体"/>
          <w:b w:val="0"/>
          <w:bCs/>
          <w:color w:val="auto"/>
          <w:szCs w:val="24"/>
          <w:highlight w:val="none"/>
          <w:u w:val="none"/>
        </w:rPr>
      </w:pPr>
      <w:r>
        <w:rPr>
          <w:rFonts w:hint="eastAsia" w:ascii="宋体" w:hAnsi="宋体" w:eastAsia="宋体" w:cs="宋体"/>
          <w:b w:val="0"/>
          <w:color w:val="auto"/>
          <w:szCs w:val="24"/>
          <w:highlight w:val="none"/>
          <w:u w:val="none"/>
        </w:rPr>
        <w:t>1-2 供应商资格声明书</w:t>
      </w:r>
    </w:p>
    <w:p w14:paraId="1437BA3E">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供应商资格声明书</w:t>
      </w:r>
    </w:p>
    <w:p w14:paraId="04C9F976">
      <w:pPr>
        <w:tabs>
          <w:tab w:val="left" w:pos="5580"/>
        </w:tabs>
        <w:spacing w:line="360" w:lineRule="auto"/>
        <w:rPr>
          <w:rFonts w:hint="eastAsia" w:ascii="宋体" w:hAnsi="宋体" w:eastAsia="宋体" w:cs="宋体"/>
          <w:color w:val="auto"/>
          <w:sz w:val="24"/>
          <w:highlight w:val="none"/>
        </w:rPr>
      </w:pPr>
    </w:p>
    <w:p w14:paraId="4B71EAD8">
      <w:pPr>
        <w:tabs>
          <w:tab w:val="left" w:pos="558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采购人或采购代理机构</w:t>
      </w:r>
    </w:p>
    <w:p w14:paraId="480B5D1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在参与本次项目磋商中，我单位承诺：</w:t>
      </w:r>
    </w:p>
    <w:p w14:paraId="25279AE1">
      <w:pPr>
        <w:numPr>
          <w:ilvl w:val="0"/>
          <w:numId w:val="17"/>
        </w:numPr>
        <w:spacing w:line="360" w:lineRule="auto"/>
        <w:ind w:left="1134"/>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具有良好的商业信誉和健全的财务会计制度；</w:t>
      </w:r>
    </w:p>
    <w:p w14:paraId="0BF10002">
      <w:pPr>
        <w:numPr>
          <w:ilvl w:val="0"/>
          <w:numId w:val="17"/>
        </w:numPr>
        <w:spacing w:line="360" w:lineRule="auto"/>
        <w:ind w:left="1134"/>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具有履行合同所必需的设备和专业技术能力；</w:t>
      </w:r>
    </w:p>
    <w:p w14:paraId="44934AD6">
      <w:pPr>
        <w:numPr>
          <w:ilvl w:val="0"/>
          <w:numId w:val="17"/>
        </w:numPr>
        <w:spacing w:line="360" w:lineRule="auto"/>
        <w:ind w:left="1134"/>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有依法缴纳税收和社会保障资金的良好记录；</w:t>
      </w:r>
    </w:p>
    <w:p w14:paraId="36F159A4">
      <w:pPr>
        <w:numPr>
          <w:ilvl w:val="0"/>
          <w:numId w:val="17"/>
        </w:numPr>
        <w:spacing w:line="360" w:lineRule="auto"/>
        <w:ind w:left="1134"/>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E7BF301">
      <w:pPr>
        <w:numPr>
          <w:ilvl w:val="0"/>
          <w:numId w:val="17"/>
        </w:numPr>
        <w:spacing w:line="360" w:lineRule="auto"/>
        <w:ind w:left="1134"/>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我单位不属于政府采购法律、行政法规规定的公益一类事业单位、或使用事业编制且由财政拨款保障的群团组织（仅适用于政府购买服务项目）；</w:t>
      </w:r>
    </w:p>
    <w:p w14:paraId="595E3075">
      <w:pPr>
        <w:numPr>
          <w:ilvl w:val="0"/>
          <w:numId w:val="17"/>
        </w:numPr>
        <w:spacing w:line="360" w:lineRule="auto"/>
        <w:ind w:left="1134"/>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我单位不存在为采购项目提供整体设计、规范编制或者项目管理、监理、检测等服务后，再参加该采购项目的其他采购活动的情形（单一来源采购项目除外）；</w:t>
      </w:r>
    </w:p>
    <w:p w14:paraId="374DFEC1">
      <w:pPr>
        <w:numPr>
          <w:ilvl w:val="0"/>
          <w:numId w:val="17"/>
        </w:numPr>
        <w:spacing w:line="360" w:lineRule="auto"/>
        <w:ind w:left="1134"/>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与我单位存在“单位负责人为同一人或者存在直接控股、管理关系”的其他法人单位信息如下（如有，不论其是否参加同一合同项下的政府采购活动均须填写）：</w:t>
      </w:r>
    </w:p>
    <w:tbl>
      <w:tblPr>
        <w:tblStyle w:val="44"/>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14:paraId="729A8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4AADB8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4574" w:type="dxa"/>
            <w:vAlign w:val="center"/>
          </w:tcPr>
          <w:p w14:paraId="460E429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w:t>
            </w:r>
          </w:p>
        </w:tc>
        <w:tc>
          <w:tcPr>
            <w:tcW w:w="2976" w:type="dxa"/>
            <w:vAlign w:val="center"/>
          </w:tcPr>
          <w:p w14:paraId="35737CE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相互关系</w:t>
            </w:r>
          </w:p>
        </w:tc>
      </w:tr>
      <w:tr w14:paraId="016A2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11092B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574" w:type="dxa"/>
            <w:vAlign w:val="center"/>
          </w:tcPr>
          <w:p w14:paraId="0E8742A7">
            <w:pPr>
              <w:jc w:val="center"/>
              <w:rPr>
                <w:rFonts w:hint="eastAsia" w:ascii="宋体" w:hAnsi="宋体" w:eastAsia="宋体" w:cs="宋体"/>
                <w:color w:val="auto"/>
                <w:sz w:val="24"/>
                <w:highlight w:val="none"/>
              </w:rPr>
            </w:pPr>
          </w:p>
        </w:tc>
        <w:tc>
          <w:tcPr>
            <w:tcW w:w="2976" w:type="dxa"/>
            <w:vAlign w:val="center"/>
          </w:tcPr>
          <w:p w14:paraId="4488C425">
            <w:pPr>
              <w:jc w:val="center"/>
              <w:rPr>
                <w:rFonts w:hint="eastAsia" w:ascii="宋体" w:hAnsi="宋体" w:eastAsia="宋体" w:cs="宋体"/>
                <w:color w:val="auto"/>
                <w:sz w:val="24"/>
                <w:highlight w:val="none"/>
              </w:rPr>
            </w:pPr>
          </w:p>
        </w:tc>
      </w:tr>
      <w:tr w14:paraId="27427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76B1969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574" w:type="dxa"/>
            <w:vAlign w:val="center"/>
          </w:tcPr>
          <w:p w14:paraId="338E8F1B">
            <w:pPr>
              <w:jc w:val="center"/>
              <w:rPr>
                <w:rFonts w:hint="eastAsia" w:ascii="宋体" w:hAnsi="宋体" w:eastAsia="宋体" w:cs="宋体"/>
                <w:color w:val="auto"/>
                <w:sz w:val="24"/>
                <w:highlight w:val="none"/>
              </w:rPr>
            </w:pPr>
          </w:p>
        </w:tc>
        <w:tc>
          <w:tcPr>
            <w:tcW w:w="2976" w:type="dxa"/>
            <w:vAlign w:val="center"/>
          </w:tcPr>
          <w:p w14:paraId="5B03A132">
            <w:pPr>
              <w:jc w:val="center"/>
              <w:rPr>
                <w:rFonts w:hint="eastAsia" w:ascii="宋体" w:hAnsi="宋体" w:eastAsia="宋体" w:cs="宋体"/>
                <w:color w:val="auto"/>
                <w:sz w:val="24"/>
                <w:highlight w:val="none"/>
              </w:rPr>
            </w:pPr>
          </w:p>
        </w:tc>
      </w:tr>
      <w:tr w14:paraId="2744D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535423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4574" w:type="dxa"/>
            <w:vAlign w:val="center"/>
          </w:tcPr>
          <w:p w14:paraId="6F4CB48D">
            <w:pPr>
              <w:jc w:val="center"/>
              <w:rPr>
                <w:rFonts w:hint="eastAsia" w:ascii="宋体" w:hAnsi="宋体" w:eastAsia="宋体" w:cs="宋体"/>
                <w:color w:val="auto"/>
                <w:sz w:val="24"/>
                <w:highlight w:val="none"/>
              </w:rPr>
            </w:pPr>
          </w:p>
        </w:tc>
        <w:tc>
          <w:tcPr>
            <w:tcW w:w="2976" w:type="dxa"/>
            <w:vAlign w:val="center"/>
          </w:tcPr>
          <w:p w14:paraId="43A9ED14">
            <w:pPr>
              <w:jc w:val="center"/>
              <w:rPr>
                <w:rFonts w:hint="eastAsia" w:ascii="宋体" w:hAnsi="宋体" w:eastAsia="宋体" w:cs="宋体"/>
                <w:color w:val="auto"/>
                <w:sz w:val="24"/>
                <w:highlight w:val="none"/>
              </w:rPr>
            </w:pPr>
          </w:p>
        </w:tc>
      </w:tr>
    </w:tbl>
    <w:p w14:paraId="2D0A889E">
      <w:pPr>
        <w:rPr>
          <w:rFonts w:hint="eastAsia" w:ascii="宋体" w:hAnsi="宋体" w:eastAsia="宋体" w:cs="宋体"/>
          <w:color w:val="auto"/>
          <w:highlight w:val="none"/>
        </w:rPr>
      </w:pPr>
    </w:p>
    <w:p w14:paraId="7B4B3DDE">
      <w:pPr>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上述声明真实有效，否则我方负全部责任。</w:t>
      </w:r>
    </w:p>
    <w:p w14:paraId="25EC0775">
      <w:pPr>
        <w:spacing w:line="360" w:lineRule="auto"/>
        <w:rPr>
          <w:rFonts w:hint="eastAsia" w:ascii="宋体" w:hAnsi="宋体" w:eastAsia="宋体" w:cs="宋体"/>
          <w:color w:val="auto"/>
          <w:sz w:val="24"/>
          <w:highlight w:val="none"/>
        </w:rPr>
      </w:pPr>
    </w:p>
    <w:p w14:paraId="715737D8">
      <w:pPr>
        <w:autoSpaceDE w:val="0"/>
        <w:autoSpaceDN w:val="0"/>
        <w:adjustRightInd w:val="0"/>
        <w:snapToGrid w:val="0"/>
        <w:spacing w:before="25" w:after="25" w:line="360" w:lineRule="auto"/>
        <w:ind w:right="360"/>
        <w:jc w:val="righ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供应商名称（加盖公章）</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______</w:t>
      </w:r>
    </w:p>
    <w:p w14:paraId="7B141CC4">
      <w:pPr>
        <w:spacing w:line="360" w:lineRule="auto"/>
        <w:ind w:right="360" w:firstLine="480"/>
        <w:jc w:val="right"/>
        <w:rPr>
          <w:rFonts w:hint="eastAsia" w:ascii="宋体" w:hAnsi="宋体" w:eastAsia="宋体" w:cs="宋体"/>
          <w:color w:val="auto"/>
          <w:sz w:val="24"/>
          <w:highlight w:val="none"/>
        </w:rPr>
      </w:pPr>
      <w:r>
        <w:rPr>
          <w:rFonts w:hint="eastAsia" w:ascii="宋体" w:hAnsi="宋体" w:eastAsia="宋体" w:cs="宋体"/>
          <w:color w:val="auto"/>
          <w:sz w:val="24"/>
          <w:szCs w:val="20"/>
          <w:highlight w:val="none"/>
        </w:rPr>
        <w:t xml:space="preserve">日期：____年____月____日   </w:t>
      </w:r>
    </w:p>
    <w:p w14:paraId="4AB8D55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说明：供应商承诺不实的，依据《政府采购法》第七十七条“提供虚假材料谋取中标、成交的”有关规定予以处理。</w:t>
      </w:r>
    </w:p>
    <w:p w14:paraId="0090FA00">
      <w:pPr>
        <w:tabs>
          <w:tab w:val="left" w:pos="5580"/>
        </w:tabs>
        <w:spacing w:line="360" w:lineRule="auto"/>
        <w:rPr>
          <w:rFonts w:hint="eastAsia" w:ascii="宋体" w:hAnsi="宋体" w:eastAsia="宋体" w:cs="宋体"/>
          <w:color w:val="auto"/>
          <w:sz w:val="24"/>
          <w:highlight w:val="none"/>
        </w:rPr>
        <w:sectPr>
          <w:headerReference r:id="rId9" w:type="default"/>
          <w:footerReference r:id="rId10" w:type="default"/>
          <w:pgSz w:w="11905" w:h="16838"/>
          <w:pgMar w:top="1417" w:right="1417" w:bottom="1417" w:left="1417" w:header="851" w:footer="992" w:gutter="0"/>
          <w:pgNumType w:fmt="decimal"/>
          <w:cols w:space="0" w:num="1"/>
          <w:rtlGutter w:val="0"/>
          <w:docGrid w:linePitch="462" w:charSpace="0"/>
        </w:sectPr>
      </w:pPr>
    </w:p>
    <w:p w14:paraId="6150C8E0">
      <w:pPr>
        <w:tabs>
          <w:tab w:val="left" w:pos="360"/>
        </w:tabs>
        <w:snapToGrid w:val="0"/>
        <w:spacing w:line="360" w:lineRule="auto"/>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2 落实政府采购政策需满足的资格要求（如有）</w:t>
      </w:r>
    </w:p>
    <w:p w14:paraId="54B29271">
      <w:pPr>
        <w:spacing w:line="360" w:lineRule="auto"/>
        <w:outlineLvl w:val="2"/>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2-1 中小企业证明文件</w:t>
      </w:r>
    </w:p>
    <w:p w14:paraId="55CD8B0D">
      <w:pPr>
        <w:tabs>
          <w:tab w:val="left" w:pos="558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p w14:paraId="6F2CCD38">
      <w:pPr>
        <w:tabs>
          <w:tab w:val="left" w:pos="558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否则不享受相关中小企业扶持政策。</w:t>
      </w:r>
    </w:p>
    <w:p w14:paraId="051B9B17">
      <w:pPr>
        <w:tabs>
          <w:tab w:val="left" w:pos="558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如本项目（包）专门面向中小企业采购，响应文件中须提供《中小企业声明函》或《残疾人福利性单位声明函》，或提供由省级以上监狱管理局、戒毒管理局（含新疆生产建设兵团）出具的属于监狱企业的证明文件。</w:t>
      </w:r>
    </w:p>
    <w:p w14:paraId="68ADEB25">
      <w:pPr>
        <w:tabs>
          <w:tab w:val="left" w:pos="558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4A1ADA26">
      <w:pPr>
        <w:tabs>
          <w:tab w:val="left" w:pos="558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（4）中小企业声明函填写注意事项1）《中小企业声明函》由参加政府采购活动的供应商出具。联合体参与的，《中小企业声明函》可由牵头人出具。</w:t>
      </w:r>
    </w:p>
    <w:p w14:paraId="32972C3D">
      <w:pPr>
        <w:tabs>
          <w:tab w:val="left" w:pos="558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182C67CE">
      <w:pPr>
        <w:tabs>
          <w:tab w:val="left" w:pos="558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3）对于多标的采购项目，供应商应充分、准确地了解所提供货物的制造企业、提供服务的承接企业信息。对相关情况了解不清楚的，不建议填报本声明函。</w:t>
      </w:r>
    </w:p>
    <w:p w14:paraId="65D48488">
      <w:pPr>
        <w:tabs>
          <w:tab w:val="left" w:pos="558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4BD4BA39">
      <w:pPr>
        <w:widowControl/>
        <w:jc w:val="left"/>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01E8A34E">
      <w:pPr>
        <w:pStyle w:val="6"/>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2-1-1 中小企业声明函及残疾人福利性单位声明函格式</w:t>
      </w:r>
    </w:p>
    <w:p w14:paraId="09387128">
      <w:pPr>
        <w:spacing w:before="240" w:beforeLines="100" w:after="240" w:afterLines="100"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中小企业声明函（工程、服务）格式</w:t>
      </w:r>
    </w:p>
    <w:p w14:paraId="1E03DFC9">
      <w:pPr>
        <w:spacing w:line="360" w:lineRule="auto"/>
        <w:ind w:firstLine="504"/>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41620B1">
      <w:pPr>
        <w:spacing w:line="360" w:lineRule="auto"/>
        <w:ind w:firstLine="504"/>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1.</w:t>
      </w:r>
      <w:r>
        <w:rPr>
          <w:rFonts w:hint="eastAsia" w:ascii="宋体" w:hAnsi="宋体" w:eastAsia="宋体" w:cs="宋体"/>
          <w:color w:val="auto"/>
          <w:spacing w:val="6"/>
          <w:sz w:val="24"/>
          <w:highlight w:val="none"/>
          <w:u w:val="single"/>
        </w:rPr>
        <w:t xml:space="preserve"> （标的名称） </w:t>
      </w:r>
      <w:r>
        <w:rPr>
          <w:rFonts w:hint="eastAsia" w:ascii="宋体" w:hAnsi="宋体" w:eastAsia="宋体" w:cs="宋体"/>
          <w:color w:val="auto"/>
          <w:spacing w:val="6"/>
          <w:sz w:val="24"/>
          <w:highlight w:val="none"/>
        </w:rPr>
        <w:t>，属于</w:t>
      </w:r>
      <w:r>
        <w:rPr>
          <w:rFonts w:hint="eastAsia" w:ascii="宋体" w:hAnsi="宋体" w:eastAsia="宋体" w:cs="宋体"/>
          <w:color w:val="auto"/>
          <w:spacing w:val="6"/>
          <w:sz w:val="24"/>
          <w:highlight w:val="none"/>
          <w:u w:val="single"/>
        </w:rPr>
        <w:t>（采购文件中明确的所属行业）</w:t>
      </w:r>
      <w:r>
        <w:rPr>
          <w:rFonts w:hint="eastAsia" w:ascii="宋体" w:hAnsi="宋体" w:eastAsia="宋体" w:cs="宋体"/>
          <w:color w:val="auto"/>
          <w:spacing w:val="6"/>
          <w:sz w:val="24"/>
          <w:highlight w:val="none"/>
        </w:rPr>
        <w:t>行业；承建（承接）企业为</w:t>
      </w:r>
      <w:r>
        <w:rPr>
          <w:rFonts w:hint="eastAsia" w:ascii="宋体" w:hAnsi="宋体" w:eastAsia="宋体" w:cs="宋体"/>
          <w:color w:val="auto"/>
          <w:spacing w:val="6"/>
          <w:sz w:val="24"/>
          <w:highlight w:val="none"/>
          <w:u w:val="single"/>
        </w:rPr>
        <w:t>（企业名称）</w:t>
      </w:r>
      <w:r>
        <w:rPr>
          <w:rFonts w:hint="eastAsia" w:ascii="宋体" w:hAnsi="宋体" w:eastAsia="宋体" w:cs="宋体"/>
          <w:color w:val="auto"/>
          <w:spacing w:val="6"/>
          <w:sz w:val="24"/>
          <w:highlight w:val="none"/>
        </w:rPr>
        <w:t>，从业人员</w:t>
      </w:r>
      <w:r>
        <w:rPr>
          <w:rFonts w:hint="eastAsia" w:ascii="宋体" w:hAnsi="宋体" w:eastAsia="宋体" w:cs="宋体"/>
          <w:color w:val="auto"/>
          <w:sz w:val="24"/>
          <w:highlight w:val="none"/>
        </w:rPr>
        <w:t>______</w:t>
      </w:r>
      <w:r>
        <w:rPr>
          <w:rFonts w:hint="eastAsia" w:ascii="宋体" w:hAnsi="宋体" w:eastAsia="宋体" w:cs="宋体"/>
          <w:color w:val="auto"/>
          <w:spacing w:val="6"/>
          <w:sz w:val="24"/>
          <w:highlight w:val="none"/>
        </w:rPr>
        <w:t>人，营业收入为</w:t>
      </w:r>
      <w:r>
        <w:rPr>
          <w:rFonts w:hint="eastAsia" w:ascii="宋体" w:hAnsi="宋体" w:eastAsia="宋体" w:cs="宋体"/>
          <w:color w:val="auto"/>
          <w:sz w:val="24"/>
          <w:highlight w:val="none"/>
        </w:rPr>
        <w:t>______</w:t>
      </w:r>
      <w:r>
        <w:rPr>
          <w:rFonts w:hint="eastAsia" w:ascii="宋体" w:hAnsi="宋体" w:eastAsia="宋体" w:cs="宋体"/>
          <w:color w:val="auto"/>
          <w:spacing w:val="6"/>
          <w:sz w:val="24"/>
          <w:highlight w:val="none"/>
        </w:rPr>
        <w:t>万元，资产总额为</w:t>
      </w:r>
      <w:r>
        <w:rPr>
          <w:rFonts w:hint="eastAsia" w:ascii="宋体" w:hAnsi="宋体" w:eastAsia="宋体" w:cs="宋体"/>
          <w:color w:val="auto"/>
          <w:sz w:val="24"/>
          <w:highlight w:val="none"/>
        </w:rPr>
        <w:t>______</w:t>
      </w:r>
      <w:r>
        <w:rPr>
          <w:rFonts w:hint="eastAsia" w:ascii="宋体" w:hAnsi="宋体" w:eastAsia="宋体" w:cs="宋体"/>
          <w:color w:val="auto"/>
          <w:spacing w:val="6"/>
          <w:sz w:val="24"/>
          <w:highlight w:val="none"/>
        </w:rPr>
        <w:t>万元</w:t>
      </w:r>
      <w:r>
        <w:rPr>
          <w:rFonts w:hint="eastAsia" w:ascii="宋体" w:hAnsi="宋体" w:eastAsia="宋体" w:cs="宋体"/>
          <w:color w:val="auto"/>
          <w:spacing w:val="6"/>
          <w:sz w:val="24"/>
          <w:highlight w:val="none"/>
          <w:vertAlign w:val="superscript"/>
        </w:rPr>
        <w:t>1</w:t>
      </w:r>
      <w:r>
        <w:rPr>
          <w:rFonts w:hint="eastAsia" w:ascii="宋体" w:hAnsi="宋体" w:eastAsia="宋体" w:cs="宋体"/>
          <w:color w:val="auto"/>
          <w:spacing w:val="6"/>
          <w:sz w:val="24"/>
          <w:highlight w:val="none"/>
        </w:rPr>
        <w:t>，属于（中型企业、小型企业、微型企业）；</w:t>
      </w:r>
    </w:p>
    <w:p w14:paraId="01C5ABA7">
      <w:pPr>
        <w:spacing w:line="360" w:lineRule="auto"/>
        <w:ind w:firstLine="504"/>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2. </w:t>
      </w:r>
      <w:r>
        <w:rPr>
          <w:rFonts w:hint="eastAsia" w:ascii="宋体" w:hAnsi="宋体" w:eastAsia="宋体" w:cs="宋体"/>
          <w:color w:val="auto"/>
          <w:spacing w:val="6"/>
          <w:sz w:val="24"/>
          <w:highlight w:val="none"/>
          <w:u w:val="single"/>
        </w:rPr>
        <w:t xml:space="preserve">（标的名称） </w:t>
      </w:r>
      <w:r>
        <w:rPr>
          <w:rFonts w:hint="eastAsia" w:ascii="宋体" w:hAnsi="宋体" w:eastAsia="宋体" w:cs="宋体"/>
          <w:color w:val="auto"/>
          <w:spacing w:val="6"/>
          <w:sz w:val="24"/>
          <w:highlight w:val="none"/>
        </w:rPr>
        <w:t>，属于</w:t>
      </w:r>
      <w:r>
        <w:rPr>
          <w:rFonts w:hint="eastAsia" w:ascii="宋体" w:hAnsi="宋体" w:eastAsia="宋体" w:cs="宋体"/>
          <w:color w:val="auto"/>
          <w:spacing w:val="6"/>
          <w:sz w:val="24"/>
          <w:highlight w:val="none"/>
          <w:u w:val="single"/>
        </w:rPr>
        <w:t>（采购文件中明确的所属行业）</w:t>
      </w:r>
      <w:r>
        <w:rPr>
          <w:rFonts w:hint="eastAsia" w:ascii="宋体" w:hAnsi="宋体" w:eastAsia="宋体" w:cs="宋体"/>
          <w:color w:val="auto"/>
          <w:spacing w:val="6"/>
          <w:sz w:val="24"/>
          <w:highlight w:val="none"/>
        </w:rPr>
        <w:t>行业；承建（承接）企业为</w:t>
      </w:r>
      <w:r>
        <w:rPr>
          <w:rFonts w:hint="eastAsia" w:ascii="宋体" w:hAnsi="宋体" w:eastAsia="宋体" w:cs="宋体"/>
          <w:color w:val="auto"/>
          <w:spacing w:val="6"/>
          <w:sz w:val="24"/>
          <w:highlight w:val="none"/>
          <w:u w:val="single"/>
        </w:rPr>
        <w:t>（企业名称）</w:t>
      </w:r>
      <w:r>
        <w:rPr>
          <w:rFonts w:hint="eastAsia" w:ascii="宋体" w:hAnsi="宋体" w:eastAsia="宋体" w:cs="宋体"/>
          <w:color w:val="auto"/>
          <w:spacing w:val="6"/>
          <w:sz w:val="24"/>
          <w:highlight w:val="none"/>
        </w:rPr>
        <w:t>，从业人员</w:t>
      </w:r>
      <w:r>
        <w:rPr>
          <w:rFonts w:hint="eastAsia" w:ascii="宋体" w:hAnsi="宋体" w:eastAsia="宋体" w:cs="宋体"/>
          <w:color w:val="auto"/>
          <w:sz w:val="24"/>
          <w:highlight w:val="none"/>
        </w:rPr>
        <w:t>______</w:t>
      </w:r>
      <w:r>
        <w:rPr>
          <w:rFonts w:hint="eastAsia" w:ascii="宋体" w:hAnsi="宋体" w:eastAsia="宋体" w:cs="宋体"/>
          <w:color w:val="auto"/>
          <w:spacing w:val="6"/>
          <w:sz w:val="24"/>
          <w:highlight w:val="none"/>
        </w:rPr>
        <w:t>人，营业收入为</w:t>
      </w:r>
      <w:r>
        <w:rPr>
          <w:rFonts w:hint="eastAsia" w:ascii="宋体" w:hAnsi="宋体" w:eastAsia="宋体" w:cs="宋体"/>
          <w:color w:val="auto"/>
          <w:sz w:val="24"/>
          <w:highlight w:val="none"/>
        </w:rPr>
        <w:t>______</w:t>
      </w:r>
      <w:r>
        <w:rPr>
          <w:rFonts w:hint="eastAsia" w:ascii="宋体" w:hAnsi="宋体" w:eastAsia="宋体" w:cs="宋体"/>
          <w:color w:val="auto"/>
          <w:spacing w:val="6"/>
          <w:sz w:val="24"/>
          <w:highlight w:val="none"/>
        </w:rPr>
        <w:t>万元，资产总额为</w:t>
      </w:r>
      <w:r>
        <w:rPr>
          <w:rFonts w:hint="eastAsia" w:ascii="宋体" w:hAnsi="宋体" w:eastAsia="宋体" w:cs="宋体"/>
          <w:color w:val="auto"/>
          <w:sz w:val="24"/>
          <w:highlight w:val="none"/>
        </w:rPr>
        <w:t>______</w:t>
      </w:r>
      <w:r>
        <w:rPr>
          <w:rFonts w:hint="eastAsia" w:ascii="宋体" w:hAnsi="宋体" w:eastAsia="宋体" w:cs="宋体"/>
          <w:color w:val="auto"/>
          <w:spacing w:val="6"/>
          <w:sz w:val="24"/>
          <w:highlight w:val="none"/>
        </w:rPr>
        <w:t>万元，属于</w:t>
      </w:r>
      <w:r>
        <w:rPr>
          <w:rFonts w:hint="eastAsia" w:ascii="宋体" w:hAnsi="宋体" w:eastAsia="宋体" w:cs="宋体"/>
          <w:color w:val="auto"/>
          <w:spacing w:val="6"/>
          <w:sz w:val="24"/>
          <w:highlight w:val="none"/>
          <w:u w:val="single"/>
        </w:rPr>
        <w:t>（中型企业、小型企业、微型企业）</w:t>
      </w:r>
      <w:r>
        <w:rPr>
          <w:rFonts w:hint="eastAsia" w:ascii="宋体" w:hAnsi="宋体" w:eastAsia="宋体" w:cs="宋体"/>
          <w:color w:val="auto"/>
          <w:spacing w:val="6"/>
          <w:sz w:val="24"/>
          <w:highlight w:val="none"/>
        </w:rPr>
        <w:t>；</w:t>
      </w:r>
    </w:p>
    <w:p w14:paraId="713B7546">
      <w:pPr>
        <w:spacing w:line="360" w:lineRule="auto"/>
        <w:ind w:firstLine="504"/>
        <w:rPr>
          <w:rFonts w:hint="eastAsia" w:ascii="宋体" w:hAnsi="宋体" w:eastAsia="宋体" w:cs="宋体"/>
          <w:color w:val="auto"/>
          <w:spacing w:val="6"/>
          <w:sz w:val="24"/>
          <w:highlight w:val="none"/>
        </w:rPr>
      </w:pPr>
    </w:p>
    <w:p w14:paraId="2E4B8DD4">
      <w:pPr>
        <w:spacing w:line="360" w:lineRule="auto"/>
        <w:ind w:firstLine="504"/>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w:t>
      </w:r>
    </w:p>
    <w:p w14:paraId="394A22F0">
      <w:pPr>
        <w:spacing w:line="360" w:lineRule="auto"/>
        <w:ind w:firstLine="504"/>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以上企业，不属于大企业的分支机构，不存在控股股东为大企业的情形，也不存在与大企业的负责人为同一人的情形。</w:t>
      </w:r>
    </w:p>
    <w:p w14:paraId="37272990">
      <w:pPr>
        <w:spacing w:line="360" w:lineRule="auto"/>
        <w:ind w:firstLine="504"/>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本企业对上述声明内容的真实性负责。如有虚假，将依法承担相应责任。</w:t>
      </w:r>
    </w:p>
    <w:p w14:paraId="519DCD8C">
      <w:pPr>
        <w:spacing w:line="360" w:lineRule="auto"/>
        <w:ind w:right="360" w:firstLine="480"/>
        <w:jc w:val="right"/>
        <w:rPr>
          <w:rFonts w:hint="eastAsia" w:ascii="宋体" w:hAnsi="宋体" w:eastAsia="宋体" w:cs="宋体"/>
          <w:color w:val="auto"/>
          <w:sz w:val="24"/>
          <w:highlight w:val="none"/>
        </w:rPr>
      </w:pPr>
    </w:p>
    <w:p w14:paraId="6F2B559A">
      <w:pPr>
        <w:spacing w:line="360" w:lineRule="auto"/>
        <w:ind w:right="360" w:firstLine="48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企业名称（盖章）：______</w:t>
      </w:r>
    </w:p>
    <w:p w14:paraId="7CD69E2D">
      <w:pPr>
        <w:spacing w:line="360" w:lineRule="auto"/>
        <w:ind w:right="360" w:firstLine="48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期：______</w:t>
      </w:r>
    </w:p>
    <w:p w14:paraId="476B0AA7">
      <w:pPr>
        <w:adjustRightInd w:val="0"/>
        <w:snapToGrid w:val="0"/>
        <w:jc w:val="left"/>
        <w:rPr>
          <w:rFonts w:hint="eastAsia" w:ascii="宋体" w:hAnsi="宋体" w:eastAsia="宋体" w:cs="宋体"/>
          <w:color w:val="auto"/>
          <w:sz w:val="24"/>
          <w:szCs w:val="21"/>
          <w:highlight w:val="none"/>
        </w:rPr>
      </w:pPr>
    </w:p>
    <w:p w14:paraId="5449D425">
      <w:pPr>
        <w:adjustRightInd w:val="0"/>
        <w:snapToGrid w:val="0"/>
        <w:jc w:val="left"/>
        <w:rPr>
          <w:rFonts w:hint="eastAsia" w:ascii="宋体" w:hAnsi="宋体" w:eastAsia="宋体" w:cs="宋体"/>
          <w:color w:val="auto"/>
          <w:sz w:val="24"/>
          <w:szCs w:val="21"/>
          <w:highlight w:val="none"/>
        </w:rPr>
      </w:pPr>
    </w:p>
    <w:tbl>
      <w:tblPr>
        <w:tblStyle w:val="44"/>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606B1591">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c>
          <w:tcPr>
            <w:tcW w:w="8946" w:type="dxa"/>
            <w:shd w:val="clear" w:color="auto" w:fill="auto"/>
          </w:tcPr>
          <w:p w14:paraId="3D75A0D6">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vertAlign w:val="superscript"/>
              </w:rPr>
              <w:t>1</w:t>
            </w:r>
            <w:r>
              <w:rPr>
                <w:rFonts w:hint="eastAsia" w:ascii="宋体" w:hAnsi="宋体" w:eastAsia="宋体" w:cs="宋体"/>
                <w:color w:val="auto"/>
                <w:szCs w:val="21"/>
                <w:highlight w:val="none"/>
              </w:rPr>
              <w:t>从业人员、营业收入、资产总额填报上一年度数据，无上一年度数据的新成立企业可不填报。</w:t>
            </w:r>
          </w:p>
        </w:tc>
      </w:tr>
    </w:tbl>
    <w:p w14:paraId="27C900C9">
      <w:pPr>
        <w:adjustRightInd w:val="0"/>
        <w:snapToGrid w:val="0"/>
        <w:jc w:val="left"/>
        <w:rPr>
          <w:rFonts w:hint="eastAsia" w:ascii="宋体" w:hAnsi="宋体" w:eastAsia="宋体" w:cs="宋体"/>
          <w:color w:val="auto"/>
          <w:szCs w:val="21"/>
          <w:highlight w:val="none"/>
          <w:vertAlign w:val="superscript"/>
        </w:rPr>
      </w:pPr>
    </w:p>
    <w:p w14:paraId="7592747F">
      <w:pPr>
        <w:spacing w:line="360" w:lineRule="auto"/>
        <w:ind w:right="360" w:firstLine="480"/>
        <w:jc w:val="right"/>
        <w:rPr>
          <w:rFonts w:hint="eastAsia" w:ascii="宋体" w:hAnsi="宋体" w:eastAsia="宋体" w:cs="宋体"/>
          <w:color w:val="auto"/>
          <w:sz w:val="24"/>
          <w:highlight w:val="none"/>
        </w:rPr>
      </w:pPr>
    </w:p>
    <w:p w14:paraId="120E3F3E">
      <w:pPr>
        <w:spacing w:line="360" w:lineRule="auto"/>
        <w:ind w:right="360" w:firstLine="480"/>
        <w:jc w:val="right"/>
        <w:rPr>
          <w:rFonts w:hint="eastAsia" w:ascii="宋体" w:hAnsi="宋体" w:eastAsia="宋体" w:cs="宋体"/>
          <w:color w:val="auto"/>
          <w:sz w:val="24"/>
          <w:highlight w:val="none"/>
        </w:rPr>
      </w:pPr>
    </w:p>
    <w:p w14:paraId="0D76AB15">
      <w:pPr>
        <w:spacing w:line="360" w:lineRule="auto"/>
        <w:ind w:right="360" w:firstLine="480"/>
        <w:jc w:val="righ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br w:type="page"/>
      </w:r>
    </w:p>
    <w:p w14:paraId="0313CAF7">
      <w:pPr>
        <w:spacing w:before="240" w:beforeLines="100" w:after="240" w:afterLines="100" w:line="360" w:lineRule="auto"/>
        <w:jc w:val="center"/>
        <w:rPr>
          <w:rFonts w:hint="eastAsia" w:ascii="宋体" w:hAnsi="宋体" w:eastAsia="宋体" w:cs="宋体"/>
          <w:b/>
          <w:color w:val="auto"/>
          <w:sz w:val="36"/>
          <w:szCs w:val="36"/>
          <w:highlight w:val="none"/>
        </w:rPr>
      </w:pPr>
      <w:r>
        <w:rPr>
          <w:rFonts w:hint="eastAsia" w:ascii="宋体" w:hAnsi="宋体" w:eastAsia="宋体" w:cs="宋体"/>
          <w:b/>
          <w:bCs/>
          <w:color w:val="auto"/>
          <w:sz w:val="36"/>
          <w:szCs w:val="36"/>
          <w:highlight w:val="none"/>
        </w:rPr>
        <w:t>残疾人福利性单位声明函格式</w:t>
      </w:r>
      <w:r>
        <w:rPr>
          <w:rFonts w:hint="eastAsia" w:ascii="宋体" w:hAnsi="宋体" w:eastAsia="宋体" w:cs="宋体"/>
          <w:b/>
          <w:color w:val="auto"/>
          <w:sz w:val="36"/>
          <w:szCs w:val="36"/>
          <w:highlight w:val="none"/>
        </w:rPr>
        <w:t xml:space="preserve">       </w:t>
      </w:r>
    </w:p>
    <w:p w14:paraId="3287A54F">
      <w:pPr>
        <w:spacing w:line="588" w:lineRule="exact"/>
        <w:ind w:firstLine="504"/>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highlight w:val="none"/>
        </w:rPr>
        <w:t>〔2017〕 141</w:t>
      </w:r>
      <w:r>
        <w:rPr>
          <w:rFonts w:hint="eastAsia" w:ascii="宋体" w:hAnsi="宋体" w:eastAsia="宋体" w:cs="宋体"/>
          <w:color w:val="auto"/>
          <w:spacing w:val="6"/>
          <w:sz w:val="24"/>
          <w:highlight w:val="none"/>
        </w:rPr>
        <w:t>号）的规定，本单位</w:t>
      </w:r>
      <w:r>
        <w:rPr>
          <w:rFonts w:hint="eastAsia" w:ascii="宋体" w:hAnsi="宋体" w:eastAsia="宋体" w:cs="宋体"/>
          <w:b/>
          <w:color w:val="auto"/>
          <w:sz w:val="24"/>
          <w:highlight w:val="none"/>
        </w:rPr>
        <w:t>（请进行选择）</w:t>
      </w:r>
      <w:r>
        <w:rPr>
          <w:rFonts w:hint="eastAsia" w:ascii="宋体" w:hAnsi="宋体" w:eastAsia="宋体" w:cs="宋体"/>
          <w:color w:val="auto"/>
          <w:spacing w:val="6"/>
          <w:sz w:val="24"/>
          <w:highlight w:val="none"/>
        </w:rPr>
        <w:t>：</w:t>
      </w:r>
    </w:p>
    <w:p w14:paraId="53F243AF">
      <w:pPr>
        <w:spacing w:line="588" w:lineRule="exact"/>
        <w:ind w:firstLine="482"/>
        <w:rPr>
          <w:rFonts w:hint="eastAsia" w:ascii="宋体" w:hAnsi="宋体" w:eastAsia="宋体" w:cs="宋体"/>
          <w:b/>
          <w:color w:val="auto"/>
          <w:spacing w:val="6"/>
          <w:sz w:val="24"/>
          <w:highlight w:val="none"/>
        </w:rPr>
      </w:pPr>
      <w:r>
        <w:rPr>
          <w:rFonts w:hint="eastAsia" w:ascii="宋体" w:hAnsi="宋体" w:eastAsia="宋体" w:cs="宋体"/>
          <w:b/>
          <w:color w:val="auto"/>
          <w:sz w:val="24"/>
          <w:highlight w:val="none"/>
        </w:rPr>
        <w:t>□</w:t>
      </w:r>
      <w:r>
        <w:rPr>
          <w:rFonts w:hint="eastAsia" w:ascii="宋体" w:hAnsi="宋体" w:eastAsia="宋体" w:cs="宋体"/>
          <w:b/>
          <w:color w:val="auto"/>
          <w:spacing w:val="6"/>
          <w:sz w:val="24"/>
          <w:highlight w:val="none"/>
        </w:rPr>
        <w:t>不属于符合条件的残疾人福利性单位。</w:t>
      </w:r>
    </w:p>
    <w:p w14:paraId="2C7CE301">
      <w:pPr>
        <w:spacing w:line="588" w:lineRule="exact"/>
        <w:ind w:firstLine="482"/>
        <w:rPr>
          <w:rFonts w:hint="eastAsia" w:ascii="宋体" w:hAnsi="宋体" w:eastAsia="宋体" w:cs="宋体"/>
          <w:color w:val="auto"/>
          <w:spacing w:val="6"/>
          <w:sz w:val="24"/>
          <w:highlight w:val="none"/>
        </w:rPr>
      </w:pPr>
      <w:r>
        <w:rPr>
          <w:rFonts w:hint="eastAsia" w:ascii="宋体" w:hAnsi="宋体" w:eastAsia="宋体" w:cs="宋体"/>
          <w:b/>
          <w:color w:val="auto"/>
          <w:sz w:val="24"/>
          <w:highlight w:val="none"/>
        </w:rPr>
        <w:t>□</w:t>
      </w:r>
      <w:r>
        <w:rPr>
          <w:rFonts w:hint="eastAsia" w:ascii="宋体" w:hAnsi="宋体" w:eastAsia="宋体" w:cs="宋体"/>
          <w:b/>
          <w:color w:val="auto"/>
          <w:spacing w:val="6"/>
          <w:sz w:val="24"/>
          <w:highlight w:val="none"/>
        </w:rPr>
        <w:t>属于符合条件的残疾人福利性单位，</w:t>
      </w:r>
      <w:r>
        <w:rPr>
          <w:rFonts w:hint="eastAsia" w:ascii="宋体" w:hAnsi="宋体" w:eastAsia="宋体" w:cs="宋体"/>
          <w:color w:val="auto"/>
          <w:spacing w:val="6"/>
          <w:sz w:val="24"/>
          <w:highlight w:val="none"/>
        </w:rPr>
        <w:t>且本单位参加</w:t>
      </w:r>
      <w:r>
        <w:rPr>
          <w:rFonts w:hint="eastAsia" w:ascii="宋体" w:hAnsi="宋体" w:eastAsia="宋体" w:cs="宋体"/>
          <w:color w:val="auto"/>
          <w:sz w:val="24"/>
          <w:highlight w:val="none"/>
        </w:rPr>
        <w:t>______</w:t>
      </w:r>
      <w:r>
        <w:rPr>
          <w:rFonts w:hint="eastAsia" w:ascii="宋体" w:hAnsi="宋体" w:eastAsia="宋体" w:cs="宋体"/>
          <w:color w:val="auto"/>
          <w:spacing w:val="6"/>
          <w:sz w:val="24"/>
          <w:highlight w:val="none"/>
        </w:rPr>
        <w:t>单位的</w:t>
      </w:r>
      <w:r>
        <w:rPr>
          <w:rFonts w:hint="eastAsia" w:ascii="宋体" w:hAnsi="宋体" w:eastAsia="宋体" w:cs="宋体"/>
          <w:color w:val="auto"/>
          <w:sz w:val="24"/>
          <w:highlight w:val="none"/>
        </w:rPr>
        <w:t>______</w:t>
      </w:r>
      <w:r>
        <w:rPr>
          <w:rFonts w:hint="eastAsia" w:ascii="宋体" w:hAnsi="宋体" w:eastAsia="宋体" w:cs="宋体"/>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14:paraId="136F9C08">
      <w:pPr>
        <w:spacing w:line="588" w:lineRule="exact"/>
        <w:ind w:firstLine="506" w:firstLineChars="200"/>
        <w:rPr>
          <w:rFonts w:hint="eastAsia" w:ascii="宋体" w:hAnsi="宋体" w:eastAsia="宋体" w:cs="宋体"/>
          <w:color w:val="auto"/>
          <w:spacing w:val="6"/>
          <w:sz w:val="24"/>
          <w:highlight w:val="none"/>
        </w:rPr>
      </w:pPr>
      <w:r>
        <w:rPr>
          <w:rFonts w:hint="eastAsia" w:ascii="宋体" w:hAnsi="宋体" w:eastAsia="宋体" w:cs="宋体"/>
          <w:b/>
          <w:color w:val="auto"/>
          <w:spacing w:val="6"/>
          <w:sz w:val="24"/>
          <w:highlight w:val="none"/>
        </w:rPr>
        <w:t>本单位对上述声明的真实性负责。如有虚假，将依法承担相应责任。</w:t>
      </w:r>
    </w:p>
    <w:p w14:paraId="56C52571">
      <w:pPr>
        <w:spacing w:line="588" w:lineRule="exact"/>
        <w:ind w:firstLine="504" w:firstLineChars="200"/>
        <w:rPr>
          <w:rFonts w:hint="eastAsia" w:ascii="宋体" w:hAnsi="宋体" w:eastAsia="宋体" w:cs="宋体"/>
          <w:color w:val="auto"/>
          <w:spacing w:val="6"/>
          <w:sz w:val="24"/>
          <w:highlight w:val="none"/>
        </w:rPr>
      </w:pPr>
    </w:p>
    <w:p w14:paraId="25AE1701">
      <w:pPr>
        <w:spacing w:line="588" w:lineRule="exact"/>
        <w:ind w:firstLine="504" w:firstLineChars="200"/>
        <w:rPr>
          <w:rFonts w:hint="eastAsia" w:ascii="宋体" w:hAnsi="宋体" w:eastAsia="宋体" w:cs="宋体"/>
          <w:color w:val="auto"/>
          <w:spacing w:val="6"/>
          <w:sz w:val="24"/>
          <w:highlight w:val="none"/>
        </w:rPr>
      </w:pPr>
    </w:p>
    <w:p w14:paraId="7FE765E8">
      <w:pPr>
        <w:tabs>
          <w:tab w:val="left" w:pos="4860"/>
        </w:tabs>
        <w:spacing w:line="588" w:lineRule="exact"/>
        <w:ind w:right="1560" w:firstLine="504" w:firstLineChars="200"/>
        <w:jc w:val="righ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          单位名称（盖章）：</w:t>
      </w:r>
      <w:r>
        <w:rPr>
          <w:rFonts w:hint="eastAsia" w:ascii="宋体" w:hAnsi="宋体" w:eastAsia="宋体" w:cs="宋体"/>
          <w:color w:val="auto"/>
          <w:sz w:val="24"/>
          <w:highlight w:val="none"/>
        </w:rPr>
        <w:t>______</w:t>
      </w:r>
    </w:p>
    <w:p w14:paraId="360CE2A8">
      <w:pPr>
        <w:tabs>
          <w:tab w:val="left" w:pos="4860"/>
        </w:tabs>
        <w:spacing w:line="588" w:lineRule="exact"/>
        <w:ind w:right="1560" w:firstLine="504" w:firstLineChars="200"/>
        <w:jc w:val="righ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       日  期：</w:t>
      </w:r>
      <w:r>
        <w:rPr>
          <w:rFonts w:hint="eastAsia" w:ascii="宋体" w:hAnsi="宋体" w:eastAsia="宋体" w:cs="宋体"/>
          <w:color w:val="auto"/>
          <w:sz w:val="24"/>
          <w:highlight w:val="none"/>
        </w:rPr>
        <w:t>______</w:t>
      </w:r>
    </w:p>
    <w:p w14:paraId="485EB367">
      <w:pPr>
        <w:widowControl/>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br w:type="page"/>
      </w:r>
    </w:p>
    <w:p w14:paraId="7668BEE9">
      <w:pPr>
        <w:keepNext w:val="0"/>
        <w:keepLines w:val="0"/>
        <w:pageBreakBefore w:val="0"/>
        <w:widowControl w:val="0"/>
        <w:tabs>
          <w:tab w:val="left" w:pos="360"/>
        </w:tabs>
        <w:kinsoku/>
        <w:wordWrap/>
        <w:overflowPunct/>
        <w:topLinePunct w:val="0"/>
        <w:autoSpaceDE/>
        <w:autoSpaceDN/>
        <w:bidi w:val="0"/>
        <w:adjustRightInd/>
        <w:snapToGrid w:val="0"/>
        <w:spacing w:line="360" w:lineRule="auto"/>
        <w:textAlignment w:val="auto"/>
        <w:outlineLvl w:val="1"/>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 本项目的特定资格要求</w:t>
      </w:r>
      <w:r>
        <w:rPr>
          <w:rFonts w:hint="eastAsia" w:ascii="宋体" w:hAnsi="宋体" w:eastAsia="宋体" w:cs="宋体"/>
          <w:color w:val="auto"/>
          <w:sz w:val="24"/>
          <w:highlight w:val="none"/>
          <w:lang w:val="en-US" w:eastAsia="zh-CN"/>
        </w:rPr>
        <w:t>：</w:t>
      </w:r>
    </w:p>
    <w:p w14:paraId="64E925B6">
      <w:pPr>
        <w:keepNext w:val="0"/>
        <w:keepLines w:val="0"/>
        <w:pageBreakBefore w:val="0"/>
        <w:widowControl w:val="0"/>
        <w:kinsoku/>
        <w:wordWrap/>
        <w:overflowPunct/>
        <w:topLinePunct w:val="0"/>
        <w:autoSpaceDE/>
        <w:autoSpaceDN/>
        <w:bidi w:val="0"/>
        <w:adjustRightInd/>
        <w:spacing w:line="360" w:lineRule="auto"/>
        <w:ind w:firstLine="240" w:firstLineChars="100"/>
        <w:textAlignment w:val="auto"/>
        <w:outlineLvl w:val="2"/>
        <w:rPr>
          <w:rFonts w:hint="eastAsia" w:ascii="宋体" w:hAnsi="宋体" w:eastAsia="宋体" w:cs="宋体"/>
          <w:color w:val="auto"/>
          <w:sz w:val="24"/>
          <w:highlight w:val="none"/>
        </w:rPr>
      </w:pPr>
      <w:r>
        <w:rPr>
          <w:rFonts w:hint="eastAsia" w:ascii="宋体" w:hAnsi="宋体" w:eastAsia="宋体" w:cs="宋体"/>
          <w:color w:val="auto"/>
          <w:sz w:val="24"/>
          <w:szCs w:val="20"/>
          <w:highlight w:val="none"/>
        </w:rPr>
        <w:t>3-</w:t>
      </w:r>
      <w:r>
        <w:rPr>
          <w:rFonts w:hint="eastAsia" w:ascii="宋体" w:hAnsi="宋体" w:eastAsia="宋体" w:cs="宋体"/>
          <w:color w:val="auto"/>
          <w:sz w:val="24"/>
          <w:szCs w:val="20"/>
          <w:highlight w:val="none"/>
          <w:lang w:val="en-US" w:eastAsia="zh-CN"/>
        </w:rPr>
        <w:t>1</w:t>
      </w:r>
      <w:r>
        <w:rPr>
          <w:rFonts w:hint="eastAsia" w:ascii="宋体" w:hAnsi="宋体" w:eastAsia="宋体" w:cs="宋体"/>
          <w:color w:val="auto"/>
          <w:sz w:val="24"/>
          <w:szCs w:val="20"/>
          <w:highlight w:val="none"/>
        </w:rPr>
        <w:t xml:space="preserve"> </w:t>
      </w:r>
      <w:r>
        <w:rPr>
          <w:rFonts w:hint="eastAsia" w:ascii="宋体" w:hAnsi="宋体" w:eastAsia="宋体" w:cs="宋体"/>
          <w:color w:val="auto"/>
          <w:sz w:val="24"/>
          <w:highlight w:val="none"/>
        </w:rPr>
        <w:t>政府购买服务承接主体的要求</w:t>
      </w:r>
    </w:p>
    <w:p w14:paraId="036F9349">
      <w:pPr>
        <w:spacing w:line="360" w:lineRule="auto"/>
        <w:ind w:firstLine="240" w:firstLineChars="100"/>
        <w:outlineLvl w:val="2"/>
        <w:rPr>
          <w:rFonts w:hint="eastAsia" w:ascii="宋体" w:hAnsi="宋体" w:eastAsia="宋体" w:cs="宋体"/>
          <w:color w:val="auto"/>
          <w:sz w:val="24"/>
          <w:highlight w:val="none"/>
        </w:rPr>
      </w:pPr>
    </w:p>
    <w:p w14:paraId="7E2744DE">
      <w:pPr>
        <w:spacing w:line="44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（采购人或采购代理机构）</w:t>
      </w:r>
    </w:p>
    <w:p w14:paraId="4FA5FCD4">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CFA01ED">
      <w:pPr>
        <w:spacing w:line="8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在参与本次项目投标中，我单位郑重承诺:</w:t>
      </w:r>
    </w:p>
    <w:p w14:paraId="37DC0F29">
      <w:pPr>
        <w:spacing w:line="8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我单位不属于政府采购法律、行政法规规定的公益一类事业单位、或使用事业编制且由财政拨款保障的群团组织；</w:t>
      </w:r>
    </w:p>
    <w:p w14:paraId="578C4066">
      <w:pPr>
        <w:spacing w:line="840" w:lineRule="exact"/>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上述声明真实有效，否则我方负全部责任。</w:t>
      </w:r>
    </w:p>
    <w:p w14:paraId="1EB6D89B">
      <w:pPr>
        <w:spacing w:line="840" w:lineRule="exact"/>
        <w:rPr>
          <w:rFonts w:hint="eastAsia" w:ascii="宋体" w:hAnsi="宋体" w:eastAsia="宋体" w:cs="宋体"/>
          <w:color w:val="auto"/>
          <w:sz w:val="24"/>
          <w:highlight w:val="none"/>
        </w:rPr>
      </w:pPr>
    </w:p>
    <w:p w14:paraId="5128A6E4">
      <w:pPr>
        <w:wordWrap w:val="0"/>
        <w:autoSpaceDE w:val="0"/>
        <w:autoSpaceDN w:val="0"/>
        <w:adjustRightInd w:val="0"/>
        <w:snapToGrid w:val="0"/>
        <w:spacing w:before="25" w:after="25" w:line="840" w:lineRule="exact"/>
        <w:jc w:val="righ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供应商名称（加盖公章）</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single"/>
        </w:rPr>
        <w:t xml:space="preserve">          </w:t>
      </w:r>
    </w:p>
    <w:p w14:paraId="2ADDF2E7">
      <w:pPr>
        <w:spacing w:line="840" w:lineRule="exact"/>
        <w:ind w:right="360" w:firstLine="480"/>
        <w:jc w:val="right"/>
        <w:rPr>
          <w:rFonts w:hint="eastAsia" w:ascii="宋体" w:hAnsi="宋体" w:eastAsia="宋体" w:cs="宋体"/>
          <w:color w:val="auto"/>
          <w:sz w:val="24"/>
          <w:highlight w:val="none"/>
        </w:rPr>
      </w:pPr>
      <w:r>
        <w:rPr>
          <w:rFonts w:hint="eastAsia" w:ascii="宋体" w:hAnsi="宋体" w:eastAsia="宋体" w:cs="宋体"/>
          <w:color w:val="auto"/>
          <w:sz w:val="24"/>
          <w:szCs w:val="20"/>
          <w:highlight w:val="none"/>
        </w:rPr>
        <w:t>日期：</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 xml:space="preserve">日   </w:t>
      </w:r>
    </w:p>
    <w:p w14:paraId="7EAB01EC">
      <w:pPr>
        <w:spacing w:line="8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说明：供应商承诺不实的，依据《政府采购法》第七十七条“提供虚假材料谋取中标、成交的”有关规定予以处理。</w:t>
      </w:r>
    </w:p>
    <w:p w14:paraId="59E39FE7">
      <w:pPr>
        <w:tabs>
          <w:tab w:val="left" w:pos="5580"/>
        </w:tabs>
        <w:spacing w:line="840" w:lineRule="exact"/>
        <w:rPr>
          <w:rFonts w:hint="eastAsia" w:ascii="宋体" w:hAnsi="宋体" w:eastAsia="宋体" w:cs="宋体"/>
          <w:color w:val="auto"/>
          <w:sz w:val="24"/>
          <w:highlight w:val="none"/>
        </w:rPr>
        <w:sectPr>
          <w:pgSz w:w="11905" w:h="16838"/>
          <w:pgMar w:top="1417" w:right="1417" w:bottom="1417" w:left="1417" w:header="851" w:footer="992" w:gutter="0"/>
          <w:pgNumType w:fmt="decimal"/>
          <w:cols w:space="0" w:num="1"/>
          <w:rtlGutter w:val="0"/>
          <w:docGrid w:linePitch="462" w:charSpace="0"/>
        </w:sectPr>
      </w:pPr>
    </w:p>
    <w:p w14:paraId="2BA634E3">
      <w:pPr>
        <w:pStyle w:val="1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3-2 其他特定资格要求:</w:t>
      </w:r>
    </w:p>
    <w:p w14:paraId="6F6FA07A">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sz w:val="24"/>
          <w:highlight w:val="none"/>
          <w:u w:val="single"/>
        </w:rPr>
        <w:t>供应商须具有北京市公共停车场经营备案资质。</w:t>
      </w:r>
    </w:p>
    <w:p w14:paraId="68B2C815">
      <w:pPr>
        <w:pStyle w:val="18"/>
        <w:rPr>
          <w:rFonts w:hint="eastAsia" w:ascii="宋体" w:hAnsi="宋体" w:eastAsia="宋体" w:cs="宋体"/>
          <w:color w:val="auto"/>
          <w:highlight w:val="none"/>
        </w:rPr>
      </w:pPr>
    </w:p>
    <w:p w14:paraId="7E8CC4D4">
      <w:pPr>
        <w:tabs>
          <w:tab w:val="left" w:pos="5580"/>
        </w:tabs>
        <w:spacing w:line="360" w:lineRule="auto"/>
        <w:rPr>
          <w:rFonts w:hint="eastAsia" w:ascii="宋体" w:hAnsi="宋体" w:eastAsia="宋体" w:cs="宋体"/>
          <w:color w:val="auto"/>
          <w:sz w:val="24"/>
          <w:highlight w:val="none"/>
        </w:rPr>
      </w:pPr>
    </w:p>
    <w:p w14:paraId="5BDCFFC5">
      <w:pPr>
        <w:widowControl/>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br w:type="page"/>
      </w:r>
    </w:p>
    <w:p w14:paraId="2671F770">
      <w:pPr>
        <w:tabs>
          <w:tab w:val="left" w:pos="360"/>
        </w:tabs>
        <w:snapToGrid w:val="0"/>
        <w:spacing w:line="360" w:lineRule="auto"/>
        <w:outlineLvl w:val="1"/>
        <w:rPr>
          <w:rFonts w:hint="eastAsia" w:ascii="宋体" w:hAnsi="宋体" w:eastAsia="宋体" w:cs="宋体"/>
          <w:color w:val="auto"/>
          <w:sz w:val="24"/>
          <w:highlight w:val="none"/>
        </w:rPr>
      </w:pPr>
      <w:bookmarkStart w:id="671" w:name="_Hlt520273711"/>
      <w:bookmarkEnd w:id="671"/>
      <w:bookmarkStart w:id="672" w:name="_Hlt520274121"/>
      <w:bookmarkEnd w:id="672"/>
      <w:bookmarkStart w:id="673" w:name="_Hlt520355504"/>
      <w:bookmarkEnd w:id="673"/>
      <w:bookmarkStart w:id="674" w:name="_Hlt520271212"/>
      <w:bookmarkEnd w:id="674"/>
      <w:bookmarkStart w:id="675" w:name="_Hlt520274065"/>
      <w:bookmarkEnd w:id="675"/>
      <w:bookmarkStart w:id="676" w:name="_Hlt520343000"/>
      <w:bookmarkEnd w:id="676"/>
      <w:bookmarkStart w:id="677" w:name="_Hlt520343392"/>
      <w:bookmarkEnd w:id="677"/>
      <w:bookmarkStart w:id="678" w:name="_Hlt520274393"/>
      <w:bookmarkEnd w:id="678"/>
      <w:bookmarkStart w:id="679" w:name="_Hlt520274407"/>
      <w:bookmarkEnd w:id="679"/>
      <w:bookmarkStart w:id="680" w:name="_Hlt520350918"/>
      <w:bookmarkEnd w:id="680"/>
      <w:bookmarkStart w:id="681" w:name="_Toc480942349"/>
      <w:bookmarkStart w:id="682" w:name="_Ref467988698"/>
      <w:bookmarkStart w:id="683" w:name="_Toc226965746"/>
      <w:bookmarkStart w:id="684" w:name="_Toc195842921"/>
      <w:bookmarkStart w:id="685" w:name="_Toc226309800"/>
      <w:bookmarkStart w:id="686" w:name="_Toc150774761"/>
      <w:bookmarkStart w:id="687" w:name="_Toc150480794"/>
      <w:bookmarkStart w:id="688" w:name="_Toc127151556"/>
      <w:bookmarkStart w:id="689" w:name="_Toc226337252"/>
      <w:bookmarkStart w:id="690" w:name="_Toc142311058"/>
      <w:bookmarkStart w:id="691" w:name="_Toc520356217"/>
      <w:bookmarkStart w:id="692" w:name="_Toc226965829"/>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  </w:t>
      </w:r>
      <w:bookmarkEnd w:id="681"/>
      <w:bookmarkEnd w:id="682"/>
      <w:r>
        <w:rPr>
          <w:rFonts w:hint="eastAsia" w:ascii="宋体" w:hAnsi="宋体" w:eastAsia="宋体" w:cs="宋体"/>
          <w:color w:val="auto"/>
          <w:sz w:val="24"/>
          <w:highlight w:val="none"/>
        </w:rPr>
        <w:t>响应书</w:t>
      </w:r>
      <w:bookmarkEnd w:id="683"/>
      <w:bookmarkEnd w:id="684"/>
      <w:bookmarkEnd w:id="685"/>
      <w:bookmarkEnd w:id="686"/>
      <w:bookmarkEnd w:id="687"/>
      <w:bookmarkEnd w:id="688"/>
      <w:bookmarkEnd w:id="689"/>
      <w:bookmarkEnd w:id="690"/>
      <w:bookmarkEnd w:id="691"/>
      <w:bookmarkEnd w:id="692"/>
      <w:r>
        <w:rPr>
          <w:rFonts w:hint="eastAsia" w:ascii="宋体" w:hAnsi="宋体" w:eastAsia="宋体" w:cs="宋体"/>
          <w:color w:val="auto"/>
          <w:sz w:val="24"/>
          <w:highlight w:val="none"/>
        </w:rPr>
        <w:t>（实质性格式）</w:t>
      </w:r>
    </w:p>
    <w:p w14:paraId="57027055">
      <w:pPr>
        <w:tabs>
          <w:tab w:val="left" w:pos="5580"/>
        </w:tabs>
        <w:spacing w:line="360" w:lineRule="auto"/>
        <w:rPr>
          <w:rFonts w:hint="eastAsia" w:ascii="宋体" w:hAnsi="宋体" w:eastAsia="宋体" w:cs="宋体"/>
          <w:color w:val="auto"/>
          <w:sz w:val="24"/>
          <w:highlight w:val="none"/>
        </w:rPr>
      </w:pPr>
    </w:p>
    <w:p w14:paraId="07AE0A9E">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响应书</w:t>
      </w:r>
    </w:p>
    <w:p w14:paraId="78289EBC">
      <w:pPr>
        <w:tabs>
          <w:tab w:val="left" w:pos="558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（采购人或采购代理机构）</w:t>
      </w:r>
    </w:p>
    <w:p w14:paraId="6DD0142A">
      <w:pPr>
        <w:tabs>
          <w:tab w:val="left" w:pos="5580"/>
        </w:tabs>
        <w:spacing w:line="360" w:lineRule="auto"/>
        <w:rPr>
          <w:rFonts w:hint="eastAsia" w:ascii="宋体" w:hAnsi="宋体" w:eastAsia="宋体" w:cs="宋体"/>
          <w:color w:val="auto"/>
          <w:sz w:val="24"/>
          <w:szCs w:val="20"/>
          <w:highlight w:val="none"/>
        </w:rPr>
      </w:pPr>
    </w:p>
    <w:p w14:paraId="72FD1E12">
      <w:pPr>
        <w:tabs>
          <w:tab w:val="left" w:pos="5580"/>
        </w:tabs>
        <w:spacing w:line="360" w:lineRule="auto"/>
        <w:ind w:firstLine="408"/>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我方参加你方就</w:t>
      </w:r>
      <w:r>
        <w:rPr>
          <w:rFonts w:hint="eastAsia" w:ascii="宋体" w:hAnsi="宋体" w:eastAsia="宋体" w:cs="宋体"/>
          <w:color w:val="auto"/>
          <w:sz w:val="24"/>
          <w:highlight w:val="none"/>
        </w:rPr>
        <w:t>______</w:t>
      </w:r>
      <w:r>
        <w:rPr>
          <w:rFonts w:hint="eastAsia" w:ascii="宋体" w:hAnsi="宋体" w:eastAsia="宋体" w:cs="宋体"/>
          <w:color w:val="auto"/>
          <w:sz w:val="24"/>
          <w:szCs w:val="20"/>
          <w:highlight w:val="none"/>
        </w:rPr>
        <w:t>（项目名称，项目编号/</w:t>
      </w:r>
      <w:r>
        <w:rPr>
          <w:rFonts w:hint="eastAsia" w:ascii="宋体" w:hAnsi="宋体" w:eastAsia="宋体" w:cs="宋体"/>
          <w:color w:val="auto"/>
          <w:sz w:val="24"/>
          <w:szCs w:val="20"/>
          <w:highlight w:val="none"/>
          <w:lang w:val="en-US" w:eastAsia="zh-CN"/>
        </w:rPr>
        <w:t>包</w:t>
      </w:r>
      <w:r>
        <w:rPr>
          <w:rFonts w:hint="eastAsia" w:ascii="宋体" w:hAnsi="宋体" w:eastAsia="宋体" w:cs="宋体"/>
          <w:color w:val="auto"/>
          <w:sz w:val="24"/>
          <w:szCs w:val="20"/>
          <w:highlight w:val="none"/>
          <w:lang w:eastAsia="zh-CN"/>
        </w:rPr>
        <w:t>号</w:t>
      </w:r>
      <w:r>
        <w:rPr>
          <w:rFonts w:hint="eastAsia" w:ascii="宋体" w:hAnsi="宋体" w:eastAsia="宋体" w:cs="宋体"/>
          <w:color w:val="auto"/>
          <w:sz w:val="24"/>
          <w:szCs w:val="20"/>
          <w:highlight w:val="none"/>
        </w:rPr>
        <w:t>）组织的采购活动，并对此项目进行磋商。</w:t>
      </w:r>
    </w:p>
    <w:p w14:paraId="760D19FB">
      <w:pPr>
        <w:tabs>
          <w:tab w:val="left" w:pos="5580"/>
        </w:tabs>
        <w:spacing w:line="360" w:lineRule="auto"/>
        <w:ind w:firstLine="408"/>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 我方</w:t>
      </w:r>
      <w:r>
        <w:rPr>
          <w:rFonts w:hint="eastAsia" w:ascii="宋体" w:hAnsi="宋体" w:eastAsia="宋体" w:cs="宋体"/>
          <w:color w:val="auto"/>
          <w:sz w:val="24"/>
          <w:highlight w:val="none"/>
        </w:rPr>
        <w:t>已详细审查全部竞争性磋商文件</w:t>
      </w:r>
      <w:r>
        <w:rPr>
          <w:rFonts w:hint="eastAsia" w:ascii="宋体" w:hAnsi="宋体" w:eastAsia="宋体" w:cs="宋体"/>
          <w:color w:val="auto"/>
          <w:sz w:val="24"/>
          <w:szCs w:val="20"/>
          <w:highlight w:val="none"/>
        </w:rPr>
        <w:t>，自愿参与磋商并承诺如下：</w:t>
      </w:r>
    </w:p>
    <w:p w14:paraId="10ADD410">
      <w:pPr>
        <w:tabs>
          <w:tab w:val="left" w:pos="720"/>
          <w:tab w:val="left" w:pos="900"/>
        </w:tabs>
        <w:spacing w:line="360" w:lineRule="auto"/>
        <w:ind w:left="360" w:firstLine="72" w:firstLineChars="3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（1）本响应有效期为自响应文件提交截止之日起</w:t>
      </w:r>
      <w:r>
        <w:rPr>
          <w:rFonts w:hint="eastAsia" w:ascii="宋体" w:hAnsi="宋体" w:eastAsia="宋体" w:cs="宋体"/>
          <w:color w:val="auto"/>
          <w:sz w:val="24"/>
          <w:highlight w:val="none"/>
        </w:rPr>
        <w:t>______</w:t>
      </w:r>
      <w:r>
        <w:rPr>
          <w:rFonts w:hint="eastAsia" w:ascii="宋体" w:hAnsi="宋体" w:eastAsia="宋体" w:cs="宋体"/>
          <w:color w:val="auto"/>
          <w:sz w:val="24"/>
          <w:szCs w:val="20"/>
          <w:highlight w:val="none"/>
        </w:rPr>
        <w:t>个日历日。</w:t>
      </w:r>
    </w:p>
    <w:p w14:paraId="283DFF89">
      <w:pPr>
        <w:tabs>
          <w:tab w:val="left" w:pos="720"/>
          <w:tab w:val="left" w:pos="900"/>
        </w:tabs>
        <w:spacing w:line="360" w:lineRule="auto"/>
        <w:ind w:left="360" w:firstLine="72" w:firstLineChars="3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（2）除合同条款及采购需求偏离表列出的偏离外，我方响应竞争性磋商文件的全部要求。</w:t>
      </w:r>
    </w:p>
    <w:p w14:paraId="783AAC07">
      <w:pPr>
        <w:tabs>
          <w:tab w:val="left" w:pos="5580"/>
        </w:tabs>
        <w:spacing w:line="360" w:lineRule="auto"/>
        <w:ind w:firstLine="420" w:firstLineChars="175"/>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（3）我方已提供的全部文件资料是真实、准确的，并对此承担一切法律后果。</w:t>
      </w:r>
    </w:p>
    <w:p w14:paraId="0DE86CAE">
      <w:pPr>
        <w:tabs>
          <w:tab w:val="left" w:pos="5580"/>
        </w:tabs>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szCs w:val="20"/>
          <w:highlight w:val="none"/>
        </w:rPr>
        <w:t>（4）如我方成交，我方将在法律规定的期限内与你方签订合同，按照竞争性磋商文件要求提交履约保证金，并在合同约定的期限内完成合同规定的全部义务。</w:t>
      </w:r>
    </w:p>
    <w:p w14:paraId="0D07FCAD">
      <w:pPr>
        <w:spacing w:line="360" w:lineRule="auto"/>
        <w:ind w:left="420"/>
        <w:rPr>
          <w:rFonts w:hint="eastAsia" w:ascii="宋体" w:hAnsi="宋体" w:eastAsia="宋体" w:cs="宋体"/>
          <w:color w:val="auto"/>
          <w:sz w:val="24"/>
          <w:highlight w:val="none"/>
        </w:rPr>
      </w:pPr>
      <w:r>
        <w:rPr>
          <w:rFonts w:hint="eastAsia" w:ascii="宋体" w:hAnsi="宋体" w:eastAsia="宋体" w:cs="宋体"/>
          <w:color w:val="auto"/>
          <w:sz w:val="24"/>
          <w:highlight w:val="none"/>
        </w:rPr>
        <w:t>2. 其他补充条款（如有）：______。</w:t>
      </w:r>
    </w:p>
    <w:p w14:paraId="77C4945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与本磋商有关的一切正式往来信函请寄：</w:t>
      </w:r>
    </w:p>
    <w:p w14:paraId="5429EA62">
      <w:pPr>
        <w:tabs>
          <w:tab w:val="left" w:pos="5580"/>
        </w:tabs>
        <w:spacing w:line="360" w:lineRule="auto"/>
        <w:ind w:left="420"/>
        <w:rPr>
          <w:rFonts w:hint="eastAsia" w:ascii="宋体" w:hAnsi="宋体" w:eastAsia="宋体" w:cs="宋体"/>
          <w:color w:val="auto"/>
          <w:sz w:val="24"/>
          <w:szCs w:val="20"/>
          <w:highlight w:val="none"/>
        </w:rPr>
      </w:pPr>
    </w:p>
    <w:p w14:paraId="50701705">
      <w:pPr>
        <w:tabs>
          <w:tab w:val="left" w:pos="5580"/>
        </w:tabs>
        <w:spacing w:line="360" w:lineRule="auto"/>
        <w:ind w:left="42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地址</w:t>
      </w:r>
      <w:r>
        <w:rPr>
          <w:rFonts w:hint="eastAsia" w:ascii="宋体" w:hAnsi="宋体" w:eastAsia="宋体" w:cs="宋体"/>
          <w:bCs/>
          <w:color w:val="auto"/>
          <w:sz w:val="24"/>
          <w:highlight w:val="none"/>
        </w:rPr>
        <w:t>_________________________</w:t>
      </w:r>
      <w:r>
        <w:rPr>
          <w:rFonts w:hint="eastAsia" w:ascii="宋体" w:hAnsi="宋体" w:eastAsia="宋体" w:cs="宋体"/>
          <w:color w:val="auto"/>
          <w:sz w:val="24"/>
          <w:szCs w:val="20"/>
          <w:highlight w:val="none"/>
        </w:rPr>
        <w:t xml:space="preserve">      传   真</w:t>
      </w:r>
      <w:r>
        <w:rPr>
          <w:rFonts w:hint="eastAsia" w:ascii="宋体" w:hAnsi="宋体" w:eastAsia="宋体" w:cs="宋体"/>
          <w:bCs/>
          <w:color w:val="auto"/>
          <w:sz w:val="24"/>
          <w:highlight w:val="none"/>
        </w:rPr>
        <w:t>_________________________</w:t>
      </w:r>
    </w:p>
    <w:p w14:paraId="1E2F25FA">
      <w:pPr>
        <w:tabs>
          <w:tab w:val="left" w:pos="5580"/>
        </w:tabs>
        <w:spacing w:line="360" w:lineRule="auto"/>
        <w:ind w:left="42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电话</w:t>
      </w:r>
      <w:r>
        <w:rPr>
          <w:rFonts w:hint="eastAsia" w:ascii="宋体" w:hAnsi="宋体" w:eastAsia="宋体" w:cs="宋体"/>
          <w:bCs/>
          <w:color w:val="auto"/>
          <w:sz w:val="24"/>
          <w:highlight w:val="none"/>
        </w:rPr>
        <w:t>_________________________</w:t>
      </w:r>
      <w:r>
        <w:rPr>
          <w:rFonts w:hint="eastAsia" w:ascii="宋体" w:hAnsi="宋体" w:eastAsia="宋体" w:cs="宋体"/>
          <w:color w:val="auto"/>
          <w:sz w:val="24"/>
          <w:szCs w:val="20"/>
          <w:highlight w:val="none"/>
        </w:rPr>
        <w:t xml:space="preserve">      电子函件</w:t>
      </w:r>
      <w:r>
        <w:rPr>
          <w:rFonts w:hint="eastAsia" w:ascii="宋体" w:hAnsi="宋体" w:eastAsia="宋体" w:cs="宋体"/>
          <w:bCs/>
          <w:color w:val="auto"/>
          <w:sz w:val="24"/>
          <w:highlight w:val="none"/>
        </w:rPr>
        <w:t>_________________________</w:t>
      </w:r>
    </w:p>
    <w:p w14:paraId="5A600142">
      <w:pPr>
        <w:tabs>
          <w:tab w:val="left" w:pos="5580"/>
        </w:tabs>
        <w:spacing w:line="360" w:lineRule="auto"/>
        <w:ind w:left="420"/>
        <w:rPr>
          <w:rFonts w:hint="eastAsia" w:ascii="宋体" w:hAnsi="宋体" w:eastAsia="宋体" w:cs="宋体"/>
          <w:color w:val="auto"/>
          <w:sz w:val="24"/>
          <w:szCs w:val="20"/>
          <w:highlight w:val="none"/>
        </w:rPr>
      </w:pPr>
    </w:p>
    <w:p w14:paraId="3EACBC60">
      <w:pPr>
        <w:tabs>
          <w:tab w:val="left" w:pos="5580"/>
        </w:tabs>
        <w:spacing w:line="360" w:lineRule="auto"/>
        <w:ind w:left="420"/>
        <w:rPr>
          <w:rFonts w:hint="eastAsia" w:ascii="宋体" w:hAnsi="宋体" w:eastAsia="宋体" w:cs="宋体"/>
          <w:color w:val="auto"/>
          <w:sz w:val="24"/>
          <w:szCs w:val="20"/>
          <w:highlight w:val="none"/>
        </w:rPr>
      </w:pPr>
    </w:p>
    <w:p w14:paraId="77077D87">
      <w:pPr>
        <w:tabs>
          <w:tab w:val="left" w:pos="5580"/>
        </w:tabs>
        <w:spacing w:line="360" w:lineRule="auto"/>
        <w:ind w:left="420"/>
        <w:rPr>
          <w:rFonts w:hint="eastAsia" w:ascii="宋体" w:hAnsi="宋体" w:eastAsia="宋体" w:cs="宋体"/>
          <w:color w:val="auto"/>
          <w:sz w:val="24"/>
          <w:szCs w:val="20"/>
          <w:highlight w:val="none"/>
        </w:rPr>
      </w:pPr>
    </w:p>
    <w:p w14:paraId="3964CAF0">
      <w:pPr>
        <w:autoSpaceDE w:val="0"/>
        <w:autoSpaceDN w:val="0"/>
        <w:adjustRightInd w:val="0"/>
        <w:snapToGrid w:val="0"/>
        <w:spacing w:before="25" w:after="25" w:line="360" w:lineRule="auto"/>
        <w:ind w:right="360" w:firstLine="360" w:firstLineChars="15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供应商名称（加盖公章）</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______</w:t>
      </w:r>
    </w:p>
    <w:p w14:paraId="44BFFF74">
      <w:pPr>
        <w:tabs>
          <w:tab w:val="left" w:pos="5580"/>
        </w:tabs>
        <w:spacing w:line="360" w:lineRule="auto"/>
        <w:ind w:firstLine="360" w:firstLineChars="15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日期：____年____月____日  </w:t>
      </w:r>
    </w:p>
    <w:p w14:paraId="1FE90A6C">
      <w:pPr>
        <w:tabs>
          <w:tab w:val="left" w:pos="5580"/>
        </w:tabs>
        <w:spacing w:line="360" w:lineRule="auto"/>
        <w:ind w:left="420"/>
        <w:jc w:val="left"/>
        <w:rPr>
          <w:rFonts w:hint="eastAsia" w:ascii="宋体" w:hAnsi="宋体" w:eastAsia="宋体" w:cs="宋体"/>
          <w:color w:val="auto"/>
          <w:sz w:val="24"/>
          <w:szCs w:val="20"/>
          <w:highlight w:val="none"/>
        </w:rPr>
      </w:pPr>
    </w:p>
    <w:p w14:paraId="4629384F">
      <w:pPr>
        <w:widowControl/>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br w:type="page"/>
      </w:r>
    </w:p>
    <w:p w14:paraId="3BF162A3">
      <w:pPr>
        <w:tabs>
          <w:tab w:val="left" w:pos="360"/>
        </w:tabs>
        <w:snapToGrid w:val="0"/>
        <w:spacing w:line="360" w:lineRule="auto"/>
        <w:outlineLvl w:val="1"/>
        <w:rPr>
          <w:rFonts w:hint="eastAsia" w:ascii="宋体" w:hAnsi="宋体" w:eastAsia="宋体" w:cs="宋体"/>
          <w:color w:val="auto"/>
          <w:sz w:val="24"/>
          <w:highlight w:val="none"/>
        </w:rPr>
      </w:pPr>
      <w:bookmarkStart w:id="693" w:name="_Hlt520355938"/>
      <w:bookmarkEnd w:id="693"/>
      <w:bookmarkStart w:id="694" w:name="_Hlt520356243"/>
      <w:bookmarkEnd w:id="694"/>
      <w:bookmarkStart w:id="695" w:name="_Toc226337253"/>
      <w:bookmarkStart w:id="696" w:name="_Toc226965747"/>
      <w:bookmarkStart w:id="697" w:name="_Ref467988705"/>
      <w:bookmarkStart w:id="698" w:name="_Toc150774762"/>
      <w:bookmarkStart w:id="699" w:name="_Toc305158825"/>
      <w:bookmarkStart w:id="700" w:name="_Toc226309801"/>
      <w:bookmarkStart w:id="701" w:name="_Toc480942350"/>
      <w:bookmarkStart w:id="702" w:name="_Toc264969247"/>
      <w:bookmarkStart w:id="703" w:name="_Toc305158899"/>
      <w:bookmarkStart w:id="704" w:name="_Toc265228395"/>
      <w:bookmarkStart w:id="705" w:name="_Toc195842922"/>
      <w:bookmarkStart w:id="706" w:name="_Toc226965830"/>
      <w:bookmarkStart w:id="707" w:name="_Toc520356218"/>
      <w:bookmarkStart w:id="708" w:name="_Toc142311059"/>
      <w:bookmarkStart w:id="709" w:name="_Toc127151557"/>
      <w:bookmarkStart w:id="710" w:name="_Toc150480795"/>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 xml:space="preserve">  授权委托书（实质性格式）</w:t>
      </w:r>
    </w:p>
    <w:p w14:paraId="1DC6ECDD">
      <w:pPr>
        <w:autoSpaceDE w:val="0"/>
        <w:autoSpaceDN w:val="0"/>
        <w:adjustRightIn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授权委托书</w:t>
      </w:r>
    </w:p>
    <w:p w14:paraId="66DA568A">
      <w:pPr>
        <w:spacing w:line="360" w:lineRule="auto"/>
        <w:ind w:firstLine="42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本人____（姓名）系____（供应商名称）的法定代表人（单位负责人），现委托_____ （姓名）为我方代理人。代理人根据授权，以我方名义签署、澄清确认、提交、撤回、修改____（项目名称</w:t>
      </w:r>
      <w:r>
        <w:rPr>
          <w:rFonts w:hint="eastAsia" w:ascii="宋体" w:hAnsi="宋体" w:eastAsia="宋体" w:cs="宋体"/>
          <w:color w:val="auto"/>
          <w:sz w:val="24"/>
          <w:szCs w:val="20"/>
          <w:highlight w:val="none"/>
          <w:lang w:val="en-US" w:eastAsia="zh-CN"/>
        </w:rPr>
        <w:t>/包号</w:t>
      </w:r>
      <w:r>
        <w:rPr>
          <w:rFonts w:hint="eastAsia" w:ascii="宋体" w:hAnsi="宋体" w:eastAsia="宋体" w:cs="宋体"/>
          <w:color w:val="auto"/>
          <w:sz w:val="24"/>
          <w:szCs w:val="20"/>
          <w:highlight w:val="none"/>
        </w:rPr>
        <w:t>）响应文件和处理有关事宜，其法律后果由我方承担。</w:t>
      </w:r>
    </w:p>
    <w:p w14:paraId="15028C48">
      <w:pPr>
        <w:spacing w:line="360" w:lineRule="auto"/>
        <w:ind w:firstLine="42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委托期限：自本授权委托书签署之日起至响应有效期届满之日止。</w:t>
      </w:r>
    </w:p>
    <w:p w14:paraId="0C5C8543">
      <w:pPr>
        <w:spacing w:line="360" w:lineRule="auto"/>
        <w:ind w:firstLine="42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代理人无转委托权。</w:t>
      </w:r>
      <w:r>
        <w:rPr>
          <w:rFonts w:hint="eastAsia" w:ascii="宋体" w:hAnsi="宋体" w:eastAsia="宋体" w:cs="宋体"/>
          <w:color w:val="auto"/>
          <w:sz w:val="24"/>
          <w:szCs w:val="20"/>
          <w:highlight w:val="none"/>
        </w:rPr>
        <w:cr/>
      </w:r>
    </w:p>
    <w:p w14:paraId="38C9C4B0">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供应商名称（加盖公章）</w:t>
      </w:r>
      <w:r>
        <w:rPr>
          <w:rFonts w:hint="eastAsia" w:ascii="宋体" w:hAnsi="宋体" w:eastAsia="宋体" w:cs="宋体"/>
          <w:color w:val="auto"/>
          <w:sz w:val="24"/>
          <w:highlight w:val="none"/>
          <w:lang w:val="zh-CN"/>
        </w:rPr>
        <w:t>：</w:t>
      </w:r>
      <w:r>
        <w:rPr>
          <w:rFonts w:hint="eastAsia" w:ascii="宋体" w:hAnsi="宋体" w:eastAsia="宋体" w:cs="宋体"/>
          <w:color w:val="auto"/>
          <w:sz w:val="24"/>
          <w:szCs w:val="20"/>
          <w:highlight w:val="none"/>
        </w:rPr>
        <w:t>______________</w:t>
      </w:r>
    </w:p>
    <w:p w14:paraId="6A38427F">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法定代表人（单位负责人）（签字或</w:t>
      </w:r>
      <w:r>
        <w:rPr>
          <w:rFonts w:hint="eastAsia" w:ascii="宋体" w:hAnsi="宋体" w:eastAsia="宋体" w:cs="宋体"/>
          <w:color w:val="auto"/>
          <w:sz w:val="24"/>
          <w:szCs w:val="20"/>
          <w:highlight w:val="none"/>
          <w:lang w:eastAsia="zh-CN"/>
        </w:rPr>
        <w:t>盖</w:t>
      </w:r>
      <w:r>
        <w:rPr>
          <w:rFonts w:hint="eastAsia" w:ascii="宋体" w:hAnsi="宋体" w:eastAsia="宋体" w:cs="宋体"/>
          <w:color w:val="auto"/>
          <w:sz w:val="24"/>
          <w:szCs w:val="20"/>
          <w:highlight w:val="none"/>
        </w:rPr>
        <w:t>章）：______________</w:t>
      </w:r>
    </w:p>
    <w:p w14:paraId="692AA662">
      <w:pPr>
        <w:autoSpaceDE w:val="0"/>
        <w:autoSpaceDN w:val="0"/>
        <w:adjustRightInd w:val="0"/>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委托代理人（签字</w:t>
      </w:r>
      <w:r>
        <w:rPr>
          <w:rFonts w:hint="eastAsia" w:ascii="宋体" w:hAnsi="宋体" w:eastAsia="宋体" w:cs="宋体"/>
          <w:color w:val="auto"/>
          <w:sz w:val="24"/>
          <w:szCs w:val="20"/>
          <w:highlight w:val="none"/>
        </w:rPr>
        <w:t>或</w:t>
      </w:r>
      <w:r>
        <w:rPr>
          <w:rFonts w:hint="eastAsia" w:ascii="宋体" w:hAnsi="宋体" w:eastAsia="宋体" w:cs="宋体"/>
          <w:color w:val="auto"/>
          <w:sz w:val="24"/>
          <w:szCs w:val="20"/>
          <w:highlight w:val="none"/>
          <w:lang w:eastAsia="zh-CN"/>
        </w:rPr>
        <w:t>盖</w:t>
      </w:r>
      <w:r>
        <w:rPr>
          <w:rFonts w:hint="eastAsia" w:ascii="宋体" w:hAnsi="宋体" w:eastAsia="宋体" w:cs="宋体"/>
          <w:color w:val="auto"/>
          <w:sz w:val="24"/>
          <w:szCs w:val="20"/>
          <w:highlight w:val="none"/>
        </w:rPr>
        <w:t>章</w:t>
      </w:r>
      <w:r>
        <w:rPr>
          <w:rFonts w:hint="eastAsia" w:ascii="宋体" w:hAnsi="宋体" w:eastAsia="宋体" w:cs="宋体"/>
          <w:color w:val="auto"/>
          <w:sz w:val="24"/>
          <w:highlight w:val="none"/>
        </w:rPr>
        <w:t>）：</w:t>
      </w:r>
      <w:r>
        <w:rPr>
          <w:rFonts w:hint="eastAsia" w:ascii="宋体" w:hAnsi="宋体" w:eastAsia="宋体" w:cs="宋体"/>
          <w:color w:val="auto"/>
          <w:sz w:val="24"/>
          <w:szCs w:val="20"/>
          <w:highlight w:val="none"/>
        </w:rPr>
        <w:t>______________</w:t>
      </w:r>
      <w:r>
        <w:rPr>
          <w:rFonts w:hint="eastAsia" w:ascii="宋体" w:hAnsi="宋体" w:eastAsia="宋体" w:cs="宋体"/>
          <w:color w:val="auto"/>
          <w:sz w:val="24"/>
          <w:highlight w:val="none"/>
          <w:lang w:val="zh-CN"/>
        </w:rPr>
        <w:t xml:space="preserve">        </w:t>
      </w:r>
    </w:p>
    <w:p w14:paraId="6541B45E">
      <w:pPr>
        <w:autoSpaceDE w:val="0"/>
        <w:autoSpaceDN w:val="0"/>
        <w:adjustRightInd w:val="0"/>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日期：</w:t>
      </w:r>
      <w:r>
        <w:rPr>
          <w:rFonts w:hint="eastAsia" w:ascii="宋体" w:hAnsi="宋体" w:eastAsia="宋体" w:cs="宋体"/>
          <w:color w:val="auto"/>
          <w:sz w:val="24"/>
          <w:szCs w:val="20"/>
          <w:highlight w:val="none"/>
        </w:rPr>
        <w:t>____</w:t>
      </w:r>
      <w:r>
        <w:rPr>
          <w:rFonts w:hint="eastAsia" w:ascii="宋体" w:hAnsi="宋体" w:eastAsia="宋体" w:cs="宋体"/>
          <w:color w:val="auto"/>
          <w:sz w:val="24"/>
          <w:highlight w:val="none"/>
        </w:rPr>
        <w:t>年</w:t>
      </w:r>
      <w:r>
        <w:rPr>
          <w:rFonts w:hint="eastAsia" w:ascii="宋体" w:hAnsi="宋体" w:eastAsia="宋体" w:cs="宋体"/>
          <w:color w:val="auto"/>
          <w:sz w:val="24"/>
          <w:szCs w:val="20"/>
          <w:highlight w:val="none"/>
        </w:rPr>
        <w:t>____</w:t>
      </w:r>
      <w:r>
        <w:rPr>
          <w:rFonts w:hint="eastAsia" w:ascii="宋体" w:hAnsi="宋体" w:eastAsia="宋体" w:cs="宋体"/>
          <w:color w:val="auto"/>
          <w:sz w:val="24"/>
          <w:highlight w:val="none"/>
        </w:rPr>
        <w:t>月</w:t>
      </w:r>
      <w:r>
        <w:rPr>
          <w:rFonts w:hint="eastAsia" w:ascii="宋体" w:hAnsi="宋体" w:eastAsia="宋体" w:cs="宋体"/>
          <w:color w:val="auto"/>
          <w:sz w:val="24"/>
          <w:szCs w:val="20"/>
          <w:highlight w:val="none"/>
        </w:rPr>
        <w:t>____</w:t>
      </w:r>
      <w:r>
        <w:rPr>
          <w:rFonts w:hint="eastAsia" w:ascii="宋体" w:hAnsi="宋体" w:eastAsia="宋体" w:cs="宋体"/>
          <w:color w:val="auto"/>
          <w:sz w:val="24"/>
          <w:highlight w:val="none"/>
        </w:rPr>
        <w:t>日</w:t>
      </w:r>
    </w:p>
    <w:p w14:paraId="041EBCB0">
      <w:pPr>
        <w:tabs>
          <w:tab w:val="left" w:pos="5580"/>
        </w:tabs>
        <w:spacing w:line="360" w:lineRule="auto"/>
        <w:ind w:firstLine="480" w:firstLineChars="200"/>
        <w:rPr>
          <w:rFonts w:hint="eastAsia" w:ascii="宋体" w:hAnsi="宋体" w:eastAsia="宋体" w:cs="宋体"/>
          <w:color w:val="auto"/>
          <w:sz w:val="24"/>
          <w:szCs w:val="20"/>
          <w:highlight w:val="none"/>
        </w:rPr>
      </w:pPr>
    </w:p>
    <w:p w14:paraId="37329545">
      <w:pPr>
        <w:tabs>
          <w:tab w:val="left" w:pos="5580"/>
        </w:tabs>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附：法定代表人及委托代理人身份证明文件电子件：</w:t>
      </w:r>
    </w:p>
    <w:tbl>
      <w:tblPr>
        <w:tblStyle w:val="45"/>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14:paraId="2F5E7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9" w:hRule="atLeast"/>
        </w:trPr>
        <w:tc>
          <w:tcPr>
            <w:tcW w:w="8296" w:type="dxa"/>
          </w:tcPr>
          <w:p w14:paraId="41193905">
            <w:pPr>
              <w:tabs>
                <w:tab w:val="left" w:pos="5580"/>
              </w:tabs>
              <w:spacing w:line="360" w:lineRule="auto"/>
              <w:rPr>
                <w:rFonts w:hint="eastAsia" w:ascii="宋体" w:hAnsi="宋体" w:eastAsia="宋体" w:cs="宋体"/>
                <w:color w:val="auto"/>
                <w:sz w:val="24"/>
                <w:szCs w:val="20"/>
                <w:highlight w:val="none"/>
              </w:rPr>
            </w:pPr>
          </w:p>
        </w:tc>
      </w:tr>
    </w:tbl>
    <w:p w14:paraId="6BC68ECA">
      <w:pPr>
        <w:tabs>
          <w:tab w:val="left" w:pos="5580"/>
        </w:tabs>
        <w:spacing w:line="360" w:lineRule="auto"/>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说明：</w:t>
      </w:r>
    </w:p>
    <w:p w14:paraId="02C10D23">
      <w:pPr>
        <w:tabs>
          <w:tab w:val="left" w:pos="5580"/>
        </w:tabs>
        <w:spacing w:line="360" w:lineRule="auto"/>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1.若供应商为事业单位或其他组织或分支机构，则法定代表人（单位负责人）处的签署人可为单位负责人。</w:t>
      </w:r>
    </w:p>
    <w:p w14:paraId="21F7CEC2">
      <w:pPr>
        <w:tabs>
          <w:tab w:val="left" w:pos="5580"/>
        </w:tabs>
        <w:spacing w:line="360" w:lineRule="auto"/>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若响应文件中签字之处均为法定代表人（单位负责人）本人签署，则可不提供本《授权委托书》，但须提供《法定代表人（单位负责人）身份证明》；否则，不需要提供《法定代表人（单位负责人）身份证明》。</w:t>
      </w:r>
    </w:p>
    <w:p w14:paraId="7723C292">
      <w:pPr>
        <w:tabs>
          <w:tab w:val="left" w:pos="5580"/>
        </w:tabs>
        <w:spacing w:line="360" w:lineRule="auto"/>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3.供应商为自然人的情形，可不提供本《授权委托书》。</w:t>
      </w:r>
    </w:p>
    <w:p w14:paraId="3A2F3FBD">
      <w:pPr>
        <w:tabs>
          <w:tab w:val="left" w:pos="5580"/>
        </w:tabs>
        <w:spacing w:line="360" w:lineRule="auto"/>
        <w:jc w:val="left"/>
        <w:rPr>
          <w:rFonts w:hint="eastAsia" w:ascii="宋体" w:hAnsi="宋体" w:eastAsia="宋体" w:cs="宋体"/>
          <w:color w:val="auto"/>
          <w:sz w:val="30"/>
          <w:szCs w:val="30"/>
          <w:highlight w:val="none"/>
        </w:rPr>
      </w:pPr>
      <w:r>
        <w:rPr>
          <w:rFonts w:hint="eastAsia" w:ascii="宋体" w:hAnsi="宋体" w:eastAsia="宋体" w:cs="宋体"/>
          <w:color w:val="auto"/>
          <w:sz w:val="24"/>
          <w:szCs w:val="20"/>
          <w:highlight w:val="none"/>
        </w:rPr>
        <w:t>4.供应商应随本《授权委托书》同时提供法定代表人（单位负责人）及委托代理人的有效的身份证</w:t>
      </w:r>
      <w:r>
        <w:rPr>
          <w:rFonts w:hint="eastAsia" w:ascii="宋体" w:hAnsi="宋体" w:eastAsia="宋体" w:cs="宋体"/>
          <w:color w:val="auto"/>
          <w:sz w:val="24"/>
          <w:szCs w:val="20"/>
          <w:highlight w:val="none"/>
          <w:lang w:eastAsia="zh-CN"/>
        </w:rPr>
        <w:t>或</w:t>
      </w:r>
      <w:r>
        <w:rPr>
          <w:rFonts w:hint="eastAsia" w:ascii="宋体" w:hAnsi="宋体" w:eastAsia="宋体" w:cs="宋体"/>
          <w:color w:val="auto"/>
          <w:sz w:val="24"/>
          <w:szCs w:val="20"/>
          <w:highlight w:val="none"/>
        </w:rPr>
        <w:t>护照等身份证明文件电子件。提供身份证的，应同时提供身份证</w:t>
      </w:r>
      <w:r>
        <w:rPr>
          <w:rFonts w:hint="eastAsia" w:ascii="宋体" w:hAnsi="宋体" w:eastAsia="宋体" w:cs="宋体"/>
          <w:b/>
          <w:color w:val="auto"/>
          <w:sz w:val="24"/>
          <w:szCs w:val="20"/>
          <w:highlight w:val="none"/>
        </w:rPr>
        <w:t>双面</w:t>
      </w:r>
      <w:r>
        <w:rPr>
          <w:rFonts w:hint="eastAsia" w:ascii="宋体" w:hAnsi="宋体" w:eastAsia="宋体" w:cs="宋体"/>
          <w:color w:val="auto"/>
          <w:sz w:val="24"/>
          <w:szCs w:val="20"/>
          <w:highlight w:val="none"/>
        </w:rPr>
        <w:t>电子件。</w:t>
      </w:r>
      <w:r>
        <w:rPr>
          <w:rFonts w:hint="eastAsia" w:ascii="宋体" w:hAnsi="宋体" w:eastAsia="宋体" w:cs="宋体"/>
          <w:color w:val="auto"/>
          <w:sz w:val="30"/>
          <w:szCs w:val="30"/>
          <w:highlight w:val="none"/>
        </w:rPr>
        <w:br w:type="page"/>
      </w:r>
    </w:p>
    <w:p w14:paraId="579D09DF">
      <w:pPr>
        <w:autoSpaceDE w:val="0"/>
        <w:autoSpaceDN w:val="0"/>
        <w:adjustRightIn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法定代表人（单位负责人）身份证明</w:t>
      </w:r>
    </w:p>
    <w:p w14:paraId="6FF565F0">
      <w:pPr>
        <w:kinsoku w:val="0"/>
        <w:overflowPunct w:val="0"/>
        <w:spacing w:line="200" w:lineRule="exact"/>
        <w:rPr>
          <w:rFonts w:hint="eastAsia" w:ascii="宋体" w:hAnsi="宋体" w:eastAsia="宋体" w:cs="宋体"/>
          <w:color w:val="auto"/>
          <w:sz w:val="20"/>
          <w:szCs w:val="20"/>
          <w:highlight w:val="none"/>
        </w:rPr>
      </w:pPr>
    </w:p>
    <w:p w14:paraId="2EC83122">
      <w:pPr>
        <w:tabs>
          <w:tab w:val="left" w:pos="558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szCs w:val="20"/>
          <w:highlight w:val="none"/>
        </w:rPr>
        <w:t>____</w:t>
      </w:r>
      <w:r>
        <w:rPr>
          <w:rFonts w:hint="eastAsia" w:ascii="宋体" w:hAnsi="宋体" w:eastAsia="宋体" w:cs="宋体"/>
          <w:color w:val="auto"/>
          <w:sz w:val="24"/>
          <w:highlight w:val="none"/>
        </w:rPr>
        <w:t>（采购人或采购代理机构）</w:t>
      </w:r>
    </w:p>
    <w:p w14:paraId="2F2189B4">
      <w:pPr>
        <w:pStyle w:val="18"/>
        <w:tabs>
          <w:tab w:val="left" w:pos="2412"/>
          <w:tab w:val="left" w:pos="3883"/>
          <w:tab w:val="left" w:pos="5352"/>
          <w:tab w:val="left" w:pos="6821"/>
        </w:tabs>
        <w:kinsoku w:val="0"/>
        <w:overflowPunct w:val="0"/>
        <w:spacing w:line="335"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兹证明，</w:t>
      </w:r>
    </w:p>
    <w:p w14:paraId="77B5F17F">
      <w:pPr>
        <w:pStyle w:val="18"/>
        <w:tabs>
          <w:tab w:val="left" w:pos="1690"/>
          <w:tab w:val="left" w:pos="3400"/>
          <w:tab w:val="left" w:pos="5110"/>
          <w:tab w:val="left" w:pos="6821"/>
        </w:tabs>
        <w:kinsoku w:val="0"/>
        <w:overflowPunct w:val="0"/>
        <w:spacing w:line="335" w:lineRule="exact"/>
        <w:rPr>
          <w:rFonts w:hint="eastAsia" w:ascii="宋体" w:hAnsi="宋体" w:eastAsia="宋体" w:cs="宋体"/>
          <w:color w:val="auto"/>
          <w:highlight w:val="none"/>
        </w:rPr>
      </w:pPr>
      <w:r>
        <w:rPr>
          <w:rFonts w:hint="eastAsia" w:ascii="宋体" w:hAnsi="宋体" w:eastAsia="宋体" w:cs="宋体"/>
          <w:color w:val="auto"/>
          <w:highlight w:val="none"/>
        </w:rPr>
        <w:t>姓名：</w:t>
      </w:r>
      <w:r>
        <w:rPr>
          <w:rFonts w:hint="eastAsia" w:ascii="宋体" w:hAnsi="宋体" w:eastAsia="宋体" w:cs="宋体"/>
          <w:color w:val="auto"/>
          <w:szCs w:val="20"/>
          <w:highlight w:val="none"/>
        </w:rPr>
        <w:t>____</w:t>
      </w:r>
      <w:r>
        <w:rPr>
          <w:rFonts w:hint="eastAsia" w:ascii="宋体" w:hAnsi="宋体" w:eastAsia="宋体" w:cs="宋体"/>
          <w:color w:val="auto"/>
          <w:highlight w:val="none"/>
        </w:rPr>
        <w:t>性别：</w:t>
      </w:r>
      <w:r>
        <w:rPr>
          <w:rFonts w:hint="eastAsia" w:ascii="宋体" w:hAnsi="宋体" w:eastAsia="宋体" w:cs="宋体"/>
          <w:color w:val="auto"/>
          <w:szCs w:val="20"/>
          <w:highlight w:val="none"/>
        </w:rPr>
        <w:t>____</w:t>
      </w:r>
      <w:r>
        <w:rPr>
          <w:rFonts w:hint="eastAsia" w:ascii="宋体" w:hAnsi="宋体" w:eastAsia="宋体" w:cs="宋体"/>
          <w:color w:val="auto"/>
          <w:highlight w:val="none"/>
        </w:rPr>
        <w:t>年龄：</w:t>
      </w:r>
      <w:r>
        <w:rPr>
          <w:rFonts w:hint="eastAsia" w:ascii="宋体" w:hAnsi="宋体" w:eastAsia="宋体" w:cs="宋体"/>
          <w:color w:val="auto"/>
          <w:szCs w:val="20"/>
          <w:highlight w:val="none"/>
        </w:rPr>
        <w:t>____</w:t>
      </w:r>
      <w:r>
        <w:rPr>
          <w:rFonts w:hint="eastAsia" w:ascii="宋体" w:hAnsi="宋体" w:eastAsia="宋体" w:cs="宋体"/>
          <w:color w:val="auto"/>
          <w:highlight w:val="none"/>
        </w:rPr>
        <w:t>职务：</w:t>
      </w:r>
      <w:r>
        <w:rPr>
          <w:rFonts w:hint="eastAsia" w:ascii="宋体" w:hAnsi="宋体" w:eastAsia="宋体" w:cs="宋体"/>
          <w:color w:val="auto"/>
          <w:szCs w:val="20"/>
          <w:highlight w:val="none"/>
        </w:rPr>
        <w:t>____</w:t>
      </w:r>
    </w:p>
    <w:p w14:paraId="75BB1BA1">
      <w:pPr>
        <w:pStyle w:val="18"/>
        <w:tabs>
          <w:tab w:val="left" w:pos="2412"/>
          <w:tab w:val="left" w:pos="3883"/>
          <w:tab w:val="left" w:pos="5352"/>
          <w:tab w:val="left" w:pos="6821"/>
        </w:tabs>
        <w:kinsoku w:val="0"/>
        <w:overflowPunct w:val="0"/>
        <w:spacing w:line="335" w:lineRule="exact"/>
        <w:rPr>
          <w:rFonts w:hint="eastAsia" w:ascii="宋体" w:hAnsi="宋体" w:eastAsia="宋体" w:cs="宋体"/>
          <w:color w:val="auto"/>
          <w:highlight w:val="none"/>
        </w:rPr>
      </w:pPr>
    </w:p>
    <w:p w14:paraId="566F585C">
      <w:pPr>
        <w:pStyle w:val="18"/>
        <w:tabs>
          <w:tab w:val="left" w:pos="2250"/>
          <w:tab w:val="left" w:pos="2412"/>
          <w:tab w:val="left" w:pos="3883"/>
          <w:tab w:val="left" w:pos="5352"/>
          <w:tab w:val="left" w:pos="6821"/>
          <w:tab w:val="clear" w:pos="567"/>
        </w:tabs>
        <w:kinsoku w:val="0"/>
        <w:overflowPunct w:val="0"/>
        <w:spacing w:line="335" w:lineRule="exact"/>
        <w:rPr>
          <w:rFonts w:hint="eastAsia" w:ascii="宋体" w:hAnsi="宋体" w:eastAsia="宋体" w:cs="宋体"/>
          <w:color w:val="auto"/>
          <w:highlight w:val="none"/>
        </w:rPr>
      </w:pPr>
      <w:r>
        <w:rPr>
          <w:rFonts w:hint="eastAsia" w:ascii="宋体" w:hAnsi="宋体" w:eastAsia="宋体" w:cs="宋体"/>
          <w:color w:val="auto"/>
          <w:highlight w:val="none"/>
        </w:rPr>
        <w:t>系</w:t>
      </w:r>
      <w:r>
        <w:rPr>
          <w:rFonts w:hint="eastAsia" w:ascii="宋体" w:hAnsi="宋体" w:eastAsia="宋体" w:cs="宋体"/>
          <w:color w:val="auto"/>
          <w:szCs w:val="20"/>
          <w:highlight w:val="none"/>
        </w:rPr>
        <w:t>__________</w:t>
      </w:r>
      <w:r>
        <w:rPr>
          <w:rFonts w:hint="eastAsia" w:ascii="宋体" w:hAnsi="宋体" w:eastAsia="宋体" w:cs="宋体"/>
          <w:color w:val="auto"/>
          <w:highlight w:val="none"/>
        </w:rPr>
        <w:t>（供应商名称）的法定代表人（单位负责人）。</w:t>
      </w:r>
    </w:p>
    <w:p w14:paraId="7F370E56">
      <w:pPr>
        <w:pStyle w:val="18"/>
        <w:tabs>
          <w:tab w:val="left" w:pos="2412"/>
          <w:tab w:val="left" w:pos="3883"/>
          <w:tab w:val="left" w:pos="5352"/>
          <w:tab w:val="left" w:pos="6821"/>
        </w:tabs>
        <w:kinsoku w:val="0"/>
        <w:overflowPunct w:val="0"/>
        <w:spacing w:line="335" w:lineRule="exact"/>
        <w:rPr>
          <w:rFonts w:hint="eastAsia" w:ascii="宋体" w:hAnsi="宋体" w:eastAsia="宋体" w:cs="宋体"/>
          <w:color w:val="auto"/>
          <w:highlight w:val="none"/>
        </w:rPr>
      </w:pPr>
    </w:p>
    <w:p w14:paraId="188834C6">
      <w:pPr>
        <w:pStyle w:val="18"/>
        <w:tabs>
          <w:tab w:val="left" w:pos="2412"/>
          <w:tab w:val="left" w:pos="3883"/>
          <w:tab w:val="left" w:pos="5352"/>
          <w:tab w:val="left" w:pos="6821"/>
        </w:tabs>
        <w:kinsoku w:val="0"/>
        <w:overflowPunct w:val="0"/>
        <w:spacing w:line="335" w:lineRule="exact"/>
        <w:rPr>
          <w:rFonts w:hint="eastAsia" w:ascii="宋体" w:hAnsi="宋体" w:eastAsia="宋体" w:cs="宋体"/>
          <w:color w:val="auto"/>
          <w:highlight w:val="none"/>
        </w:rPr>
      </w:pPr>
    </w:p>
    <w:p w14:paraId="69B20666">
      <w:pPr>
        <w:pStyle w:val="18"/>
        <w:kinsoku w:val="0"/>
        <w:overflowPunct w:val="0"/>
        <w:spacing w:line="583" w:lineRule="auto"/>
        <w:ind w:right="-46"/>
        <w:rPr>
          <w:rFonts w:hint="eastAsia" w:ascii="宋体" w:hAnsi="宋体" w:eastAsia="宋体" w:cs="宋体"/>
          <w:color w:val="auto"/>
          <w:szCs w:val="20"/>
          <w:highlight w:val="none"/>
        </w:rPr>
      </w:pPr>
      <w:r>
        <w:rPr>
          <w:rFonts w:hint="eastAsia" w:ascii="宋体" w:hAnsi="宋体" w:eastAsia="宋体" w:cs="宋体"/>
          <w:color w:val="auto"/>
          <w:szCs w:val="20"/>
          <w:highlight w:val="none"/>
        </w:rPr>
        <w:t>附：法定代表人（单位负责人）身份证</w:t>
      </w:r>
      <w:r>
        <w:rPr>
          <w:rFonts w:hint="eastAsia" w:ascii="宋体" w:hAnsi="宋体" w:eastAsia="宋体" w:cs="宋体"/>
          <w:color w:val="auto"/>
          <w:szCs w:val="20"/>
          <w:highlight w:val="none"/>
          <w:lang w:eastAsia="zh-CN"/>
        </w:rPr>
        <w:t>或</w:t>
      </w:r>
      <w:r>
        <w:rPr>
          <w:rFonts w:hint="eastAsia" w:ascii="宋体" w:hAnsi="宋体" w:eastAsia="宋体" w:cs="宋体"/>
          <w:color w:val="auto"/>
          <w:szCs w:val="20"/>
          <w:highlight w:val="none"/>
        </w:rPr>
        <w:t>护照等身份证明文件电子件：</w:t>
      </w:r>
    </w:p>
    <w:tbl>
      <w:tblPr>
        <w:tblStyle w:val="45"/>
        <w:tblW w:w="90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2"/>
      </w:tblGrid>
      <w:tr w14:paraId="0C8D1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7" w:hRule="atLeast"/>
        </w:trPr>
        <w:tc>
          <w:tcPr>
            <w:tcW w:w="9062" w:type="dxa"/>
          </w:tcPr>
          <w:p w14:paraId="3014C5AB">
            <w:pPr>
              <w:pStyle w:val="18"/>
              <w:kinsoku w:val="0"/>
              <w:overflowPunct w:val="0"/>
              <w:spacing w:line="583" w:lineRule="auto"/>
              <w:ind w:right="-46"/>
              <w:rPr>
                <w:rFonts w:hint="eastAsia" w:ascii="宋体" w:hAnsi="宋体" w:eastAsia="宋体" w:cs="宋体"/>
                <w:color w:val="auto"/>
                <w:szCs w:val="20"/>
                <w:highlight w:val="none"/>
              </w:rPr>
            </w:pPr>
          </w:p>
        </w:tc>
      </w:tr>
    </w:tbl>
    <w:p w14:paraId="777B9696">
      <w:pPr>
        <w:pStyle w:val="18"/>
        <w:kinsoku w:val="0"/>
        <w:overflowPunct w:val="0"/>
        <w:spacing w:line="583" w:lineRule="auto"/>
        <w:ind w:right="4305"/>
        <w:rPr>
          <w:rFonts w:hint="eastAsia" w:ascii="宋体" w:hAnsi="宋体" w:eastAsia="宋体" w:cs="宋体"/>
          <w:color w:val="auto"/>
          <w:spacing w:val="-3"/>
          <w:highlight w:val="none"/>
        </w:rPr>
      </w:pPr>
    </w:p>
    <w:p w14:paraId="624C9AD2">
      <w:pPr>
        <w:autoSpaceDE w:val="0"/>
        <w:autoSpaceDN w:val="0"/>
        <w:adjustRightInd w:val="0"/>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供应商名称（加盖公章）</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______</w:t>
      </w:r>
    </w:p>
    <w:p w14:paraId="686CA2B8">
      <w:pPr>
        <w:autoSpaceDE w:val="0"/>
        <w:autoSpaceDN w:val="0"/>
        <w:adjustRightInd w:val="0"/>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pacing w:val="-3"/>
          <w:sz w:val="24"/>
          <w:highlight w:val="none"/>
        </w:rPr>
        <w:t>法定代表人（</w:t>
      </w:r>
      <w:r>
        <w:rPr>
          <w:rFonts w:hint="eastAsia" w:ascii="宋体" w:hAnsi="宋体" w:eastAsia="宋体" w:cs="宋体"/>
          <w:color w:val="auto"/>
          <w:sz w:val="24"/>
          <w:highlight w:val="none"/>
        </w:rPr>
        <w:t>单位负责人</w:t>
      </w:r>
      <w:r>
        <w:rPr>
          <w:rFonts w:hint="eastAsia" w:ascii="宋体" w:hAnsi="宋体" w:eastAsia="宋体" w:cs="宋体"/>
          <w:color w:val="auto"/>
          <w:spacing w:val="-3"/>
          <w:sz w:val="24"/>
          <w:highlight w:val="none"/>
        </w:rPr>
        <w:t>）（签字</w:t>
      </w:r>
      <w:r>
        <w:rPr>
          <w:rFonts w:hint="eastAsia" w:ascii="宋体" w:hAnsi="宋体" w:eastAsia="宋体" w:cs="宋体"/>
          <w:color w:val="auto"/>
          <w:sz w:val="24"/>
          <w:szCs w:val="20"/>
          <w:highlight w:val="none"/>
        </w:rPr>
        <w:t>或</w:t>
      </w:r>
      <w:r>
        <w:rPr>
          <w:rFonts w:hint="eastAsia" w:ascii="宋体" w:hAnsi="宋体" w:eastAsia="宋体" w:cs="宋体"/>
          <w:color w:val="auto"/>
          <w:sz w:val="24"/>
          <w:szCs w:val="20"/>
          <w:highlight w:val="none"/>
          <w:lang w:eastAsia="zh-CN"/>
        </w:rPr>
        <w:t>盖</w:t>
      </w:r>
      <w:r>
        <w:rPr>
          <w:rFonts w:hint="eastAsia" w:ascii="宋体" w:hAnsi="宋体" w:eastAsia="宋体" w:cs="宋体"/>
          <w:color w:val="auto"/>
          <w:sz w:val="24"/>
          <w:szCs w:val="20"/>
          <w:highlight w:val="none"/>
        </w:rPr>
        <w:t>章</w:t>
      </w:r>
      <w:r>
        <w:rPr>
          <w:rFonts w:hint="eastAsia" w:ascii="宋体" w:hAnsi="宋体" w:eastAsia="宋体" w:cs="宋体"/>
          <w:color w:val="auto"/>
          <w:spacing w:val="-3"/>
          <w:sz w:val="24"/>
          <w:highlight w:val="none"/>
        </w:rPr>
        <w:t>）：</w:t>
      </w:r>
      <w:r>
        <w:rPr>
          <w:rFonts w:hint="eastAsia" w:ascii="宋体" w:hAnsi="宋体" w:eastAsia="宋体" w:cs="宋体"/>
          <w:color w:val="auto"/>
          <w:sz w:val="24"/>
          <w:highlight w:val="none"/>
        </w:rPr>
        <w:t>______</w:t>
      </w:r>
    </w:p>
    <w:p w14:paraId="06EA5FC5">
      <w:pPr>
        <w:autoSpaceDE w:val="0"/>
        <w:autoSpaceDN w:val="0"/>
        <w:adjustRightInd w:val="0"/>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日期：</w:t>
      </w:r>
      <w:r>
        <w:rPr>
          <w:rFonts w:hint="eastAsia" w:ascii="宋体" w:hAnsi="宋体" w:eastAsia="宋体" w:cs="宋体"/>
          <w:color w:val="auto"/>
          <w:sz w:val="24"/>
          <w:szCs w:val="20"/>
          <w:highlight w:val="none"/>
        </w:rPr>
        <w:t>____年____月____日</w:t>
      </w:r>
    </w:p>
    <w:p w14:paraId="0A3A0384">
      <w:pPr>
        <w:widowControl/>
        <w:jc w:val="left"/>
        <w:rPr>
          <w:rFonts w:hint="eastAsia" w:ascii="宋体" w:hAnsi="宋体" w:eastAsia="宋体" w:cs="宋体"/>
          <w:i/>
          <w:color w:val="auto"/>
          <w:sz w:val="24"/>
          <w:szCs w:val="20"/>
          <w:highlight w:val="none"/>
          <w:u w:val="single"/>
        </w:rPr>
      </w:pPr>
    </w:p>
    <w:p w14:paraId="4CCCF6B2">
      <w:pPr>
        <w:widowControl/>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br w:type="page"/>
      </w:r>
    </w:p>
    <w:p w14:paraId="7FCC8E04">
      <w:pPr>
        <w:tabs>
          <w:tab w:val="left" w:pos="360"/>
        </w:tabs>
        <w:snapToGrid w:val="0"/>
        <w:spacing w:line="360" w:lineRule="auto"/>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 xml:space="preserve">  报价一览表</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14:paraId="06699DCE">
      <w:pPr>
        <w:spacing w:line="360" w:lineRule="auto"/>
        <w:jc w:val="center"/>
        <w:rPr>
          <w:rFonts w:hint="eastAsia" w:ascii="宋体" w:hAnsi="宋体" w:eastAsia="宋体" w:cs="宋体"/>
          <w:b/>
          <w:color w:val="auto"/>
          <w:sz w:val="36"/>
          <w:szCs w:val="36"/>
          <w:highlight w:val="none"/>
        </w:rPr>
      </w:pPr>
      <w:bookmarkStart w:id="711" w:name="_Toc226965748"/>
      <w:bookmarkStart w:id="712" w:name="_Toc164608827"/>
      <w:bookmarkStart w:id="713" w:name="_Toc226309802"/>
      <w:bookmarkStart w:id="714" w:name="_Toc195842923"/>
      <w:bookmarkStart w:id="715" w:name="_Toc305158900"/>
      <w:bookmarkStart w:id="716" w:name="_Toc226965831"/>
      <w:bookmarkStart w:id="717" w:name="_Toc265228396"/>
      <w:bookmarkStart w:id="718" w:name="_Toc264969248"/>
      <w:bookmarkStart w:id="719" w:name="_Toc305158826"/>
      <w:bookmarkStart w:id="720" w:name="_Toc164608672"/>
      <w:bookmarkStart w:id="721" w:name="_Toc226337254"/>
      <w:r>
        <w:rPr>
          <w:rFonts w:hint="eastAsia" w:ascii="宋体" w:hAnsi="宋体" w:eastAsia="宋体" w:cs="宋体"/>
          <w:b/>
          <w:color w:val="auto"/>
          <w:sz w:val="36"/>
          <w:szCs w:val="36"/>
          <w:highlight w:val="none"/>
        </w:rPr>
        <w:t>报价一览表</w:t>
      </w:r>
      <w:bookmarkEnd w:id="711"/>
      <w:bookmarkEnd w:id="712"/>
      <w:bookmarkEnd w:id="713"/>
      <w:bookmarkEnd w:id="714"/>
      <w:bookmarkEnd w:id="715"/>
      <w:bookmarkEnd w:id="716"/>
      <w:bookmarkEnd w:id="717"/>
      <w:bookmarkEnd w:id="718"/>
      <w:bookmarkEnd w:id="719"/>
      <w:bookmarkEnd w:id="720"/>
      <w:bookmarkEnd w:id="721"/>
    </w:p>
    <w:p w14:paraId="11C14469">
      <w:pPr>
        <w:tabs>
          <w:tab w:val="left" w:pos="1800"/>
          <w:tab w:val="left" w:pos="5580"/>
        </w:tabs>
        <w:spacing w:line="360" w:lineRule="auto"/>
        <w:jc w:val="left"/>
        <w:rPr>
          <w:rFonts w:hint="eastAsia" w:ascii="宋体" w:hAnsi="宋体" w:eastAsia="宋体" w:cs="宋体"/>
          <w:color w:val="auto"/>
          <w:sz w:val="24"/>
          <w:highlight w:val="none"/>
        </w:rPr>
      </w:pPr>
    </w:p>
    <w:p w14:paraId="55F73E8C">
      <w:pPr>
        <w:tabs>
          <w:tab w:val="left" w:pos="1800"/>
          <w:tab w:val="left" w:pos="5580"/>
        </w:tabs>
        <w:spacing w:line="360" w:lineRule="auto"/>
        <w:jc w:val="left"/>
        <w:rPr>
          <w:rFonts w:hint="eastAsia" w:ascii="宋体" w:hAnsi="宋体" w:eastAsia="宋体" w:cs="宋体"/>
          <w:i/>
          <w:color w:val="auto"/>
          <w:sz w:val="24"/>
          <w:highlight w:val="none"/>
        </w:rPr>
      </w:pPr>
    </w:p>
    <w:p w14:paraId="391D35AE">
      <w:pPr>
        <w:tabs>
          <w:tab w:val="left" w:pos="1800"/>
          <w:tab w:val="left" w:pos="5580"/>
        </w:tabs>
        <w:spacing w:line="360" w:lineRule="auto"/>
        <w:ind w:firstLine="240" w:firstLineChars="1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项目编号/包号：___________     项目名称：___________</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92"/>
        <w:gridCol w:w="1533"/>
        <w:gridCol w:w="2982"/>
        <w:gridCol w:w="1277"/>
        <w:gridCol w:w="1275"/>
        <w:gridCol w:w="1422"/>
      </w:tblGrid>
      <w:tr w14:paraId="4A1A2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jc w:val="center"/>
        </w:trPr>
        <w:tc>
          <w:tcPr>
            <w:tcW w:w="326" w:type="pct"/>
            <w:tcBorders>
              <w:top w:val="single" w:color="auto" w:sz="4" w:space="0"/>
              <w:left w:val="single" w:color="auto" w:sz="4" w:space="0"/>
              <w:bottom w:val="single" w:color="auto" w:sz="4" w:space="0"/>
              <w:right w:val="single" w:color="auto" w:sz="4" w:space="0"/>
            </w:tcBorders>
            <w:noWrap w:val="0"/>
            <w:vAlign w:val="center"/>
          </w:tcPr>
          <w:p w14:paraId="128E033D">
            <w:pPr>
              <w:tabs>
                <w:tab w:val="left" w:pos="5580"/>
              </w:tabs>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844" w:type="pct"/>
            <w:tcBorders>
              <w:top w:val="single" w:color="auto" w:sz="4" w:space="0"/>
              <w:left w:val="single" w:color="auto" w:sz="4" w:space="0"/>
              <w:bottom w:val="single" w:color="auto" w:sz="4" w:space="0"/>
              <w:right w:val="single" w:color="auto" w:sz="4" w:space="0"/>
            </w:tcBorders>
            <w:noWrap w:val="0"/>
            <w:vAlign w:val="center"/>
          </w:tcPr>
          <w:p w14:paraId="6EE3A574">
            <w:pPr>
              <w:tabs>
                <w:tab w:val="left" w:pos="5580"/>
              </w:tabs>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供应商名称</w:t>
            </w:r>
          </w:p>
        </w:tc>
        <w:tc>
          <w:tcPr>
            <w:tcW w:w="1642" w:type="pct"/>
            <w:tcBorders>
              <w:top w:val="single" w:color="auto" w:sz="4" w:space="0"/>
              <w:left w:val="single" w:color="auto" w:sz="4" w:space="0"/>
              <w:right w:val="single" w:color="auto" w:sz="4" w:space="0"/>
            </w:tcBorders>
            <w:noWrap w:val="0"/>
            <w:vAlign w:val="center"/>
          </w:tcPr>
          <w:p w14:paraId="422CE246">
            <w:pPr>
              <w:tabs>
                <w:tab w:val="left" w:pos="5580"/>
              </w:tabs>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应答报价</w:t>
            </w:r>
          </w:p>
        </w:tc>
        <w:tc>
          <w:tcPr>
            <w:tcW w:w="703" w:type="pct"/>
            <w:tcBorders>
              <w:top w:val="single" w:color="auto" w:sz="4" w:space="0"/>
              <w:left w:val="single" w:color="auto" w:sz="4" w:space="0"/>
              <w:right w:val="single" w:color="auto" w:sz="4" w:space="0"/>
            </w:tcBorders>
            <w:noWrap w:val="0"/>
            <w:vAlign w:val="center"/>
          </w:tcPr>
          <w:p w14:paraId="1847E4EC">
            <w:pPr>
              <w:tabs>
                <w:tab w:val="left" w:pos="5580"/>
              </w:tabs>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服务期</w:t>
            </w:r>
          </w:p>
        </w:tc>
        <w:tc>
          <w:tcPr>
            <w:tcW w:w="702" w:type="pct"/>
            <w:tcBorders>
              <w:top w:val="single" w:color="auto" w:sz="4" w:space="0"/>
              <w:left w:val="single" w:color="auto" w:sz="4" w:space="0"/>
              <w:right w:val="single" w:color="auto" w:sz="4" w:space="0"/>
            </w:tcBorders>
            <w:noWrap w:val="0"/>
            <w:vAlign w:val="center"/>
          </w:tcPr>
          <w:p w14:paraId="512D99B6">
            <w:pPr>
              <w:tabs>
                <w:tab w:val="left" w:pos="5580"/>
              </w:tabs>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服务地点</w:t>
            </w:r>
          </w:p>
        </w:tc>
        <w:tc>
          <w:tcPr>
            <w:tcW w:w="783" w:type="pct"/>
            <w:tcBorders>
              <w:top w:val="single" w:color="auto" w:sz="4" w:space="0"/>
              <w:left w:val="single" w:color="auto" w:sz="4" w:space="0"/>
              <w:right w:val="single" w:color="auto" w:sz="4" w:space="0"/>
            </w:tcBorders>
            <w:noWrap w:val="0"/>
            <w:vAlign w:val="center"/>
          </w:tcPr>
          <w:p w14:paraId="4F912DA3">
            <w:pPr>
              <w:tabs>
                <w:tab w:val="left" w:pos="5580"/>
              </w:tabs>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1481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7" w:hRule="atLeast"/>
          <w:jc w:val="center"/>
        </w:trPr>
        <w:tc>
          <w:tcPr>
            <w:tcW w:w="326" w:type="pct"/>
            <w:tcBorders>
              <w:top w:val="single" w:color="auto" w:sz="4" w:space="0"/>
              <w:left w:val="single" w:color="auto" w:sz="4" w:space="0"/>
              <w:bottom w:val="single" w:color="auto" w:sz="4" w:space="0"/>
              <w:right w:val="single" w:color="auto" w:sz="4" w:space="0"/>
            </w:tcBorders>
            <w:noWrap w:val="0"/>
            <w:vAlign w:val="center"/>
          </w:tcPr>
          <w:p w14:paraId="113EB7F4">
            <w:pPr>
              <w:tabs>
                <w:tab w:val="left" w:pos="5580"/>
              </w:tabs>
              <w:jc w:val="center"/>
              <w:rPr>
                <w:rFonts w:hint="eastAsia" w:ascii="宋体" w:hAnsi="宋体" w:eastAsia="宋体" w:cs="宋体"/>
                <w:color w:val="auto"/>
                <w:sz w:val="24"/>
                <w:highlight w:val="none"/>
              </w:rPr>
            </w:pPr>
          </w:p>
        </w:tc>
        <w:tc>
          <w:tcPr>
            <w:tcW w:w="844" w:type="pct"/>
            <w:tcBorders>
              <w:top w:val="single" w:color="auto" w:sz="4" w:space="0"/>
              <w:left w:val="single" w:color="auto" w:sz="4" w:space="0"/>
              <w:bottom w:val="single" w:color="auto" w:sz="4" w:space="0"/>
              <w:right w:val="single" w:color="auto" w:sz="4" w:space="0"/>
            </w:tcBorders>
            <w:noWrap w:val="0"/>
            <w:vAlign w:val="center"/>
          </w:tcPr>
          <w:p w14:paraId="2868F560">
            <w:pPr>
              <w:tabs>
                <w:tab w:val="left" w:pos="5580"/>
              </w:tabs>
              <w:jc w:val="center"/>
              <w:rPr>
                <w:rFonts w:hint="eastAsia" w:ascii="宋体" w:hAnsi="宋体" w:eastAsia="宋体" w:cs="宋体"/>
                <w:color w:val="auto"/>
                <w:sz w:val="24"/>
                <w:highlight w:val="none"/>
              </w:rPr>
            </w:pPr>
          </w:p>
        </w:tc>
        <w:tc>
          <w:tcPr>
            <w:tcW w:w="1642" w:type="pct"/>
            <w:tcBorders>
              <w:top w:val="single" w:color="auto" w:sz="4" w:space="0"/>
              <w:left w:val="single" w:color="auto" w:sz="4" w:space="0"/>
              <w:bottom w:val="single" w:color="auto" w:sz="4" w:space="0"/>
              <w:right w:val="single" w:color="auto" w:sz="4" w:space="0"/>
            </w:tcBorders>
            <w:noWrap w:val="0"/>
            <w:vAlign w:val="center"/>
          </w:tcPr>
          <w:p w14:paraId="40EADE61">
            <w:pPr>
              <w:tabs>
                <w:tab w:val="left" w:pos="5580"/>
              </w:tabs>
              <w:jc w:val="left"/>
              <w:rPr>
                <w:rFonts w:hint="eastAsia" w:ascii="宋体" w:hAnsi="宋体" w:eastAsia="宋体" w:cs="宋体"/>
                <w:color w:val="auto"/>
                <w:highlight w:val="none"/>
              </w:rPr>
            </w:pPr>
            <w:r>
              <w:rPr>
                <w:rFonts w:hint="eastAsia" w:ascii="宋体" w:hAnsi="宋体" w:eastAsia="宋体" w:cs="宋体"/>
                <w:color w:val="auto"/>
                <w:highlight w:val="none"/>
              </w:rPr>
              <w:t>大写（文字表示）：</w:t>
            </w:r>
          </w:p>
          <w:p w14:paraId="3C60CC5C">
            <w:pPr>
              <w:tabs>
                <w:tab w:val="left" w:pos="5580"/>
              </w:tabs>
              <w:jc w:val="left"/>
              <w:rPr>
                <w:rFonts w:hint="eastAsia" w:ascii="宋体" w:hAnsi="宋体" w:eastAsia="宋体" w:cs="宋体"/>
                <w:color w:val="auto"/>
                <w:highlight w:val="none"/>
              </w:rPr>
            </w:pPr>
          </w:p>
          <w:p w14:paraId="239F68F5">
            <w:pPr>
              <w:tabs>
                <w:tab w:val="left" w:pos="5580"/>
              </w:tabs>
              <w:jc w:val="left"/>
              <w:rPr>
                <w:rFonts w:hint="eastAsia" w:ascii="宋体" w:hAnsi="宋体" w:eastAsia="宋体" w:cs="宋体"/>
                <w:color w:val="auto"/>
                <w:sz w:val="24"/>
                <w:highlight w:val="none"/>
              </w:rPr>
            </w:pPr>
            <w:r>
              <w:rPr>
                <w:rFonts w:hint="eastAsia" w:ascii="宋体" w:hAnsi="宋体" w:eastAsia="宋体" w:cs="宋体"/>
                <w:color w:val="auto"/>
                <w:highlight w:val="none"/>
              </w:rPr>
              <w:t>小写（数字表示）：</w:t>
            </w:r>
          </w:p>
        </w:tc>
        <w:tc>
          <w:tcPr>
            <w:tcW w:w="703" w:type="pct"/>
            <w:tcBorders>
              <w:top w:val="single" w:color="auto" w:sz="4" w:space="0"/>
              <w:left w:val="single" w:color="auto" w:sz="4" w:space="0"/>
              <w:bottom w:val="single" w:color="auto" w:sz="4" w:space="0"/>
              <w:right w:val="single" w:color="auto" w:sz="4" w:space="0"/>
            </w:tcBorders>
            <w:noWrap w:val="0"/>
            <w:vAlign w:val="center"/>
          </w:tcPr>
          <w:p w14:paraId="0BA3C734">
            <w:pPr>
              <w:tabs>
                <w:tab w:val="left" w:pos="5580"/>
              </w:tabs>
              <w:jc w:val="center"/>
              <w:rPr>
                <w:rFonts w:hint="eastAsia" w:ascii="宋体" w:hAnsi="宋体" w:eastAsia="宋体" w:cs="宋体"/>
                <w:color w:val="auto"/>
                <w:sz w:val="24"/>
                <w:highlight w:val="none"/>
              </w:rPr>
            </w:pPr>
          </w:p>
        </w:tc>
        <w:tc>
          <w:tcPr>
            <w:tcW w:w="702" w:type="pct"/>
            <w:tcBorders>
              <w:top w:val="single" w:color="auto" w:sz="4" w:space="0"/>
              <w:left w:val="single" w:color="auto" w:sz="4" w:space="0"/>
              <w:bottom w:val="single" w:color="auto" w:sz="4" w:space="0"/>
              <w:right w:val="single" w:color="auto" w:sz="4" w:space="0"/>
            </w:tcBorders>
            <w:noWrap w:val="0"/>
            <w:vAlign w:val="center"/>
          </w:tcPr>
          <w:p w14:paraId="6D0F4388">
            <w:pPr>
              <w:tabs>
                <w:tab w:val="left" w:pos="5580"/>
              </w:tabs>
              <w:jc w:val="center"/>
              <w:rPr>
                <w:rFonts w:hint="eastAsia" w:ascii="宋体" w:hAnsi="宋体" w:eastAsia="宋体" w:cs="宋体"/>
                <w:color w:val="auto"/>
                <w:sz w:val="24"/>
                <w:highlight w:val="none"/>
              </w:rPr>
            </w:pPr>
          </w:p>
        </w:tc>
        <w:tc>
          <w:tcPr>
            <w:tcW w:w="783" w:type="pct"/>
            <w:tcBorders>
              <w:top w:val="single" w:color="auto" w:sz="4" w:space="0"/>
              <w:left w:val="single" w:color="auto" w:sz="4" w:space="0"/>
              <w:bottom w:val="single" w:color="auto" w:sz="4" w:space="0"/>
              <w:right w:val="single" w:color="auto" w:sz="4" w:space="0"/>
            </w:tcBorders>
            <w:noWrap w:val="0"/>
            <w:vAlign w:val="top"/>
          </w:tcPr>
          <w:p w14:paraId="2E951C02">
            <w:pPr>
              <w:tabs>
                <w:tab w:val="left" w:pos="5580"/>
              </w:tabs>
              <w:jc w:val="center"/>
              <w:rPr>
                <w:rFonts w:hint="eastAsia" w:ascii="宋体" w:hAnsi="宋体" w:eastAsia="宋体" w:cs="宋体"/>
                <w:color w:val="auto"/>
                <w:sz w:val="24"/>
                <w:highlight w:val="none"/>
              </w:rPr>
            </w:pPr>
          </w:p>
        </w:tc>
      </w:tr>
    </w:tbl>
    <w:p w14:paraId="2C3A84D9">
      <w:pPr>
        <w:autoSpaceDE w:val="0"/>
        <w:autoSpaceDN w:val="0"/>
        <w:adjustRightInd w:val="0"/>
        <w:jc w:val="left"/>
        <w:rPr>
          <w:rFonts w:hint="eastAsia" w:ascii="宋体" w:hAnsi="宋体" w:eastAsia="宋体" w:cs="宋体"/>
          <w:color w:val="auto"/>
          <w:kern w:val="0"/>
          <w:sz w:val="24"/>
          <w:highlight w:val="none"/>
        </w:rPr>
      </w:pPr>
    </w:p>
    <w:p w14:paraId="57B5FAA9">
      <w:pPr>
        <w:autoSpaceDE w:val="0"/>
        <w:autoSpaceDN w:val="0"/>
        <w:adjustRightInd w:val="0"/>
        <w:spacing w:line="360" w:lineRule="auto"/>
        <w:jc w:val="left"/>
        <w:rPr>
          <w:rFonts w:hint="eastAsia" w:ascii="宋体" w:hAnsi="宋体" w:eastAsia="宋体" w:cs="宋体"/>
          <w:color w:val="auto"/>
          <w:sz w:val="24"/>
          <w:szCs w:val="20"/>
          <w:highlight w:val="none"/>
        </w:rPr>
      </w:pPr>
      <w:r>
        <w:rPr>
          <w:rFonts w:hint="eastAsia" w:ascii="宋体" w:hAnsi="宋体" w:eastAsia="宋体" w:cs="宋体"/>
          <w:color w:val="auto"/>
          <w:kern w:val="0"/>
          <w:sz w:val="24"/>
          <w:highlight w:val="none"/>
        </w:rPr>
        <w:t>注：1</w:t>
      </w:r>
      <w:r>
        <w:rPr>
          <w:rFonts w:hint="eastAsia" w:ascii="宋体" w:hAnsi="宋体" w:eastAsia="宋体" w:cs="宋体"/>
          <w:color w:val="auto"/>
          <w:sz w:val="24"/>
          <w:szCs w:val="20"/>
          <w:highlight w:val="none"/>
        </w:rPr>
        <w:t>.此表中，每包的报价应和《分项报价表》中的总价相一致。</w:t>
      </w:r>
    </w:p>
    <w:p w14:paraId="0A7843A4">
      <w:pPr>
        <w:tabs>
          <w:tab w:val="left" w:pos="5580"/>
        </w:tabs>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2.本表必须按包分别填写。</w:t>
      </w:r>
    </w:p>
    <w:p w14:paraId="3DD55A8F">
      <w:pPr>
        <w:tabs>
          <w:tab w:val="left" w:pos="5580"/>
        </w:tabs>
        <w:ind w:firstLine="480" w:firstLineChars="200"/>
        <w:rPr>
          <w:rFonts w:hint="eastAsia" w:ascii="宋体" w:hAnsi="宋体" w:eastAsia="宋体" w:cs="宋体"/>
          <w:color w:val="auto"/>
          <w:sz w:val="24"/>
          <w:szCs w:val="20"/>
          <w:highlight w:val="none"/>
        </w:rPr>
      </w:pPr>
    </w:p>
    <w:p w14:paraId="48DBE049">
      <w:pPr>
        <w:autoSpaceDE w:val="0"/>
        <w:autoSpaceDN w:val="0"/>
        <w:adjustRightInd w:val="0"/>
        <w:snapToGrid w:val="0"/>
        <w:spacing w:before="25" w:after="25" w:line="360" w:lineRule="auto"/>
        <w:rPr>
          <w:rFonts w:hint="eastAsia" w:ascii="宋体" w:hAnsi="宋体" w:eastAsia="宋体" w:cs="宋体"/>
          <w:color w:val="auto"/>
          <w:sz w:val="24"/>
          <w:highlight w:val="none"/>
          <w:lang w:val="zh-CN"/>
        </w:rPr>
      </w:pPr>
    </w:p>
    <w:p w14:paraId="3BC153EE">
      <w:pPr>
        <w:autoSpaceDE w:val="0"/>
        <w:autoSpaceDN w:val="0"/>
        <w:adjustRightInd w:val="0"/>
        <w:snapToGrid w:val="0"/>
        <w:spacing w:before="25" w:after="25"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w:t>
      </w:r>
    </w:p>
    <w:p w14:paraId="224D9AAF">
      <w:pPr>
        <w:autoSpaceDE w:val="0"/>
        <w:autoSpaceDN w:val="0"/>
        <w:adjustRightInd w:val="0"/>
        <w:snapToGrid w:val="0"/>
        <w:spacing w:before="25" w:after="25"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供应商名称（加盖公章）</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___________</w:t>
      </w:r>
    </w:p>
    <w:p w14:paraId="4DA75AF2">
      <w:pPr>
        <w:autoSpaceDE w:val="0"/>
        <w:autoSpaceDN w:val="0"/>
        <w:adjustRightInd w:val="0"/>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日期：</w:t>
      </w:r>
      <w:r>
        <w:rPr>
          <w:rFonts w:hint="eastAsia" w:ascii="宋体" w:hAnsi="宋体" w:eastAsia="宋体" w:cs="宋体"/>
          <w:color w:val="auto"/>
          <w:sz w:val="24"/>
          <w:szCs w:val="20"/>
          <w:highlight w:val="none"/>
        </w:rPr>
        <w:t>____年____月____日</w:t>
      </w:r>
    </w:p>
    <w:p w14:paraId="6C726E3B">
      <w:pPr>
        <w:autoSpaceDE w:val="0"/>
        <w:autoSpaceDN w:val="0"/>
        <w:adjustRightInd w:val="0"/>
        <w:snapToGrid w:val="0"/>
        <w:spacing w:before="25" w:after="25"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szCs w:val="20"/>
          <w:highlight w:val="none"/>
        </w:rPr>
        <w:t xml:space="preserve">  </w:t>
      </w:r>
    </w:p>
    <w:p w14:paraId="3000E497">
      <w:pPr>
        <w:tabs>
          <w:tab w:val="left" w:pos="360"/>
        </w:tabs>
        <w:snapToGrid w:val="0"/>
        <w:spacing w:line="360" w:lineRule="auto"/>
        <w:outlineLvl w:val="1"/>
        <w:rPr>
          <w:rFonts w:hint="eastAsia" w:ascii="宋体" w:hAnsi="宋体" w:eastAsia="宋体" w:cs="宋体"/>
          <w:color w:val="auto"/>
          <w:sz w:val="24"/>
          <w:highlight w:val="none"/>
        </w:rPr>
      </w:pPr>
      <w:bookmarkStart w:id="722" w:name="_Toc264969249"/>
      <w:bookmarkStart w:id="723" w:name="_Toc265228397"/>
      <w:bookmarkStart w:id="724" w:name="_Toc195842924"/>
      <w:bookmarkStart w:id="725" w:name="_Toc305158901"/>
      <w:bookmarkStart w:id="726" w:name="_Toc226309803"/>
      <w:bookmarkStart w:id="727" w:name="_Toc226337255"/>
      <w:bookmarkStart w:id="728" w:name="_Toc305158827"/>
      <w:bookmarkStart w:id="729" w:name="_Toc150774763"/>
      <w:bookmarkStart w:id="730" w:name="_Toc150480796"/>
      <w:bookmarkStart w:id="731" w:name="_Toc226965749"/>
      <w:bookmarkStart w:id="732" w:name="_Toc142311060"/>
      <w:bookmarkStart w:id="733" w:name="_Toc127151558"/>
      <w:bookmarkStart w:id="734" w:name="_Toc226965832"/>
    </w:p>
    <w:p w14:paraId="6850CFE7">
      <w:pPr>
        <w:tabs>
          <w:tab w:val="left" w:pos="360"/>
        </w:tabs>
        <w:snapToGrid w:val="0"/>
        <w:spacing w:line="360" w:lineRule="auto"/>
        <w:outlineLvl w:val="1"/>
        <w:rPr>
          <w:rFonts w:hint="eastAsia" w:ascii="宋体" w:hAnsi="宋体" w:eastAsia="宋体" w:cs="宋体"/>
          <w:color w:val="auto"/>
          <w:sz w:val="24"/>
          <w:highlight w:val="none"/>
        </w:rPr>
      </w:pPr>
    </w:p>
    <w:p w14:paraId="2D839C60">
      <w:pPr>
        <w:tabs>
          <w:tab w:val="left" w:pos="360"/>
        </w:tabs>
        <w:snapToGrid w:val="0"/>
        <w:spacing w:line="360" w:lineRule="auto"/>
        <w:outlineLvl w:val="1"/>
        <w:rPr>
          <w:rFonts w:hint="eastAsia" w:ascii="宋体" w:hAnsi="宋体" w:eastAsia="宋体" w:cs="宋体"/>
          <w:color w:val="auto"/>
          <w:sz w:val="24"/>
          <w:highlight w:val="none"/>
        </w:rPr>
      </w:pPr>
    </w:p>
    <w:p w14:paraId="4651749F">
      <w:pPr>
        <w:tabs>
          <w:tab w:val="left" w:pos="360"/>
        </w:tabs>
        <w:snapToGrid w:val="0"/>
        <w:spacing w:line="360" w:lineRule="auto"/>
        <w:outlineLvl w:val="1"/>
        <w:rPr>
          <w:rFonts w:hint="eastAsia" w:ascii="宋体" w:hAnsi="宋体" w:eastAsia="宋体" w:cs="宋体"/>
          <w:color w:val="auto"/>
          <w:sz w:val="24"/>
          <w:highlight w:val="none"/>
        </w:rPr>
      </w:pPr>
    </w:p>
    <w:p w14:paraId="6A185FA3">
      <w:pPr>
        <w:tabs>
          <w:tab w:val="left" w:pos="360"/>
        </w:tabs>
        <w:snapToGrid w:val="0"/>
        <w:spacing w:line="360" w:lineRule="auto"/>
        <w:outlineLvl w:val="1"/>
        <w:rPr>
          <w:rFonts w:hint="eastAsia" w:ascii="宋体" w:hAnsi="宋体" w:eastAsia="宋体" w:cs="宋体"/>
          <w:color w:val="auto"/>
          <w:sz w:val="24"/>
          <w:highlight w:val="none"/>
        </w:rPr>
      </w:pPr>
    </w:p>
    <w:p w14:paraId="13EDB501">
      <w:pPr>
        <w:tabs>
          <w:tab w:val="left" w:pos="360"/>
        </w:tabs>
        <w:snapToGrid w:val="0"/>
        <w:spacing w:line="360" w:lineRule="auto"/>
        <w:outlineLvl w:val="1"/>
        <w:rPr>
          <w:rFonts w:hint="eastAsia" w:ascii="宋体" w:hAnsi="宋体" w:eastAsia="宋体" w:cs="宋体"/>
          <w:color w:val="auto"/>
          <w:sz w:val="24"/>
          <w:highlight w:val="none"/>
        </w:rPr>
      </w:pPr>
    </w:p>
    <w:p w14:paraId="06699EF6">
      <w:pPr>
        <w:tabs>
          <w:tab w:val="left" w:pos="360"/>
        </w:tabs>
        <w:snapToGrid w:val="0"/>
        <w:spacing w:line="360" w:lineRule="auto"/>
        <w:outlineLvl w:val="1"/>
        <w:rPr>
          <w:rFonts w:hint="eastAsia" w:ascii="宋体" w:hAnsi="宋体" w:eastAsia="宋体" w:cs="宋体"/>
          <w:color w:val="auto"/>
          <w:sz w:val="24"/>
          <w:highlight w:val="none"/>
        </w:rPr>
      </w:pPr>
    </w:p>
    <w:p w14:paraId="0B136CFC">
      <w:pPr>
        <w:tabs>
          <w:tab w:val="left" w:pos="360"/>
        </w:tabs>
        <w:snapToGrid w:val="0"/>
        <w:spacing w:line="360" w:lineRule="auto"/>
        <w:outlineLvl w:val="1"/>
        <w:rPr>
          <w:rFonts w:hint="eastAsia" w:ascii="宋体" w:hAnsi="宋体" w:eastAsia="宋体" w:cs="宋体"/>
          <w:color w:val="auto"/>
          <w:sz w:val="24"/>
          <w:highlight w:val="none"/>
        </w:rPr>
      </w:pPr>
    </w:p>
    <w:p w14:paraId="3D39EB7F">
      <w:pPr>
        <w:tabs>
          <w:tab w:val="left" w:pos="360"/>
        </w:tabs>
        <w:snapToGrid w:val="0"/>
        <w:spacing w:line="360" w:lineRule="auto"/>
        <w:outlineLvl w:val="1"/>
        <w:rPr>
          <w:rFonts w:hint="eastAsia" w:ascii="宋体" w:hAnsi="宋体" w:eastAsia="宋体" w:cs="宋体"/>
          <w:color w:val="auto"/>
          <w:sz w:val="24"/>
          <w:highlight w:val="none"/>
        </w:rPr>
      </w:pPr>
    </w:p>
    <w:p w14:paraId="2888638F">
      <w:pPr>
        <w:tabs>
          <w:tab w:val="left" w:pos="360"/>
        </w:tabs>
        <w:snapToGrid w:val="0"/>
        <w:spacing w:line="360" w:lineRule="auto"/>
        <w:outlineLvl w:val="1"/>
        <w:rPr>
          <w:rFonts w:hint="eastAsia" w:ascii="宋体" w:hAnsi="宋体" w:eastAsia="宋体" w:cs="宋体"/>
          <w:color w:val="auto"/>
          <w:sz w:val="24"/>
          <w:highlight w:val="none"/>
        </w:rPr>
      </w:pPr>
    </w:p>
    <w:p w14:paraId="0E2842D3">
      <w:pPr>
        <w:tabs>
          <w:tab w:val="left" w:pos="360"/>
        </w:tabs>
        <w:snapToGrid w:val="0"/>
        <w:spacing w:line="360" w:lineRule="auto"/>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 xml:space="preserve"> 分项报价表</w:t>
      </w:r>
    </w:p>
    <w:p w14:paraId="44CEF0F0">
      <w:pPr>
        <w:tabs>
          <w:tab w:val="left" w:pos="360"/>
        </w:tabs>
        <w:snapToGrid w:val="0"/>
        <w:spacing w:line="360" w:lineRule="auto"/>
        <w:outlineLvl w:val="1"/>
        <w:rPr>
          <w:rFonts w:hint="eastAsia" w:ascii="宋体" w:hAnsi="宋体" w:eastAsia="宋体" w:cs="宋体"/>
          <w:color w:val="auto"/>
          <w:sz w:val="24"/>
          <w:highlight w:val="none"/>
        </w:rPr>
      </w:pPr>
    </w:p>
    <w:p w14:paraId="2EBABFDD">
      <w:pPr>
        <w:spacing w:line="36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分项报价表</w:t>
      </w:r>
    </w:p>
    <w:p w14:paraId="25560E49">
      <w:pPr>
        <w:spacing w:line="360" w:lineRule="exact"/>
        <w:jc w:val="center"/>
        <w:rPr>
          <w:rFonts w:hint="eastAsia" w:ascii="宋体" w:hAnsi="宋体" w:eastAsia="宋体" w:cs="宋体"/>
          <w:b/>
          <w:color w:val="auto"/>
          <w:sz w:val="36"/>
          <w:szCs w:val="36"/>
          <w:highlight w:val="none"/>
        </w:rPr>
      </w:pPr>
    </w:p>
    <w:p w14:paraId="418FBA05">
      <w:pPr>
        <w:spacing w:line="260" w:lineRule="exact"/>
        <w:jc w:val="center"/>
        <w:rPr>
          <w:rFonts w:hint="eastAsia" w:ascii="宋体" w:hAnsi="宋体" w:eastAsia="宋体" w:cs="宋体"/>
          <w:color w:val="auto"/>
          <w:sz w:val="36"/>
          <w:szCs w:val="36"/>
          <w:highlight w:val="none"/>
        </w:rPr>
      </w:pPr>
    </w:p>
    <w:p w14:paraId="619306A4">
      <w:pPr>
        <w:spacing w:line="260" w:lineRule="exact"/>
        <w:jc w:val="center"/>
        <w:rPr>
          <w:rFonts w:hint="eastAsia" w:ascii="宋体" w:hAnsi="宋体" w:eastAsia="宋体" w:cs="宋体"/>
          <w:color w:val="auto"/>
          <w:sz w:val="36"/>
          <w:szCs w:val="36"/>
          <w:highlight w:val="none"/>
        </w:rPr>
      </w:pPr>
    </w:p>
    <w:p w14:paraId="398A7CEA">
      <w:pPr>
        <w:spacing w:line="260" w:lineRule="exact"/>
        <w:jc w:val="center"/>
        <w:rPr>
          <w:rFonts w:hint="eastAsia" w:ascii="宋体" w:hAnsi="宋体" w:eastAsia="宋体" w:cs="宋体"/>
          <w:color w:val="auto"/>
          <w:sz w:val="36"/>
          <w:szCs w:val="36"/>
          <w:highlight w:val="none"/>
        </w:rPr>
      </w:pPr>
    </w:p>
    <w:p w14:paraId="3971A8F1">
      <w:pPr>
        <w:tabs>
          <w:tab w:val="left" w:pos="1800"/>
          <w:tab w:val="left" w:pos="5580"/>
        </w:tabs>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项目编号/包号：_________ 项目名称：_________报价单位：人民币元</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2129"/>
        <w:gridCol w:w="1447"/>
        <w:gridCol w:w="1447"/>
        <w:gridCol w:w="1449"/>
        <w:gridCol w:w="1939"/>
      </w:tblGrid>
      <w:tr w14:paraId="3C3B0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472" w:type="pct"/>
            <w:noWrap w:val="0"/>
            <w:vAlign w:val="center"/>
          </w:tcPr>
          <w:p w14:paraId="7AA9E320">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146" w:type="pct"/>
            <w:noWrap w:val="0"/>
            <w:vAlign w:val="center"/>
          </w:tcPr>
          <w:p w14:paraId="525E7769">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分项名称</w:t>
            </w:r>
          </w:p>
        </w:tc>
        <w:tc>
          <w:tcPr>
            <w:tcW w:w="779" w:type="pct"/>
            <w:noWrap w:val="0"/>
            <w:vAlign w:val="center"/>
          </w:tcPr>
          <w:p w14:paraId="348B7EDD">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779" w:type="pct"/>
            <w:noWrap w:val="0"/>
            <w:vAlign w:val="center"/>
          </w:tcPr>
          <w:p w14:paraId="1DB17CBE">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服务期</w:t>
            </w:r>
          </w:p>
        </w:tc>
        <w:tc>
          <w:tcPr>
            <w:tcW w:w="779" w:type="pct"/>
            <w:noWrap w:val="0"/>
            <w:vAlign w:val="center"/>
          </w:tcPr>
          <w:p w14:paraId="5A5B6C64">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单价</w:t>
            </w:r>
          </w:p>
          <w:p w14:paraId="47ABB33E">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（元/月）</w:t>
            </w:r>
          </w:p>
        </w:tc>
        <w:tc>
          <w:tcPr>
            <w:tcW w:w="1044" w:type="pct"/>
            <w:noWrap w:val="0"/>
            <w:vAlign w:val="center"/>
          </w:tcPr>
          <w:p w14:paraId="0641BDE6">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合计（元）</w:t>
            </w:r>
          </w:p>
        </w:tc>
      </w:tr>
      <w:tr w14:paraId="0D0C9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72" w:type="pct"/>
            <w:noWrap w:val="0"/>
            <w:vAlign w:val="top"/>
          </w:tcPr>
          <w:p w14:paraId="0BAE9324">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146" w:type="pct"/>
            <w:noWrap w:val="0"/>
            <w:vAlign w:val="top"/>
          </w:tcPr>
          <w:p w14:paraId="7210C943">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c>
          <w:tcPr>
            <w:tcW w:w="779" w:type="pct"/>
            <w:noWrap w:val="0"/>
            <w:vAlign w:val="top"/>
          </w:tcPr>
          <w:p w14:paraId="1393082D">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c>
          <w:tcPr>
            <w:tcW w:w="779" w:type="pct"/>
            <w:vMerge w:val="restart"/>
            <w:noWrap w:val="0"/>
            <w:vAlign w:val="center"/>
          </w:tcPr>
          <w:p w14:paraId="067595C7">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12个月</w:t>
            </w:r>
          </w:p>
        </w:tc>
        <w:tc>
          <w:tcPr>
            <w:tcW w:w="779" w:type="pct"/>
            <w:noWrap w:val="0"/>
            <w:vAlign w:val="top"/>
          </w:tcPr>
          <w:p w14:paraId="7B692C42">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c>
          <w:tcPr>
            <w:tcW w:w="1044" w:type="pct"/>
            <w:noWrap w:val="0"/>
            <w:vAlign w:val="top"/>
          </w:tcPr>
          <w:p w14:paraId="6684CB7F">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r>
      <w:tr w14:paraId="1385C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72" w:type="pct"/>
            <w:noWrap w:val="0"/>
            <w:vAlign w:val="top"/>
          </w:tcPr>
          <w:p w14:paraId="63BDB155">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146" w:type="pct"/>
            <w:noWrap w:val="0"/>
            <w:vAlign w:val="top"/>
          </w:tcPr>
          <w:p w14:paraId="12FAEE06">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c>
          <w:tcPr>
            <w:tcW w:w="779" w:type="pct"/>
            <w:noWrap w:val="0"/>
            <w:vAlign w:val="top"/>
          </w:tcPr>
          <w:p w14:paraId="34FDD33A">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c>
          <w:tcPr>
            <w:tcW w:w="779" w:type="pct"/>
            <w:vMerge w:val="continue"/>
            <w:noWrap w:val="0"/>
            <w:vAlign w:val="center"/>
          </w:tcPr>
          <w:p w14:paraId="11CE2626">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c>
          <w:tcPr>
            <w:tcW w:w="779" w:type="pct"/>
            <w:noWrap w:val="0"/>
            <w:vAlign w:val="top"/>
          </w:tcPr>
          <w:p w14:paraId="69C4D13F">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c>
          <w:tcPr>
            <w:tcW w:w="1044" w:type="pct"/>
            <w:noWrap w:val="0"/>
            <w:vAlign w:val="top"/>
          </w:tcPr>
          <w:p w14:paraId="500E6C0C">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r>
      <w:tr w14:paraId="6A4E3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72" w:type="pct"/>
            <w:noWrap w:val="0"/>
            <w:vAlign w:val="top"/>
          </w:tcPr>
          <w:p w14:paraId="5620D36E">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146" w:type="pct"/>
            <w:noWrap w:val="0"/>
            <w:vAlign w:val="top"/>
          </w:tcPr>
          <w:p w14:paraId="36A4EE8B">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c>
          <w:tcPr>
            <w:tcW w:w="779" w:type="pct"/>
            <w:noWrap w:val="0"/>
            <w:vAlign w:val="top"/>
          </w:tcPr>
          <w:p w14:paraId="11B26E2D">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c>
          <w:tcPr>
            <w:tcW w:w="779" w:type="pct"/>
            <w:vMerge w:val="continue"/>
            <w:noWrap w:val="0"/>
            <w:vAlign w:val="center"/>
          </w:tcPr>
          <w:p w14:paraId="22039C5A">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c>
          <w:tcPr>
            <w:tcW w:w="779" w:type="pct"/>
            <w:noWrap w:val="0"/>
            <w:vAlign w:val="top"/>
          </w:tcPr>
          <w:p w14:paraId="121808A4">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c>
          <w:tcPr>
            <w:tcW w:w="1044" w:type="pct"/>
            <w:noWrap w:val="0"/>
            <w:vAlign w:val="top"/>
          </w:tcPr>
          <w:p w14:paraId="01308C3D">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r>
      <w:tr w14:paraId="7C35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72" w:type="pct"/>
            <w:noWrap w:val="0"/>
            <w:vAlign w:val="top"/>
          </w:tcPr>
          <w:p w14:paraId="01B14BFC">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146" w:type="pct"/>
            <w:noWrap w:val="0"/>
            <w:vAlign w:val="top"/>
          </w:tcPr>
          <w:p w14:paraId="0074CF76">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c>
          <w:tcPr>
            <w:tcW w:w="779" w:type="pct"/>
            <w:noWrap w:val="0"/>
            <w:vAlign w:val="top"/>
          </w:tcPr>
          <w:p w14:paraId="3A307B83">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c>
          <w:tcPr>
            <w:tcW w:w="779" w:type="pct"/>
            <w:vMerge w:val="continue"/>
            <w:noWrap w:val="0"/>
            <w:vAlign w:val="center"/>
          </w:tcPr>
          <w:p w14:paraId="561D5BC3">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c>
          <w:tcPr>
            <w:tcW w:w="779" w:type="pct"/>
            <w:noWrap w:val="0"/>
            <w:vAlign w:val="top"/>
          </w:tcPr>
          <w:p w14:paraId="5CC8057C">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c>
          <w:tcPr>
            <w:tcW w:w="1044" w:type="pct"/>
            <w:noWrap w:val="0"/>
            <w:vAlign w:val="top"/>
          </w:tcPr>
          <w:p w14:paraId="61A6BDD8">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r>
      <w:tr w14:paraId="78E68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72" w:type="pct"/>
            <w:noWrap w:val="0"/>
            <w:vAlign w:val="top"/>
          </w:tcPr>
          <w:p w14:paraId="257FB5F3">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146" w:type="pct"/>
            <w:noWrap w:val="0"/>
            <w:vAlign w:val="top"/>
          </w:tcPr>
          <w:p w14:paraId="3142D112">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c>
          <w:tcPr>
            <w:tcW w:w="779" w:type="pct"/>
            <w:noWrap w:val="0"/>
            <w:vAlign w:val="top"/>
          </w:tcPr>
          <w:p w14:paraId="43FD06D8">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c>
          <w:tcPr>
            <w:tcW w:w="779" w:type="pct"/>
            <w:vMerge w:val="continue"/>
            <w:noWrap w:val="0"/>
            <w:vAlign w:val="center"/>
          </w:tcPr>
          <w:p w14:paraId="7585E831">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c>
          <w:tcPr>
            <w:tcW w:w="779" w:type="pct"/>
            <w:noWrap w:val="0"/>
            <w:vAlign w:val="top"/>
          </w:tcPr>
          <w:p w14:paraId="569255C8">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c>
          <w:tcPr>
            <w:tcW w:w="1044" w:type="pct"/>
            <w:noWrap w:val="0"/>
            <w:vAlign w:val="top"/>
          </w:tcPr>
          <w:p w14:paraId="73102837">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r>
      <w:tr w14:paraId="2D9AD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72" w:type="pct"/>
            <w:noWrap w:val="0"/>
            <w:vAlign w:val="top"/>
          </w:tcPr>
          <w:p w14:paraId="7E8CE389">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146" w:type="pct"/>
            <w:noWrap w:val="0"/>
            <w:vAlign w:val="top"/>
          </w:tcPr>
          <w:p w14:paraId="6BFCEEB9">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c>
          <w:tcPr>
            <w:tcW w:w="779" w:type="pct"/>
            <w:noWrap w:val="0"/>
            <w:vAlign w:val="top"/>
          </w:tcPr>
          <w:p w14:paraId="0F7B9476">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c>
          <w:tcPr>
            <w:tcW w:w="779" w:type="pct"/>
            <w:vMerge w:val="continue"/>
            <w:noWrap w:val="0"/>
            <w:vAlign w:val="center"/>
          </w:tcPr>
          <w:p w14:paraId="5F1C7B20">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c>
          <w:tcPr>
            <w:tcW w:w="779" w:type="pct"/>
            <w:noWrap w:val="0"/>
            <w:vAlign w:val="top"/>
          </w:tcPr>
          <w:p w14:paraId="02D2FEAF">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c>
          <w:tcPr>
            <w:tcW w:w="1044" w:type="pct"/>
            <w:noWrap w:val="0"/>
            <w:vAlign w:val="top"/>
          </w:tcPr>
          <w:p w14:paraId="52BEABBC">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r>
      <w:tr w14:paraId="7B2FD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72" w:type="pct"/>
            <w:noWrap w:val="0"/>
            <w:vAlign w:val="top"/>
          </w:tcPr>
          <w:p w14:paraId="13F8EAC9">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146" w:type="pct"/>
            <w:noWrap w:val="0"/>
            <w:vAlign w:val="top"/>
          </w:tcPr>
          <w:p w14:paraId="32481EE5">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c>
          <w:tcPr>
            <w:tcW w:w="779" w:type="pct"/>
            <w:noWrap w:val="0"/>
            <w:vAlign w:val="top"/>
          </w:tcPr>
          <w:p w14:paraId="0E579218">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c>
          <w:tcPr>
            <w:tcW w:w="779" w:type="pct"/>
            <w:vMerge w:val="continue"/>
            <w:noWrap w:val="0"/>
            <w:vAlign w:val="center"/>
          </w:tcPr>
          <w:p w14:paraId="60C3AADF">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c>
          <w:tcPr>
            <w:tcW w:w="779" w:type="pct"/>
            <w:noWrap w:val="0"/>
            <w:vAlign w:val="top"/>
          </w:tcPr>
          <w:p w14:paraId="6FDE884C">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c>
          <w:tcPr>
            <w:tcW w:w="1044" w:type="pct"/>
            <w:noWrap w:val="0"/>
            <w:vAlign w:val="top"/>
          </w:tcPr>
          <w:p w14:paraId="55BCDC19">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r>
      <w:tr w14:paraId="2CD9A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956" w:type="pct"/>
            <w:gridSpan w:val="5"/>
            <w:noWrap w:val="0"/>
            <w:vAlign w:val="top"/>
          </w:tcPr>
          <w:p w14:paraId="17D4F9B9">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应答总价（元）</w:t>
            </w:r>
          </w:p>
        </w:tc>
        <w:tc>
          <w:tcPr>
            <w:tcW w:w="1044" w:type="pct"/>
            <w:noWrap w:val="0"/>
            <w:vAlign w:val="top"/>
          </w:tcPr>
          <w:p w14:paraId="74612B29">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r>
    </w:tbl>
    <w:p w14:paraId="737050F0">
      <w:pPr>
        <w:tabs>
          <w:tab w:val="left" w:pos="1800"/>
          <w:tab w:val="left" w:pos="5580"/>
        </w:tabs>
        <w:jc w:val="left"/>
        <w:rPr>
          <w:rFonts w:hint="eastAsia" w:ascii="宋体" w:hAnsi="宋体" w:eastAsia="宋体" w:cs="宋体"/>
          <w:color w:val="auto"/>
          <w:sz w:val="24"/>
          <w:highlight w:val="none"/>
        </w:rPr>
      </w:pPr>
    </w:p>
    <w:p w14:paraId="654A9EED">
      <w:pPr>
        <w:autoSpaceDE w:val="0"/>
        <w:autoSpaceDN w:val="0"/>
        <w:adjustRightInd w:val="0"/>
        <w:snapToGrid w:val="0"/>
        <w:spacing w:before="25" w:after="25" w:line="360" w:lineRule="auto"/>
        <w:rPr>
          <w:rFonts w:hint="eastAsia" w:ascii="宋体" w:hAnsi="宋体" w:eastAsia="宋体" w:cs="宋体"/>
          <w:color w:val="auto"/>
          <w:sz w:val="24"/>
          <w:highlight w:val="none"/>
        </w:rPr>
      </w:pPr>
    </w:p>
    <w:p w14:paraId="2EF222A5">
      <w:pPr>
        <w:autoSpaceDE w:val="0"/>
        <w:autoSpaceDN w:val="0"/>
        <w:adjustRightInd w:val="0"/>
        <w:snapToGrid w:val="0"/>
        <w:spacing w:before="25" w:after="25" w:line="360" w:lineRule="auto"/>
        <w:rPr>
          <w:rFonts w:hint="eastAsia" w:ascii="宋体" w:hAnsi="宋体" w:eastAsia="宋体" w:cs="宋体"/>
          <w:color w:val="auto"/>
          <w:sz w:val="24"/>
          <w:highlight w:val="none"/>
        </w:rPr>
      </w:pPr>
    </w:p>
    <w:p w14:paraId="13E3D934">
      <w:pPr>
        <w:autoSpaceDE w:val="0"/>
        <w:autoSpaceDN w:val="0"/>
        <w:adjustRightInd w:val="0"/>
        <w:snapToGrid w:val="0"/>
        <w:spacing w:before="25" w:after="25" w:line="360" w:lineRule="auto"/>
        <w:ind w:right="36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供应商名称（加盖公章）</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______</w:t>
      </w:r>
    </w:p>
    <w:p w14:paraId="52B15782">
      <w:pPr>
        <w:autoSpaceDE w:val="0"/>
        <w:autoSpaceDN w:val="0"/>
        <w:adjustRightInd w:val="0"/>
        <w:snapToGrid w:val="0"/>
        <w:spacing w:before="25" w:after="25"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szCs w:val="20"/>
          <w:highlight w:val="none"/>
        </w:rPr>
        <w:t xml:space="preserve">日期：____年____月____日  </w:t>
      </w:r>
    </w:p>
    <w:p w14:paraId="70123529">
      <w:pPr>
        <w:tabs>
          <w:tab w:val="left" w:pos="360"/>
        </w:tabs>
        <w:snapToGrid w:val="0"/>
        <w:spacing w:line="360" w:lineRule="auto"/>
        <w:outlineLvl w:val="1"/>
        <w:rPr>
          <w:rFonts w:hint="eastAsia" w:ascii="宋体" w:hAnsi="宋体" w:eastAsia="宋体" w:cs="宋体"/>
          <w:color w:val="auto"/>
          <w:sz w:val="24"/>
          <w:highlight w:val="none"/>
        </w:rPr>
      </w:pPr>
    </w:p>
    <w:p w14:paraId="75F3F437">
      <w:pPr>
        <w:tabs>
          <w:tab w:val="left" w:pos="360"/>
        </w:tabs>
        <w:snapToGrid w:val="0"/>
        <w:spacing w:line="360" w:lineRule="auto"/>
        <w:outlineLvl w:val="1"/>
        <w:rPr>
          <w:rFonts w:hint="eastAsia" w:ascii="宋体" w:hAnsi="宋体" w:eastAsia="宋体" w:cs="宋体"/>
          <w:color w:val="auto"/>
          <w:sz w:val="24"/>
          <w:highlight w:val="none"/>
        </w:rPr>
      </w:pPr>
    </w:p>
    <w:p w14:paraId="1EAF0DEE">
      <w:pPr>
        <w:tabs>
          <w:tab w:val="left" w:pos="360"/>
        </w:tabs>
        <w:snapToGrid w:val="0"/>
        <w:spacing w:line="360" w:lineRule="auto"/>
        <w:outlineLvl w:val="1"/>
        <w:rPr>
          <w:rFonts w:hint="eastAsia" w:ascii="宋体" w:hAnsi="宋体" w:eastAsia="宋体" w:cs="宋体"/>
          <w:color w:val="auto"/>
          <w:sz w:val="24"/>
          <w:highlight w:val="none"/>
        </w:rPr>
      </w:pPr>
    </w:p>
    <w:p w14:paraId="5EDB7E10">
      <w:pPr>
        <w:tabs>
          <w:tab w:val="left" w:pos="360"/>
        </w:tabs>
        <w:snapToGrid w:val="0"/>
        <w:spacing w:line="360" w:lineRule="auto"/>
        <w:outlineLvl w:val="1"/>
        <w:rPr>
          <w:rFonts w:hint="eastAsia" w:ascii="宋体" w:hAnsi="宋体" w:eastAsia="宋体" w:cs="宋体"/>
          <w:color w:val="auto"/>
          <w:sz w:val="24"/>
          <w:highlight w:val="none"/>
        </w:rPr>
      </w:pPr>
    </w:p>
    <w:p w14:paraId="0B106DF6">
      <w:pPr>
        <w:tabs>
          <w:tab w:val="left" w:pos="360"/>
        </w:tabs>
        <w:snapToGrid w:val="0"/>
        <w:spacing w:line="360" w:lineRule="auto"/>
        <w:outlineLvl w:val="1"/>
        <w:rPr>
          <w:rFonts w:hint="eastAsia" w:ascii="宋体" w:hAnsi="宋体" w:eastAsia="宋体" w:cs="宋体"/>
          <w:color w:val="auto"/>
          <w:sz w:val="24"/>
          <w:highlight w:val="none"/>
        </w:rPr>
      </w:pPr>
    </w:p>
    <w:p w14:paraId="553A5B61">
      <w:pPr>
        <w:tabs>
          <w:tab w:val="left" w:pos="360"/>
        </w:tabs>
        <w:snapToGrid w:val="0"/>
        <w:spacing w:line="360" w:lineRule="auto"/>
        <w:outlineLvl w:val="1"/>
        <w:rPr>
          <w:rFonts w:hint="eastAsia" w:ascii="宋体" w:hAnsi="宋体" w:eastAsia="宋体" w:cs="宋体"/>
          <w:color w:val="auto"/>
          <w:sz w:val="24"/>
          <w:highlight w:val="none"/>
        </w:rPr>
      </w:pPr>
    </w:p>
    <w:p w14:paraId="741753F8">
      <w:pPr>
        <w:tabs>
          <w:tab w:val="left" w:pos="360"/>
        </w:tabs>
        <w:snapToGrid w:val="0"/>
        <w:spacing w:line="360" w:lineRule="auto"/>
        <w:outlineLvl w:val="1"/>
        <w:rPr>
          <w:rFonts w:hint="eastAsia" w:ascii="宋体" w:hAnsi="宋体" w:eastAsia="宋体" w:cs="宋体"/>
          <w:color w:val="auto"/>
          <w:sz w:val="24"/>
          <w:highlight w:val="none"/>
        </w:rPr>
      </w:pPr>
    </w:p>
    <w:p w14:paraId="5EAC5543">
      <w:pPr>
        <w:tabs>
          <w:tab w:val="left" w:pos="360"/>
        </w:tabs>
        <w:snapToGrid w:val="0"/>
        <w:spacing w:line="360" w:lineRule="auto"/>
        <w:outlineLvl w:val="1"/>
        <w:rPr>
          <w:rFonts w:hint="eastAsia" w:ascii="宋体" w:hAnsi="宋体" w:eastAsia="宋体" w:cs="宋体"/>
          <w:color w:val="auto"/>
          <w:sz w:val="24"/>
          <w:highlight w:val="none"/>
        </w:rPr>
      </w:pPr>
    </w:p>
    <w:p w14:paraId="2C5FAAB5">
      <w:pPr>
        <w:tabs>
          <w:tab w:val="left" w:pos="360"/>
        </w:tabs>
        <w:snapToGrid w:val="0"/>
        <w:spacing w:line="360" w:lineRule="auto"/>
        <w:outlineLvl w:val="1"/>
        <w:rPr>
          <w:rFonts w:hint="eastAsia" w:ascii="宋体" w:hAnsi="宋体" w:eastAsia="宋体" w:cs="宋体"/>
          <w:color w:val="auto"/>
          <w:sz w:val="24"/>
          <w:highlight w:val="none"/>
        </w:rPr>
      </w:pPr>
    </w:p>
    <w:bookmarkEnd w:id="722"/>
    <w:bookmarkEnd w:id="723"/>
    <w:bookmarkEnd w:id="724"/>
    <w:bookmarkEnd w:id="725"/>
    <w:bookmarkEnd w:id="726"/>
    <w:bookmarkEnd w:id="727"/>
    <w:bookmarkEnd w:id="728"/>
    <w:bookmarkEnd w:id="729"/>
    <w:bookmarkEnd w:id="730"/>
    <w:bookmarkEnd w:id="731"/>
    <w:bookmarkEnd w:id="732"/>
    <w:bookmarkEnd w:id="733"/>
    <w:bookmarkEnd w:id="734"/>
    <w:p w14:paraId="795E450D">
      <w:pPr>
        <w:tabs>
          <w:tab w:val="left" w:pos="360"/>
        </w:tabs>
        <w:snapToGrid w:val="0"/>
        <w:spacing w:line="360" w:lineRule="auto"/>
        <w:outlineLvl w:val="1"/>
        <w:rPr>
          <w:rFonts w:hint="eastAsia" w:ascii="宋体" w:hAnsi="宋体" w:eastAsia="宋体" w:cs="宋体"/>
          <w:color w:val="auto"/>
          <w:sz w:val="24"/>
          <w:szCs w:val="20"/>
          <w:highlight w:val="none"/>
        </w:rPr>
      </w:pPr>
      <w:bookmarkStart w:id="735" w:name="_Toc265228400"/>
      <w:bookmarkStart w:id="736" w:name="_Toc264969252"/>
      <w:bookmarkStart w:id="737" w:name="_Toc150774765"/>
      <w:bookmarkStart w:id="738" w:name="_Toc305158904"/>
      <w:bookmarkStart w:id="739" w:name="_Toc226337258"/>
      <w:bookmarkStart w:id="740" w:name="_Toc142311062"/>
      <w:bookmarkStart w:id="741" w:name="_Toc195842927"/>
      <w:bookmarkStart w:id="742" w:name="_Toc127151562"/>
      <w:bookmarkStart w:id="743" w:name="_Toc305158830"/>
      <w:bookmarkStart w:id="744" w:name="_Toc150480798"/>
      <w:bookmarkStart w:id="745" w:name="_Toc226965752"/>
      <w:bookmarkStart w:id="746" w:name="_Toc226309806"/>
      <w:bookmarkStart w:id="747" w:name="_Toc226965835"/>
      <w:bookmarkStart w:id="748" w:name="_Toc305158829"/>
      <w:bookmarkStart w:id="749" w:name="_Toc150480797"/>
      <w:bookmarkStart w:id="750" w:name="_Toc127151561"/>
      <w:bookmarkStart w:id="751" w:name="_Toc142311061"/>
      <w:bookmarkStart w:id="752" w:name="_Toc305158903"/>
      <w:bookmarkStart w:id="753" w:name="_Toc264969251"/>
      <w:bookmarkStart w:id="754" w:name="_Toc226965834"/>
      <w:bookmarkStart w:id="755" w:name="_Toc150774764"/>
      <w:bookmarkStart w:id="756" w:name="_Toc226309805"/>
      <w:bookmarkStart w:id="757" w:name="_Toc226337257"/>
      <w:bookmarkStart w:id="758" w:name="_Toc226965751"/>
      <w:bookmarkStart w:id="759" w:name="_Toc265228399"/>
      <w:bookmarkStart w:id="760" w:name="_Toc195842926"/>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 xml:space="preserve">  合同条款偏离表</w:t>
      </w:r>
      <w:bookmarkEnd w:id="735"/>
      <w:bookmarkEnd w:id="736"/>
      <w:bookmarkEnd w:id="737"/>
      <w:bookmarkEnd w:id="738"/>
      <w:bookmarkEnd w:id="739"/>
      <w:bookmarkEnd w:id="740"/>
      <w:bookmarkEnd w:id="741"/>
      <w:bookmarkEnd w:id="742"/>
      <w:bookmarkEnd w:id="743"/>
      <w:bookmarkEnd w:id="744"/>
      <w:bookmarkEnd w:id="745"/>
      <w:bookmarkEnd w:id="746"/>
      <w:bookmarkEnd w:id="747"/>
      <w:r>
        <w:rPr>
          <w:rFonts w:hint="eastAsia" w:ascii="宋体" w:hAnsi="宋体" w:eastAsia="宋体" w:cs="宋体"/>
          <w:color w:val="auto"/>
          <w:sz w:val="24"/>
          <w:highlight w:val="none"/>
        </w:rPr>
        <w:t>（实质性格式）</w:t>
      </w:r>
    </w:p>
    <w:p w14:paraId="7B275271">
      <w:pPr>
        <w:spacing w:line="360" w:lineRule="auto"/>
        <w:rPr>
          <w:rFonts w:hint="eastAsia" w:ascii="宋体" w:hAnsi="宋体" w:eastAsia="宋体" w:cs="宋体"/>
          <w:color w:val="auto"/>
          <w:sz w:val="24"/>
          <w:szCs w:val="20"/>
          <w:highlight w:val="none"/>
        </w:rPr>
      </w:pPr>
    </w:p>
    <w:p w14:paraId="23CF3DD6">
      <w:pPr>
        <w:tabs>
          <w:tab w:val="left" w:pos="2775"/>
          <w:tab w:val="center" w:pos="4153"/>
        </w:tabs>
        <w:autoSpaceDE w:val="0"/>
        <w:autoSpaceDN w:val="0"/>
        <w:adjustRightInd w:val="0"/>
        <w:spacing w:line="360" w:lineRule="auto"/>
        <w:jc w:val="left"/>
        <w:rPr>
          <w:rFonts w:hint="eastAsia" w:ascii="宋体" w:hAnsi="宋体" w:eastAsia="宋体" w:cs="宋体"/>
          <w:b/>
          <w:color w:val="auto"/>
          <w:sz w:val="36"/>
          <w:szCs w:val="36"/>
          <w:highlight w:val="none"/>
        </w:rPr>
      </w:pPr>
      <w:r>
        <w:rPr>
          <w:rFonts w:hint="eastAsia" w:ascii="宋体" w:hAnsi="宋体" w:eastAsia="宋体" w:cs="宋体"/>
          <w:color w:val="auto"/>
          <w:sz w:val="36"/>
          <w:szCs w:val="36"/>
          <w:highlight w:val="none"/>
        </w:rPr>
        <w:tab/>
      </w:r>
      <w:r>
        <w:rPr>
          <w:rFonts w:hint="eastAsia" w:ascii="宋体" w:hAnsi="宋体" w:eastAsia="宋体" w:cs="宋体"/>
          <w:b/>
          <w:color w:val="auto"/>
          <w:sz w:val="36"/>
          <w:szCs w:val="36"/>
          <w:highlight w:val="none"/>
        </w:rPr>
        <w:tab/>
      </w:r>
      <w:r>
        <w:rPr>
          <w:rFonts w:hint="eastAsia" w:ascii="宋体" w:hAnsi="宋体" w:eastAsia="宋体" w:cs="宋体"/>
          <w:b/>
          <w:color w:val="auto"/>
          <w:sz w:val="36"/>
          <w:szCs w:val="36"/>
          <w:highlight w:val="none"/>
        </w:rPr>
        <w:t>合同条款偏离表</w:t>
      </w:r>
    </w:p>
    <w:p w14:paraId="356F852C">
      <w:pPr>
        <w:spacing w:line="360" w:lineRule="auto"/>
        <w:rPr>
          <w:rFonts w:hint="eastAsia" w:ascii="宋体" w:hAnsi="宋体" w:eastAsia="宋体" w:cs="宋体"/>
          <w:color w:val="auto"/>
          <w:sz w:val="24"/>
          <w:szCs w:val="20"/>
          <w:highlight w:val="none"/>
        </w:rPr>
      </w:pPr>
    </w:p>
    <w:p w14:paraId="245E6979">
      <w:pPr>
        <w:tabs>
          <w:tab w:val="left" w:pos="1800"/>
          <w:tab w:val="left" w:pos="5580"/>
        </w:tabs>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项目编号/包号：_______________     项目名称：_______________</w:t>
      </w:r>
    </w:p>
    <w:tbl>
      <w:tblPr>
        <w:tblStyle w:val="44"/>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1561"/>
        <w:gridCol w:w="1776"/>
        <w:gridCol w:w="1777"/>
        <w:gridCol w:w="2182"/>
        <w:gridCol w:w="982"/>
      </w:tblGrid>
      <w:tr w14:paraId="7A862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10" w:type="dxa"/>
            <w:vAlign w:val="center"/>
          </w:tcPr>
          <w:p w14:paraId="2D99FA6E">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561" w:type="dxa"/>
            <w:vAlign w:val="center"/>
          </w:tcPr>
          <w:p w14:paraId="46BAD914">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szCs w:val="21"/>
                <w:highlight w:val="none"/>
              </w:rPr>
              <w:t>竞争性磋商文件</w:t>
            </w:r>
            <w:r>
              <w:rPr>
                <w:rFonts w:hint="eastAsia" w:ascii="宋体" w:hAnsi="宋体" w:eastAsia="宋体" w:cs="宋体"/>
                <w:color w:val="auto"/>
                <w:sz w:val="24"/>
                <w:highlight w:val="none"/>
              </w:rPr>
              <w:t>条目号（页码）</w:t>
            </w:r>
          </w:p>
        </w:tc>
        <w:tc>
          <w:tcPr>
            <w:tcW w:w="1776" w:type="dxa"/>
            <w:vAlign w:val="center"/>
          </w:tcPr>
          <w:p w14:paraId="1607FCD7">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szCs w:val="21"/>
                <w:highlight w:val="none"/>
              </w:rPr>
              <w:t>竞争性磋商文件</w:t>
            </w:r>
            <w:r>
              <w:rPr>
                <w:rFonts w:hint="eastAsia" w:ascii="宋体" w:hAnsi="宋体" w:eastAsia="宋体" w:cs="宋体"/>
                <w:color w:val="auto"/>
                <w:sz w:val="24"/>
                <w:highlight w:val="none"/>
              </w:rPr>
              <w:t>要求</w:t>
            </w:r>
          </w:p>
        </w:tc>
        <w:tc>
          <w:tcPr>
            <w:tcW w:w="1777" w:type="dxa"/>
            <w:vAlign w:val="center"/>
          </w:tcPr>
          <w:p w14:paraId="3C3CC057">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响应文件内容</w:t>
            </w:r>
          </w:p>
        </w:tc>
        <w:tc>
          <w:tcPr>
            <w:tcW w:w="2182" w:type="dxa"/>
            <w:vAlign w:val="center"/>
          </w:tcPr>
          <w:p w14:paraId="68C0FBA1">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偏离情况</w:t>
            </w:r>
          </w:p>
        </w:tc>
        <w:tc>
          <w:tcPr>
            <w:tcW w:w="982" w:type="dxa"/>
            <w:vAlign w:val="center"/>
          </w:tcPr>
          <w:p w14:paraId="40D872C4">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tc>
      </w:tr>
      <w:tr w14:paraId="70702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vAlign w:val="center"/>
          </w:tcPr>
          <w:p w14:paraId="39765A56">
            <w:pPr>
              <w:adjustRightInd w:val="0"/>
              <w:snapToGrid w:val="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对本项目合同条款的偏离情况（</w:t>
            </w:r>
            <w:r>
              <w:rPr>
                <w:rFonts w:hint="eastAsia" w:ascii="宋体" w:hAnsi="宋体" w:eastAsia="宋体" w:cs="宋体"/>
                <w:bCs/>
                <w:color w:val="auto"/>
                <w:sz w:val="24"/>
                <w:highlight w:val="none"/>
              </w:rPr>
              <w:t>应进行选择，未选择</w:t>
            </w:r>
            <w:r>
              <w:rPr>
                <w:rFonts w:hint="eastAsia" w:ascii="宋体" w:hAnsi="宋体" w:eastAsia="宋体" w:cs="宋体"/>
                <w:b/>
                <w:color w:val="auto"/>
                <w:sz w:val="24"/>
                <w:highlight w:val="none"/>
              </w:rPr>
              <w:t>响应无效）：</w:t>
            </w:r>
          </w:p>
          <w:p w14:paraId="187B5344">
            <w:pPr>
              <w:adjustRightInd w:val="0"/>
              <w:snapToGrid w:val="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□无偏离</w:t>
            </w:r>
            <w:r>
              <w:rPr>
                <w:rFonts w:hint="eastAsia" w:ascii="宋体" w:hAnsi="宋体" w:eastAsia="宋体" w:cs="宋体"/>
                <w:color w:val="auto"/>
                <w:sz w:val="24"/>
                <w:highlight w:val="none"/>
              </w:rPr>
              <w:t>（</w:t>
            </w:r>
            <w:r>
              <w:rPr>
                <w:rFonts w:hint="eastAsia" w:ascii="宋体" w:hAnsi="宋体" w:eastAsia="宋体" w:cs="宋体"/>
                <w:color w:val="auto"/>
                <w:sz w:val="24"/>
                <w:szCs w:val="21"/>
                <w:highlight w:val="none"/>
              </w:rPr>
              <w:t>如无偏离，仅选择无偏离即可；</w:t>
            </w:r>
            <w:r>
              <w:rPr>
                <w:rFonts w:hint="eastAsia" w:ascii="宋体" w:hAnsi="宋体" w:eastAsia="宋体" w:cs="宋体"/>
                <w:bCs/>
                <w:color w:val="auto"/>
                <w:sz w:val="24"/>
                <w:highlight w:val="none"/>
              </w:rPr>
              <w:t>无偏离即为</w:t>
            </w:r>
            <w:r>
              <w:rPr>
                <w:rFonts w:hint="eastAsia" w:ascii="宋体" w:hAnsi="宋体" w:eastAsia="宋体" w:cs="宋体"/>
                <w:color w:val="auto"/>
                <w:sz w:val="24"/>
                <w:highlight w:val="none"/>
              </w:rPr>
              <w:t>对合同条款中的所有要求，均视作供应商已对之理解和响应。）</w:t>
            </w:r>
          </w:p>
          <w:p w14:paraId="31EDC4B9">
            <w:pPr>
              <w:adjustRightInd w:val="0"/>
              <w:snapToGrid w:val="0"/>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□有偏离</w:t>
            </w:r>
            <w:r>
              <w:rPr>
                <w:rFonts w:hint="eastAsia" w:ascii="宋体" w:hAnsi="宋体" w:eastAsia="宋体" w:cs="宋体"/>
                <w:color w:val="auto"/>
                <w:sz w:val="24"/>
                <w:highlight w:val="none"/>
              </w:rPr>
              <w:t>（</w:t>
            </w:r>
            <w:r>
              <w:rPr>
                <w:rFonts w:hint="eastAsia" w:ascii="宋体" w:hAnsi="宋体" w:eastAsia="宋体" w:cs="宋体"/>
                <w:color w:val="auto"/>
                <w:sz w:val="24"/>
                <w:szCs w:val="21"/>
                <w:highlight w:val="none"/>
              </w:rPr>
              <w:t>如有偏离，</w:t>
            </w:r>
            <w:r>
              <w:rPr>
                <w:rFonts w:hint="eastAsia" w:ascii="宋体" w:hAnsi="宋体" w:eastAsia="宋体" w:cs="宋体"/>
                <w:color w:val="auto"/>
                <w:sz w:val="24"/>
                <w:highlight w:val="none"/>
              </w:rPr>
              <w:t>则应在本表中对负偏离项逐一列明，否则</w:t>
            </w:r>
            <w:r>
              <w:rPr>
                <w:rFonts w:hint="eastAsia" w:ascii="宋体" w:hAnsi="宋体" w:eastAsia="宋体" w:cs="宋体"/>
                <w:b/>
                <w:bCs/>
                <w:color w:val="auto"/>
                <w:sz w:val="24"/>
                <w:highlight w:val="none"/>
              </w:rPr>
              <w:t>响应无效</w:t>
            </w:r>
            <w:r>
              <w:rPr>
                <w:rFonts w:hint="eastAsia" w:ascii="宋体" w:hAnsi="宋体" w:eastAsia="宋体" w:cs="宋体"/>
                <w:color w:val="auto"/>
                <w:sz w:val="24"/>
                <w:highlight w:val="none"/>
              </w:rPr>
              <w:t>；对合同条款中的所有要求，除本表列明的偏离外，均视作供应商已对之理解和响应。）</w:t>
            </w:r>
          </w:p>
        </w:tc>
      </w:tr>
      <w:tr w14:paraId="639F9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10" w:type="dxa"/>
            <w:vAlign w:val="center"/>
          </w:tcPr>
          <w:p w14:paraId="10FC9FF2">
            <w:pPr>
              <w:adjustRightInd w:val="0"/>
              <w:snapToGrid w:val="0"/>
              <w:jc w:val="center"/>
              <w:rPr>
                <w:rFonts w:hint="eastAsia" w:ascii="宋体" w:hAnsi="宋体" w:eastAsia="宋体" w:cs="宋体"/>
                <w:color w:val="auto"/>
                <w:sz w:val="24"/>
                <w:highlight w:val="none"/>
              </w:rPr>
            </w:pPr>
          </w:p>
        </w:tc>
        <w:tc>
          <w:tcPr>
            <w:tcW w:w="1561" w:type="dxa"/>
            <w:vAlign w:val="center"/>
          </w:tcPr>
          <w:p w14:paraId="7E2E72B2">
            <w:pPr>
              <w:adjustRightInd w:val="0"/>
              <w:snapToGrid w:val="0"/>
              <w:jc w:val="center"/>
              <w:rPr>
                <w:rFonts w:hint="eastAsia" w:ascii="宋体" w:hAnsi="宋体" w:eastAsia="宋体" w:cs="宋体"/>
                <w:color w:val="auto"/>
                <w:sz w:val="24"/>
                <w:highlight w:val="none"/>
              </w:rPr>
            </w:pPr>
          </w:p>
        </w:tc>
        <w:tc>
          <w:tcPr>
            <w:tcW w:w="1776" w:type="dxa"/>
            <w:vAlign w:val="center"/>
          </w:tcPr>
          <w:p w14:paraId="14AA2AC5">
            <w:pPr>
              <w:adjustRightInd w:val="0"/>
              <w:snapToGrid w:val="0"/>
              <w:jc w:val="center"/>
              <w:rPr>
                <w:rFonts w:hint="eastAsia" w:ascii="宋体" w:hAnsi="宋体" w:eastAsia="宋体" w:cs="宋体"/>
                <w:color w:val="auto"/>
                <w:sz w:val="24"/>
                <w:highlight w:val="none"/>
              </w:rPr>
            </w:pPr>
          </w:p>
        </w:tc>
        <w:tc>
          <w:tcPr>
            <w:tcW w:w="1777" w:type="dxa"/>
            <w:vAlign w:val="center"/>
          </w:tcPr>
          <w:p w14:paraId="1A8DED5A">
            <w:pPr>
              <w:adjustRightInd w:val="0"/>
              <w:snapToGrid w:val="0"/>
              <w:jc w:val="center"/>
              <w:rPr>
                <w:rFonts w:hint="eastAsia" w:ascii="宋体" w:hAnsi="宋体" w:eastAsia="宋体" w:cs="宋体"/>
                <w:color w:val="auto"/>
                <w:sz w:val="24"/>
                <w:highlight w:val="none"/>
              </w:rPr>
            </w:pPr>
          </w:p>
        </w:tc>
        <w:tc>
          <w:tcPr>
            <w:tcW w:w="2182" w:type="dxa"/>
            <w:vAlign w:val="center"/>
          </w:tcPr>
          <w:p w14:paraId="5F6187CE">
            <w:pPr>
              <w:adjustRightInd w:val="0"/>
              <w:snapToGrid w:val="0"/>
              <w:jc w:val="center"/>
              <w:rPr>
                <w:rFonts w:hint="eastAsia" w:ascii="宋体" w:hAnsi="宋体" w:eastAsia="宋体" w:cs="宋体"/>
                <w:color w:val="auto"/>
                <w:sz w:val="24"/>
                <w:highlight w:val="none"/>
              </w:rPr>
            </w:pPr>
          </w:p>
        </w:tc>
        <w:tc>
          <w:tcPr>
            <w:tcW w:w="982" w:type="dxa"/>
            <w:vAlign w:val="center"/>
          </w:tcPr>
          <w:p w14:paraId="3985FEF0">
            <w:pPr>
              <w:adjustRightInd w:val="0"/>
              <w:snapToGrid w:val="0"/>
              <w:jc w:val="center"/>
              <w:rPr>
                <w:rFonts w:hint="eastAsia" w:ascii="宋体" w:hAnsi="宋体" w:eastAsia="宋体" w:cs="宋体"/>
                <w:color w:val="auto"/>
                <w:sz w:val="24"/>
                <w:highlight w:val="none"/>
              </w:rPr>
            </w:pPr>
          </w:p>
        </w:tc>
      </w:tr>
      <w:tr w14:paraId="24B48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10" w:type="dxa"/>
            <w:vAlign w:val="center"/>
          </w:tcPr>
          <w:p w14:paraId="42C6B8EA">
            <w:pPr>
              <w:adjustRightInd w:val="0"/>
              <w:snapToGrid w:val="0"/>
              <w:jc w:val="center"/>
              <w:rPr>
                <w:rFonts w:hint="eastAsia" w:ascii="宋体" w:hAnsi="宋体" w:eastAsia="宋体" w:cs="宋体"/>
                <w:color w:val="auto"/>
                <w:sz w:val="24"/>
                <w:highlight w:val="none"/>
              </w:rPr>
            </w:pPr>
          </w:p>
        </w:tc>
        <w:tc>
          <w:tcPr>
            <w:tcW w:w="1561" w:type="dxa"/>
            <w:vAlign w:val="center"/>
          </w:tcPr>
          <w:p w14:paraId="0DD688F4">
            <w:pPr>
              <w:adjustRightInd w:val="0"/>
              <w:snapToGrid w:val="0"/>
              <w:jc w:val="center"/>
              <w:rPr>
                <w:rFonts w:hint="eastAsia" w:ascii="宋体" w:hAnsi="宋体" w:eastAsia="宋体" w:cs="宋体"/>
                <w:color w:val="auto"/>
                <w:sz w:val="24"/>
                <w:highlight w:val="none"/>
              </w:rPr>
            </w:pPr>
          </w:p>
        </w:tc>
        <w:tc>
          <w:tcPr>
            <w:tcW w:w="1776" w:type="dxa"/>
            <w:vAlign w:val="center"/>
          </w:tcPr>
          <w:p w14:paraId="3C62CC8E">
            <w:pPr>
              <w:adjustRightInd w:val="0"/>
              <w:snapToGrid w:val="0"/>
              <w:jc w:val="center"/>
              <w:rPr>
                <w:rFonts w:hint="eastAsia" w:ascii="宋体" w:hAnsi="宋体" w:eastAsia="宋体" w:cs="宋体"/>
                <w:color w:val="auto"/>
                <w:sz w:val="24"/>
                <w:highlight w:val="none"/>
              </w:rPr>
            </w:pPr>
          </w:p>
        </w:tc>
        <w:tc>
          <w:tcPr>
            <w:tcW w:w="1777" w:type="dxa"/>
            <w:vAlign w:val="center"/>
          </w:tcPr>
          <w:p w14:paraId="43D4F8AE">
            <w:pPr>
              <w:adjustRightInd w:val="0"/>
              <w:snapToGrid w:val="0"/>
              <w:jc w:val="center"/>
              <w:rPr>
                <w:rFonts w:hint="eastAsia" w:ascii="宋体" w:hAnsi="宋体" w:eastAsia="宋体" w:cs="宋体"/>
                <w:color w:val="auto"/>
                <w:sz w:val="24"/>
                <w:highlight w:val="none"/>
              </w:rPr>
            </w:pPr>
          </w:p>
        </w:tc>
        <w:tc>
          <w:tcPr>
            <w:tcW w:w="2182" w:type="dxa"/>
            <w:vAlign w:val="center"/>
          </w:tcPr>
          <w:p w14:paraId="5C6D03D2">
            <w:pPr>
              <w:adjustRightInd w:val="0"/>
              <w:snapToGrid w:val="0"/>
              <w:jc w:val="center"/>
              <w:rPr>
                <w:rFonts w:hint="eastAsia" w:ascii="宋体" w:hAnsi="宋体" w:eastAsia="宋体" w:cs="宋体"/>
                <w:color w:val="auto"/>
                <w:sz w:val="24"/>
                <w:highlight w:val="none"/>
              </w:rPr>
            </w:pPr>
          </w:p>
        </w:tc>
        <w:tc>
          <w:tcPr>
            <w:tcW w:w="982" w:type="dxa"/>
            <w:vAlign w:val="center"/>
          </w:tcPr>
          <w:p w14:paraId="4A8B93C8">
            <w:pPr>
              <w:adjustRightInd w:val="0"/>
              <w:snapToGrid w:val="0"/>
              <w:jc w:val="center"/>
              <w:rPr>
                <w:rFonts w:hint="eastAsia" w:ascii="宋体" w:hAnsi="宋体" w:eastAsia="宋体" w:cs="宋体"/>
                <w:color w:val="auto"/>
                <w:sz w:val="24"/>
                <w:highlight w:val="none"/>
              </w:rPr>
            </w:pPr>
          </w:p>
        </w:tc>
      </w:tr>
      <w:tr w14:paraId="5520E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10" w:type="dxa"/>
            <w:vAlign w:val="center"/>
          </w:tcPr>
          <w:p w14:paraId="629FB805">
            <w:pPr>
              <w:adjustRightInd w:val="0"/>
              <w:snapToGrid w:val="0"/>
              <w:jc w:val="center"/>
              <w:rPr>
                <w:rFonts w:hint="eastAsia" w:ascii="宋体" w:hAnsi="宋体" w:eastAsia="宋体" w:cs="宋体"/>
                <w:color w:val="auto"/>
                <w:sz w:val="24"/>
                <w:highlight w:val="none"/>
              </w:rPr>
            </w:pPr>
          </w:p>
        </w:tc>
        <w:tc>
          <w:tcPr>
            <w:tcW w:w="1561" w:type="dxa"/>
            <w:vAlign w:val="center"/>
          </w:tcPr>
          <w:p w14:paraId="07FB5942">
            <w:pPr>
              <w:adjustRightInd w:val="0"/>
              <w:snapToGrid w:val="0"/>
              <w:jc w:val="center"/>
              <w:rPr>
                <w:rFonts w:hint="eastAsia" w:ascii="宋体" w:hAnsi="宋体" w:eastAsia="宋体" w:cs="宋体"/>
                <w:color w:val="auto"/>
                <w:sz w:val="24"/>
                <w:highlight w:val="none"/>
              </w:rPr>
            </w:pPr>
          </w:p>
        </w:tc>
        <w:tc>
          <w:tcPr>
            <w:tcW w:w="1776" w:type="dxa"/>
            <w:vAlign w:val="center"/>
          </w:tcPr>
          <w:p w14:paraId="5BF4DD29">
            <w:pPr>
              <w:adjustRightInd w:val="0"/>
              <w:snapToGrid w:val="0"/>
              <w:jc w:val="center"/>
              <w:rPr>
                <w:rFonts w:hint="eastAsia" w:ascii="宋体" w:hAnsi="宋体" w:eastAsia="宋体" w:cs="宋体"/>
                <w:color w:val="auto"/>
                <w:sz w:val="24"/>
                <w:highlight w:val="none"/>
              </w:rPr>
            </w:pPr>
          </w:p>
        </w:tc>
        <w:tc>
          <w:tcPr>
            <w:tcW w:w="1777" w:type="dxa"/>
            <w:vAlign w:val="center"/>
          </w:tcPr>
          <w:p w14:paraId="2B807291">
            <w:pPr>
              <w:adjustRightInd w:val="0"/>
              <w:snapToGrid w:val="0"/>
              <w:jc w:val="center"/>
              <w:rPr>
                <w:rFonts w:hint="eastAsia" w:ascii="宋体" w:hAnsi="宋体" w:eastAsia="宋体" w:cs="宋体"/>
                <w:color w:val="auto"/>
                <w:sz w:val="24"/>
                <w:highlight w:val="none"/>
              </w:rPr>
            </w:pPr>
          </w:p>
        </w:tc>
        <w:tc>
          <w:tcPr>
            <w:tcW w:w="2182" w:type="dxa"/>
            <w:vAlign w:val="center"/>
          </w:tcPr>
          <w:p w14:paraId="6F667332">
            <w:pPr>
              <w:adjustRightInd w:val="0"/>
              <w:snapToGrid w:val="0"/>
              <w:jc w:val="center"/>
              <w:rPr>
                <w:rFonts w:hint="eastAsia" w:ascii="宋体" w:hAnsi="宋体" w:eastAsia="宋体" w:cs="宋体"/>
                <w:color w:val="auto"/>
                <w:sz w:val="24"/>
                <w:highlight w:val="none"/>
              </w:rPr>
            </w:pPr>
          </w:p>
        </w:tc>
        <w:tc>
          <w:tcPr>
            <w:tcW w:w="982" w:type="dxa"/>
            <w:vAlign w:val="center"/>
          </w:tcPr>
          <w:p w14:paraId="5C9A98EF">
            <w:pPr>
              <w:adjustRightInd w:val="0"/>
              <w:snapToGrid w:val="0"/>
              <w:jc w:val="center"/>
              <w:rPr>
                <w:rFonts w:hint="eastAsia" w:ascii="宋体" w:hAnsi="宋体" w:eastAsia="宋体" w:cs="宋体"/>
                <w:color w:val="auto"/>
                <w:sz w:val="24"/>
                <w:highlight w:val="none"/>
              </w:rPr>
            </w:pPr>
          </w:p>
        </w:tc>
      </w:tr>
      <w:tr w14:paraId="0F3E8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10" w:type="dxa"/>
            <w:vAlign w:val="center"/>
          </w:tcPr>
          <w:p w14:paraId="4E037B28">
            <w:pPr>
              <w:adjustRightInd w:val="0"/>
              <w:snapToGrid w:val="0"/>
              <w:jc w:val="center"/>
              <w:rPr>
                <w:rFonts w:hint="eastAsia" w:ascii="宋体" w:hAnsi="宋体" w:eastAsia="宋体" w:cs="宋体"/>
                <w:color w:val="auto"/>
                <w:sz w:val="24"/>
                <w:highlight w:val="none"/>
              </w:rPr>
            </w:pPr>
          </w:p>
        </w:tc>
        <w:tc>
          <w:tcPr>
            <w:tcW w:w="1561" w:type="dxa"/>
            <w:vAlign w:val="center"/>
          </w:tcPr>
          <w:p w14:paraId="7A3B5275">
            <w:pPr>
              <w:adjustRightInd w:val="0"/>
              <w:snapToGrid w:val="0"/>
              <w:jc w:val="center"/>
              <w:rPr>
                <w:rFonts w:hint="eastAsia" w:ascii="宋体" w:hAnsi="宋体" w:eastAsia="宋体" w:cs="宋体"/>
                <w:color w:val="auto"/>
                <w:sz w:val="24"/>
                <w:highlight w:val="none"/>
              </w:rPr>
            </w:pPr>
          </w:p>
        </w:tc>
        <w:tc>
          <w:tcPr>
            <w:tcW w:w="1776" w:type="dxa"/>
            <w:vAlign w:val="center"/>
          </w:tcPr>
          <w:p w14:paraId="0459B71F">
            <w:pPr>
              <w:adjustRightInd w:val="0"/>
              <w:snapToGrid w:val="0"/>
              <w:jc w:val="center"/>
              <w:rPr>
                <w:rFonts w:hint="eastAsia" w:ascii="宋体" w:hAnsi="宋体" w:eastAsia="宋体" w:cs="宋体"/>
                <w:color w:val="auto"/>
                <w:sz w:val="24"/>
                <w:highlight w:val="none"/>
              </w:rPr>
            </w:pPr>
          </w:p>
        </w:tc>
        <w:tc>
          <w:tcPr>
            <w:tcW w:w="1777" w:type="dxa"/>
            <w:vAlign w:val="center"/>
          </w:tcPr>
          <w:p w14:paraId="52C7FE65">
            <w:pPr>
              <w:adjustRightInd w:val="0"/>
              <w:snapToGrid w:val="0"/>
              <w:jc w:val="center"/>
              <w:rPr>
                <w:rFonts w:hint="eastAsia" w:ascii="宋体" w:hAnsi="宋体" w:eastAsia="宋体" w:cs="宋体"/>
                <w:color w:val="auto"/>
                <w:sz w:val="24"/>
                <w:highlight w:val="none"/>
              </w:rPr>
            </w:pPr>
          </w:p>
        </w:tc>
        <w:tc>
          <w:tcPr>
            <w:tcW w:w="2182" w:type="dxa"/>
            <w:vAlign w:val="center"/>
          </w:tcPr>
          <w:p w14:paraId="5E400EB7">
            <w:pPr>
              <w:adjustRightInd w:val="0"/>
              <w:snapToGrid w:val="0"/>
              <w:jc w:val="center"/>
              <w:rPr>
                <w:rFonts w:hint="eastAsia" w:ascii="宋体" w:hAnsi="宋体" w:eastAsia="宋体" w:cs="宋体"/>
                <w:color w:val="auto"/>
                <w:sz w:val="24"/>
                <w:highlight w:val="none"/>
              </w:rPr>
            </w:pPr>
          </w:p>
        </w:tc>
        <w:tc>
          <w:tcPr>
            <w:tcW w:w="982" w:type="dxa"/>
            <w:vAlign w:val="center"/>
          </w:tcPr>
          <w:p w14:paraId="7057F1F4">
            <w:pPr>
              <w:adjustRightInd w:val="0"/>
              <w:snapToGrid w:val="0"/>
              <w:jc w:val="center"/>
              <w:rPr>
                <w:rFonts w:hint="eastAsia" w:ascii="宋体" w:hAnsi="宋体" w:eastAsia="宋体" w:cs="宋体"/>
                <w:color w:val="auto"/>
                <w:sz w:val="24"/>
                <w:highlight w:val="none"/>
              </w:rPr>
            </w:pPr>
          </w:p>
        </w:tc>
      </w:tr>
      <w:tr w14:paraId="5E249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10" w:type="dxa"/>
            <w:vAlign w:val="center"/>
          </w:tcPr>
          <w:p w14:paraId="11986003">
            <w:pPr>
              <w:adjustRightInd w:val="0"/>
              <w:snapToGrid w:val="0"/>
              <w:jc w:val="center"/>
              <w:rPr>
                <w:rFonts w:hint="eastAsia" w:ascii="宋体" w:hAnsi="宋体" w:eastAsia="宋体" w:cs="宋体"/>
                <w:color w:val="auto"/>
                <w:sz w:val="24"/>
                <w:highlight w:val="none"/>
              </w:rPr>
            </w:pPr>
          </w:p>
        </w:tc>
        <w:tc>
          <w:tcPr>
            <w:tcW w:w="1561" w:type="dxa"/>
            <w:vAlign w:val="center"/>
          </w:tcPr>
          <w:p w14:paraId="5C1B1159">
            <w:pPr>
              <w:adjustRightInd w:val="0"/>
              <w:snapToGrid w:val="0"/>
              <w:jc w:val="center"/>
              <w:rPr>
                <w:rFonts w:hint="eastAsia" w:ascii="宋体" w:hAnsi="宋体" w:eastAsia="宋体" w:cs="宋体"/>
                <w:color w:val="auto"/>
                <w:sz w:val="24"/>
                <w:highlight w:val="none"/>
              </w:rPr>
            </w:pPr>
          </w:p>
        </w:tc>
        <w:tc>
          <w:tcPr>
            <w:tcW w:w="1776" w:type="dxa"/>
            <w:vAlign w:val="center"/>
          </w:tcPr>
          <w:p w14:paraId="1535159A">
            <w:pPr>
              <w:adjustRightInd w:val="0"/>
              <w:snapToGrid w:val="0"/>
              <w:jc w:val="center"/>
              <w:rPr>
                <w:rFonts w:hint="eastAsia" w:ascii="宋体" w:hAnsi="宋体" w:eastAsia="宋体" w:cs="宋体"/>
                <w:color w:val="auto"/>
                <w:sz w:val="24"/>
                <w:highlight w:val="none"/>
              </w:rPr>
            </w:pPr>
          </w:p>
        </w:tc>
        <w:tc>
          <w:tcPr>
            <w:tcW w:w="1777" w:type="dxa"/>
            <w:vAlign w:val="center"/>
          </w:tcPr>
          <w:p w14:paraId="13252CAB">
            <w:pPr>
              <w:adjustRightInd w:val="0"/>
              <w:snapToGrid w:val="0"/>
              <w:jc w:val="center"/>
              <w:rPr>
                <w:rFonts w:hint="eastAsia" w:ascii="宋体" w:hAnsi="宋体" w:eastAsia="宋体" w:cs="宋体"/>
                <w:color w:val="auto"/>
                <w:sz w:val="24"/>
                <w:highlight w:val="none"/>
              </w:rPr>
            </w:pPr>
          </w:p>
        </w:tc>
        <w:tc>
          <w:tcPr>
            <w:tcW w:w="2182" w:type="dxa"/>
            <w:vAlign w:val="center"/>
          </w:tcPr>
          <w:p w14:paraId="3E0D6E07">
            <w:pPr>
              <w:adjustRightInd w:val="0"/>
              <w:snapToGrid w:val="0"/>
              <w:jc w:val="center"/>
              <w:rPr>
                <w:rFonts w:hint="eastAsia" w:ascii="宋体" w:hAnsi="宋体" w:eastAsia="宋体" w:cs="宋体"/>
                <w:color w:val="auto"/>
                <w:sz w:val="24"/>
                <w:highlight w:val="none"/>
              </w:rPr>
            </w:pPr>
          </w:p>
        </w:tc>
        <w:tc>
          <w:tcPr>
            <w:tcW w:w="982" w:type="dxa"/>
            <w:vAlign w:val="center"/>
          </w:tcPr>
          <w:p w14:paraId="30723FC8">
            <w:pPr>
              <w:adjustRightInd w:val="0"/>
              <w:snapToGrid w:val="0"/>
              <w:jc w:val="center"/>
              <w:rPr>
                <w:rFonts w:hint="eastAsia" w:ascii="宋体" w:hAnsi="宋体" w:eastAsia="宋体" w:cs="宋体"/>
                <w:color w:val="auto"/>
                <w:sz w:val="24"/>
                <w:highlight w:val="none"/>
              </w:rPr>
            </w:pPr>
          </w:p>
        </w:tc>
      </w:tr>
    </w:tbl>
    <w:p w14:paraId="6140760D">
      <w:pPr>
        <w:tabs>
          <w:tab w:val="left" w:pos="1800"/>
          <w:tab w:val="left" w:pos="5580"/>
        </w:tabs>
        <w:jc w:val="left"/>
        <w:rPr>
          <w:rFonts w:hint="eastAsia" w:ascii="宋体" w:hAnsi="宋体" w:eastAsia="宋体" w:cs="宋体"/>
          <w:color w:val="auto"/>
          <w:sz w:val="24"/>
          <w:highlight w:val="none"/>
        </w:rPr>
      </w:pPr>
    </w:p>
    <w:p w14:paraId="212C824F">
      <w:pPr>
        <w:tabs>
          <w:tab w:val="left" w:pos="1800"/>
          <w:tab w:val="left" w:pos="5580"/>
        </w:tabs>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 “偏离情况”列应据实填写“正偏离”或“负偏离”。</w:t>
      </w:r>
    </w:p>
    <w:p w14:paraId="113F8FD8">
      <w:pPr>
        <w:spacing w:line="360" w:lineRule="auto"/>
        <w:rPr>
          <w:rFonts w:hint="eastAsia" w:ascii="宋体" w:hAnsi="宋体" w:eastAsia="宋体" w:cs="宋体"/>
          <w:color w:val="auto"/>
          <w:sz w:val="24"/>
          <w:szCs w:val="20"/>
          <w:highlight w:val="none"/>
        </w:rPr>
      </w:pPr>
    </w:p>
    <w:p w14:paraId="44370000">
      <w:pPr>
        <w:autoSpaceDE w:val="0"/>
        <w:autoSpaceDN w:val="0"/>
        <w:adjustRightInd w:val="0"/>
        <w:snapToGrid w:val="0"/>
        <w:spacing w:before="25" w:after="25"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供应商名称（加盖公章）</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_______________</w:t>
      </w:r>
    </w:p>
    <w:p w14:paraId="0BA7EE5D">
      <w:pPr>
        <w:autoSpaceDE w:val="0"/>
        <w:autoSpaceDN w:val="0"/>
        <w:adjustRightInd w:val="0"/>
        <w:snapToGrid w:val="0"/>
        <w:spacing w:before="25" w:after="25"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szCs w:val="20"/>
          <w:highlight w:val="none"/>
        </w:rPr>
        <w:t xml:space="preserve">日期：____年____月____日    </w:t>
      </w:r>
    </w:p>
    <w:p w14:paraId="48AAB925">
      <w:pPr>
        <w:tabs>
          <w:tab w:val="left" w:pos="360"/>
        </w:tabs>
        <w:snapToGrid w:val="0"/>
        <w:spacing w:line="360" w:lineRule="auto"/>
        <w:outlineLvl w:val="1"/>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br w:type="page"/>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 xml:space="preserve">  </w:t>
      </w:r>
      <w:bookmarkEnd w:id="748"/>
      <w:bookmarkEnd w:id="749"/>
      <w:bookmarkEnd w:id="750"/>
      <w:bookmarkEnd w:id="751"/>
      <w:bookmarkEnd w:id="752"/>
      <w:bookmarkEnd w:id="753"/>
      <w:bookmarkEnd w:id="754"/>
      <w:bookmarkEnd w:id="755"/>
      <w:bookmarkEnd w:id="756"/>
      <w:bookmarkEnd w:id="757"/>
      <w:bookmarkEnd w:id="758"/>
      <w:bookmarkEnd w:id="759"/>
      <w:bookmarkEnd w:id="760"/>
      <w:r>
        <w:rPr>
          <w:rFonts w:hint="eastAsia" w:ascii="宋体" w:hAnsi="宋体" w:eastAsia="宋体" w:cs="宋体"/>
          <w:color w:val="auto"/>
          <w:sz w:val="24"/>
          <w:highlight w:val="none"/>
        </w:rPr>
        <w:t>采购需求偏离表（实质性格式）</w:t>
      </w:r>
    </w:p>
    <w:p w14:paraId="77D4138C">
      <w:pPr>
        <w:autoSpaceDE w:val="0"/>
        <w:autoSpaceDN w:val="0"/>
        <w:adjustRightIn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采购需求偏离表</w:t>
      </w:r>
    </w:p>
    <w:p w14:paraId="50126970">
      <w:pPr>
        <w:tabs>
          <w:tab w:val="left" w:pos="1800"/>
          <w:tab w:val="left" w:pos="5580"/>
        </w:tabs>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项目编号/包号：_______________     项目名称：_______________</w:t>
      </w:r>
    </w:p>
    <w:tbl>
      <w:tblPr>
        <w:tblStyle w:val="44"/>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3AB8B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4AFFF634">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482" w:type="dxa"/>
            <w:vAlign w:val="center"/>
          </w:tcPr>
          <w:p w14:paraId="18BCE7EB">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竞争性磋商文件条目号(页码)</w:t>
            </w:r>
          </w:p>
        </w:tc>
        <w:tc>
          <w:tcPr>
            <w:tcW w:w="2384" w:type="dxa"/>
            <w:vAlign w:val="center"/>
          </w:tcPr>
          <w:p w14:paraId="6B8A29B9">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竞争性磋商文件要求</w:t>
            </w:r>
          </w:p>
        </w:tc>
        <w:tc>
          <w:tcPr>
            <w:tcW w:w="2126" w:type="dxa"/>
            <w:vAlign w:val="center"/>
          </w:tcPr>
          <w:p w14:paraId="0FE97D73">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响应内容</w:t>
            </w:r>
          </w:p>
        </w:tc>
        <w:tc>
          <w:tcPr>
            <w:tcW w:w="1875" w:type="dxa"/>
            <w:vAlign w:val="center"/>
          </w:tcPr>
          <w:p w14:paraId="5455FF1B">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偏离情况</w:t>
            </w:r>
          </w:p>
        </w:tc>
        <w:tc>
          <w:tcPr>
            <w:tcW w:w="1009" w:type="dxa"/>
            <w:vAlign w:val="center"/>
          </w:tcPr>
          <w:p w14:paraId="7CCB9196">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tc>
      </w:tr>
      <w:tr w14:paraId="18C05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2393029">
            <w:pPr>
              <w:adjustRightInd w:val="0"/>
              <w:snapToGrid w:val="0"/>
              <w:jc w:val="center"/>
              <w:rPr>
                <w:rFonts w:hint="eastAsia" w:ascii="宋体" w:hAnsi="宋体" w:eastAsia="宋体" w:cs="宋体"/>
                <w:color w:val="auto"/>
                <w:sz w:val="24"/>
                <w:highlight w:val="none"/>
              </w:rPr>
            </w:pPr>
          </w:p>
        </w:tc>
        <w:tc>
          <w:tcPr>
            <w:tcW w:w="1482" w:type="dxa"/>
            <w:vAlign w:val="center"/>
          </w:tcPr>
          <w:p w14:paraId="1EEB76B6">
            <w:pPr>
              <w:adjustRightInd w:val="0"/>
              <w:snapToGrid w:val="0"/>
              <w:jc w:val="center"/>
              <w:rPr>
                <w:rFonts w:hint="eastAsia" w:ascii="宋体" w:hAnsi="宋体" w:eastAsia="宋体" w:cs="宋体"/>
                <w:color w:val="auto"/>
                <w:sz w:val="24"/>
                <w:highlight w:val="none"/>
              </w:rPr>
            </w:pPr>
          </w:p>
        </w:tc>
        <w:tc>
          <w:tcPr>
            <w:tcW w:w="2384" w:type="dxa"/>
            <w:vAlign w:val="center"/>
          </w:tcPr>
          <w:p w14:paraId="17DA1126">
            <w:pPr>
              <w:adjustRightInd w:val="0"/>
              <w:snapToGrid w:val="0"/>
              <w:jc w:val="center"/>
              <w:rPr>
                <w:rFonts w:hint="eastAsia" w:ascii="宋体" w:hAnsi="宋体" w:eastAsia="宋体" w:cs="宋体"/>
                <w:color w:val="auto"/>
                <w:sz w:val="24"/>
                <w:highlight w:val="none"/>
              </w:rPr>
            </w:pPr>
          </w:p>
        </w:tc>
        <w:tc>
          <w:tcPr>
            <w:tcW w:w="2126" w:type="dxa"/>
            <w:vAlign w:val="center"/>
          </w:tcPr>
          <w:p w14:paraId="33E7E9C8">
            <w:pPr>
              <w:adjustRightInd w:val="0"/>
              <w:snapToGrid w:val="0"/>
              <w:jc w:val="center"/>
              <w:rPr>
                <w:rFonts w:hint="eastAsia" w:ascii="宋体" w:hAnsi="宋体" w:eastAsia="宋体" w:cs="宋体"/>
                <w:color w:val="auto"/>
                <w:sz w:val="24"/>
                <w:highlight w:val="none"/>
              </w:rPr>
            </w:pPr>
          </w:p>
        </w:tc>
        <w:tc>
          <w:tcPr>
            <w:tcW w:w="1875" w:type="dxa"/>
            <w:vAlign w:val="center"/>
          </w:tcPr>
          <w:p w14:paraId="30BC79F8">
            <w:pPr>
              <w:adjustRightInd w:val="0"/>
              <w:snapToGrid w:val="0"/>
              <w:jc w:val="center"/>
              <w:rPr>
                <w:rFonts w:hint="eastAsia" w:ascii="宋体" w:hAnsi="宋体" w:eastAsia="宋体" w:cs="宋体"/>
                <w:color w:val="auto"/>
                <w:sz w:val="24"/>
                <w:highlight w:val="none"/>
              </w:rPr>
            </w:pPr>
          </w:p>
        </w:tc>
        <w:tc>
          <w:tcPr>
            <w:tcW w:w="1009" w:type="dxa"/>
            <w:vAlign w:val="center"/>
          </w:tcPr>
          <w:p w14:paraId="41BA31EC">
            <w:pPr>
              <w:adjustRightInd w:val="0"/>
              <w:snapToGrid w:val="0"/>
              <w:jc w:val="center"/>
              <w:rPr>
                <w:rFonts w:hint="eastAsia" w:ascii="宋体" w:hAnsi="宋体" w:eastAsia="宋体" w:cs="宋体"/>
                <w:color w:val="auto"/>
                <w:sz w:val="24"/>
                <w:highlight w:val="none"/>
              </w:rPr>
            </w:pPr>
          </w:p>
        </w:tc>
      </w:tr>
      <w:tr w14:paraId="78681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1DB6C7C">
            <w:pPr>
              <w:adjustRightInd w:val="0"/>
              <w:snapToGrid w:val="0"/>
              <w:jc w:val="center"/>
              <w:rPr>
                <w:rFonts w:hint="eastAsia" w:ascii="宋体" w:hAnsi="宋体" w:eastAsia="宋体" w:cs="宋体"/>
                <w:color w:val="auto"/>
                <w:sz w:val="24"/>
                <w:highlight w:val="none"/>
              </w:rPr>
            </w:pPr>
          </w:p>
        </w:tc>
        <w:tc>
          <w:tcPr>
            <w:tcW w:w="1482" w:type="dxa"/>
            <w:vAlign w:val="center"/>
          </w:tcPr>
          <w:p w14:paraId="705AEF65">
            <w:pPr>
              <w:adjustRightInd w:val="0"/>
              <w:snapToGrid w:val="0"/>
              <w:jc w:val="center"/>
              <w:rPr>
                <w:rFonts w:hint="eastAsia" w:ascii="宋体" w:hAnsi="宋体" w:eastAsia="宋体" w:cs="宋体"/>
                <w:color w:val="auto"/>
                <w:sz w:val="24"/>
                <w:highlight w:val="none"/>
              </w:rPr>
            </w:pPr>
          </w:p>
        </w:tc>
        <w:tc>
          <w:tcPr>
            <w:tcW w:w="2384" w:type="dxa"/>
            <w:vAlign w:val="center"/>
          </w:tcPr>
          <w:p w14:paraId="59FC0F10">
            <w:pPr>
              <w:adjustRightInd w:val="0"/>
              <w:snapToGrid w:val="0"/>
              <w:jc w:val="center"/>
              <w:rPr>
                <w:rFonts w:hint="eastAsia" w:ascii="宋体" w:hAnsi="宋体" w:eastAsia="宋体" w:cs="宋体"/>
                <w:color w:val="auto"/>
                <w:sz w:val="24"/>
                <w:highlight w:val="none"/>
              </w:rPr>
            </w:pPr>
          </w:p>
        </w:tc>
        <w:tc>
          <w:tcPr>
            <w:tcW w:w="2126" w:type="dxa"/>
            <w:vAlign w:val="center"/>
          </w:tcPr>
          <w:p w14:paraId="4A0277CA">
            <w:pPr>
              <w:adjustRightInd w:val="0"/>
              <w:snapToGrid w:val="0"/>
              <w:jc w:val="center"/>
              <w:rPr>
                <w:rFonts w:hint="eastAsia" w:ascii="宋体" w:hAnsi="宋体" w:eastAsia="宋体" w:cs="宋体"/>
                <w:color w:val="auto"/>
                <w:sz w:val="24"/>
                <w:highlight w:val="none"/>
              </w:rPr>
            </w:pPr>
          </w:p>
        </w:tc>
        <w:tc>
          <w:tcPr>
            <w:tcW w:w="1875" w:type="dxa"/>
            <w:vAlign w:val="center"/>
          </w:tcPr>
          <w:p w14:paraId="41B18C82">
            <w:pPr>
              <w:adjustRightInd w:val="0"/>
              <w:snapToGrid w:val="0"/>
              <w:jc w:val="center"/>
              <w:rPr>
                <w:rFonts w:hint="eastAsia" w:ascii="宋体" w:hAnsi="宋体" w:eastAsia="宋体" w:cs="宋体"/>
                <w:color w:val="auto"/>
                <w:sz w:val="24"/>
                <w:highlight w:val="none"/>
              </w:rPr>
            </w:pPr>
          </w:p>
        </w:tc>
        <w:tc>
          <w:tcPr>
            <w:tcW w:w="1009" w:type="dxa"/>
            <w:vAlign w:val="center"/>
          </w:tcPr>
          <w:p w14:paraId="1051D296">
            <w:pPr>
              <w:adjustRightInd w:val="0"/>
              <w:snapToGrid w:val="0"/>
              <w:jc w:val="center"/>
              <w:rPr>
                <w:rFonts w:hint="eastAsia" w:ascii="宋体" w:hAnsi="宋体" w:eastAsia="宋体" w:cs="宋体"/>
                <w:color w:val="auto"/>
                <w:sz w:val="24"/>
                <w:highlight w:val="none"/>
              </w:rPr>
            </w:pPr>
          </w:p>
        </w:tc>
      </w:tr>
      <w:tr w14:paraId="11D02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F13DEB3">
            <w:pPr>
              <w:adjustRightInd w:val="0"/>
              <w:snapToGrid w:val="0"/>
              <w:jc w:val="center"/>
              <w:rPr>
                <w:rFonts w:hint="eastAsia" w:ascii="宋体" w:hAnsi="宋体" w:eastAsia="宋体" w:cs="宋体"/>
                <w:color w:val="auto"/>
                <w:sz w:val="24"/>
                <w:highlight w:val="none"/>
              </w:rPr>
            </w:pPr>
          </w:p>
        </w:tc>
        <w:tc>
          <w:tcPr>
            <w:tcW w:w="1482" w:type="dxa"/>
            <w:vAlign w:val="center"/>
          </w:tcPr>
          <w:p w14:paraId="7B434471">
            <w:pPr>
              <w:adjustRightInd w:val="0"/>
              <w:snapToGrid w:val="0"/>
              <w:jc w:val="center"/>
              <w:rPr>
                <w:rFonts w:hint="eastAsia" w:ascii="宋体" w:hAnsi="宋体" w:eastAsia="宋体" w:cs="宋体"/>
                <w:color w:val="auto"/>
                <w:sz w:val="24"/>
                <w:highlight w:val="none"/>
              </w:rPr>
            </w:pPr>
          </w:p>
        </w:tc>
        <w:tc>
          <w:tcPr>
            <w:tcW w:w="2384" w:type="dxa"/>
            <w:vAlign w:val="center"/>
          </w:tcPr>
          <w:p w14:paraId="0F92159A">
            <w:pPr>
              <w:adjustRightInd w:val="0"/>
              <w:snapToGrid w:val="0"/>
              <w:jc w:val="center"/>
              <w:rPr>
                <w:rFonts w:hint="eastAsia" w:ascii="宋体" w:hAnsi="宋体" w:eastAsia="宋体" w:cs="宋体"/>
                <w:color w:val="auto"/>
                <w:sz w:val="24"/>
                <w:highlight w:val="none"/>
              </w:rPr>
            </w:pPr>
          </w:p>
        </w:tc>
        <w:tc>
          <w:tcPr>
            <w:tcW w:w="2126" w:type="dxa"/>
            <w:vAlign w:val="center"/>
          </w:tcPr>
          <w:p w14:paraId="33EC2CA2">
            <w:pPr>
              <w:adjustRightInd w:val="0"/>
              <w:snapToGrid w:val="0"/>
              <w:jc w:val="center"/>
              <w:rPr>
                <w:rFonts w:hint="eastAsia" w:ascii="宋体" w:hAnsi="宋体" w:eastAsia="宋体" w:cs="宋体"/>
                <w:color w:val="auto"/>
                <w:sz w:val="24"/>
                <w:highlight w:val="none"/>
              </w:rPr>
            </w:pPr>
          </w:p>
        </w:tc>
        <w:tc>
          <w:tcPr>
            <w:tcW w:w="1875" w:type="dxa"/>
            <w:vAlign w:val="center"/>
          </w:tcPr>
          <w:p w14:paraId="296FDEBB">
            <w:pPr>
              <w:adjustRightInd w:val="0"/>
              <w:snapToGrid w:val="0"/>
              <w:jc w:val="center"/>
              <w:rPr>
                <w:rFonts w:hint="eastAsia" w:ascii="宋体" w:hAnsi="宋体" w:eastAsia="宋体" w:cs="宋体"/>
                <w:color w:val="auto"/>
                <w:sz w:val="24"/>
                <w:highlight w:val="none"/>
              </w:rPr>
            </w:pPr>
          </w:p>
        </w:tc>
        <w:tc>
          <w:tcPr>
            <w:tcW w:w="1009" w:type="dxa"/>
            <w:vAlign w:val="center"/>
          </w:tcPr>
          <w:p w14:paraId="6B673BCB">
            <w:pPr>
              <w:adjustRightInd w:val="0"/>
              <w:snapToGrid w:val="0"/>
              <w:jc w:val="center"/>
              <w:rPr>
                <w:rFonts w:hint="eastAsia" w:ascii="宋体" w:hAnsi="宋体" w:eastAsia="宋体" w:cs="宋体"/>
                <w:color w:val="auto"/>
                <w:sz w:val="24"/>
                <w:highlight w:val="none"/>
              </w:rPr>
            </w:pPr>
          </w:p>
        </w:tc>
      </w:tr>
      <w:tr w14:paraId="1AE90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0A1F344">
            <w:pPr>
              <w:adjustRightInd w:val="0"/>
              <w:snapToGrid w:val="0"/>
              <w:jc w:val="center"/>
              <w:rPr>
                <w:rFonts w:hint="eastAsia" w:ascii="宋体" w:hAnsi="宋体" w:eastAsia="宋体" w:cs="宋体"/>
                <w:color w:val="auto"/>
                <w:sz w:val="24"/>
                <w:highlight w:val="none"/>
              </w:rPr>
            </w:pPr>
          </w:p>
        </w:tc>
        <w:tc>
          <w:tcPr>
            <w:tcW w:w="1482" w:type="dxa"/>
            <w:vAlign w:val="center"/>
          </w:tcPr>
          <w:p w14:paraId="58CAD5B7">
            <w:pPr>
              <w:adjustRightInd w:val="0"/>
              <w:snapToGrid w:val="0"/>
              <w:jc w:val="center"/>
              <w:rPr>
                <w:rFonts w:hint="eastAsia" w:ascii="宋体" w:hAnsi="宋体" w:eastAsia="宋体" w:cs="宋体"/>
                <w:color w:val="auto"/>
                <w:sz w:val="24"/>
                <w:highlight w:val="none"/>
              </w:rPr>
            </w:pPr>
          </w:p>
        </w:tc>
        <w:tc>
          <w:tcPr>
            <w:tcW w:w="2384" w:type="dxa"/>
            <w:vAlign w:val="center"/>
          </w:tcPr>
          <w:p w14:paraId="47AEEDC0">
            <w:pPr>
              <w:adjustRightInd w:val="0"/>
              <w:snapToGrid w:val="0"/>
              <w:jc w:val="center"/>
              <w:rPr>
                <w:rFonts w:hint="eastAsia" w:ascii="宋体" w:hAnsi="宋体" w:eastAsia="宋体" w:cs="宋体"/>
                <w:color w:val="auto"/>
                <w:sz w:val="24"/>
                <w:highlight w:val="none"/>
              </w:rPr>
            </w:pPr>
          </w:p>
        </w:tc>
        <w:tc>
          <w:tcPr>
            <w:tcW w:w="2126" w:type="dxa"/>
            <w:vAlign w:val="center"/>
          </w:tcPr>
          <w:p w14:paraId="1404775D">
            <w:pPr>
              <w:adjustRightInd w:val="0"/>
              <w:snapToGrid w:val="0"/>
              <w:jc w:val="center"/>
              <w:rPr>
                <w:rFonts w:hint="eastAsia" w:ascii="宋体" w:hAnsi="宋体" w:eastAsia="宋体" w:cs="宋体"/>
                <w:color w:val="auto"/>
                <w:sz w:val="24"/>
                <w:highlight w:val="none"/>
              </w:rPr>
            </w:pPr>
          </w:p>
        </w:tc>
        <w:tc>
          <w:tcPr>
            <w:tcW w:w="1875" w:type="dxa"/>
            <w:vAlign w:val="center"/>
          </w:tcPr>
          <w:p w14:paraId="75F943F5">
            <w:pPr>
              <w:adjustRightInd w:val="0"/>
              <w:snapToGrid w:val="0"/>
              <w:jc w:val="center"/>
              <w:rPr>
                <w:rFonts w:hint="eastAsia" w:ascii="宋体" w:hAnsi="宋体" w:eastAsia="宋体" w:cs="宋体"/>
                <w:color w:val="auto"/>
                <w:sz w:val="24"/>
                <w:highlight w:val="none"/>
              </w:rPr>
            </w:pPr>
          </w:p>
        </w:tc>
        <w:tc>
          <w:tcPr>
            <w:tcW w:w="1009" w:type="dxa"/>
            <w:vAlign w:val="center"/>
          </w:tcPr>
          <w:p w14:paraId="02FFD8EE">
            <w:pPr>
              <w:adjustRightInd w:val="0"/>
              <w:snapToGrid w:val="0"/>
              <w:jc w:val="center"/>
              <w:rPr>
                <w:rFonts w:hint="eastAsia" w:ascii="宋体" w:hAnsi="宋体" w:eastAsia="宋体" w:cs="宋体"/>
                <w:color w:val="auto"/>
                <w:sz w:val="24"/>
                <w:highlight w:val="none"/>
              </w:rPr>
            </w:pPr>
          </w:p>
        </w:tc>
      </w:tr>
      <w:tr w14:paraId="7C7DC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16EDB4C">
            <w:pPr>
              <w:adjustRightInd w:val="0"/>
              <w:snapToGrid w:val="0"/>
              <w:jc w:val="center"/>
              <w:rPr>
                <w:rFonts w:hint="eastAsia" w:ascii="宋体" w:hAnsi="宋体" w:eastAsia="宋体" w:cs="宋体"/>
                <w:color w:val="auto"/>
                <w:sz w:val="24"/>
                <w:highlight w:val="none"/>
              </w:rPr>
            </w:pPr>
          </w:p>
        </w:tc>
        <w:tc>
          <w:tcPr>
            <w:tcW w:w="1482" w:type="dxa"/>
            <w:vAlign w:val="center"/>
          </w:tcPr>
          <w:p w14:paraId="094B380C">
            <w:pPr>
              <w:adjustRightInd w:val="0"/>
              <w:snapToGrid w:val="0"/>
              <w:jc w:val="center"/>
              <w:rPr>
                <w:rFonts w:hint="eastAsia" w:ascii="宋体" w:hAnsi="宋体" w:eastAsia="宋体" w:cs="宋体"/>
                <w:color w:val="auto"/>
                <w:sz w:val="24"/>
                <w:highlight w:val="none"/>
              </w:rPr>
            </w:pPr>
          </w:p>
        </w:tc>
        <w:tc>
          <w:tcPr>
            <w:tcW w:w="2384" w:type="dxa"/>
            <w:vAlign w:val="center"/>
          </w:tcPr>
          <w:p w14:paraId="0DD65DCE">
            <w:pPr>
              <w:adjustRightInd w:val="0"/>
              <w:snapToGrid w:val="0"/>
              <w:jc w:val="center"/>
              <w:rPr>
                <w:rFonts w:hint="eastAsia" w:ascii="宋体" w:hAnsi="宋体" w:eastAsia="宋体" w:cs="宋体"/>
                <w:color w:val="auto"/>
                <w:sz w:val="24"/>
                <w:highlight w:val="none"/>
              </w:rPr>
            </w:pPr>
          </w:p>
        </w:tc>
        <w:tc>
          <w:tcPr>
            <w:tcW w:w="2126" w:type="dxa"/>
            <w:vAlign w:val="center"/>
          </w:tcPr>
          <w:p w14:paraId="3F815366">
            <w:pPr>
              <w:adjustRightInd w:val="0"/>
              <w:snapToGrid w:val="0"/>
              <w:jc w:val="center"/>
              <w:rPr>
                <w:rFonts w:hint="eastAsia" w:ascii="宋体" w:hAnsi="宋体" w:eastAsia="宋体" w:cs="宋体"/>
                <w:color w:val="auto"/>
                <w:sz w:val="24"/>
                <w:highlight w:val="none"/>
              </w:rPr>
            </w:pPr>
          </w:p>
        </w:tc>
        <w:tc>
          <w:tcPr>
            <w:tcW w:w="1875" w:type="dxa"/>
            <w:vAlign w:val="center"/>
          </w:tcPr>
          <w:p w14:paraId="711DDC49">
            <w:pPr>
              <w:adjustRightInd w:val="0"/>
              <w:snapToGrid w:val="0"/>
              <w:jc w:val="center"/>
              <w:rPr>
                <w:rFonts w:hint="eastAsia" w:ascii="宋体" w:hAnsi="宋体" w:eastAsia="宋体" w:cs="宋体"/>
                <w:color w:val="auto"/>
                <w:sz w:val="24"/>
                <w:highlight w:val="none"/>
              </w:rPr>
            </w:pPr>
          </w:p>
        </w:tc>
        <w:tc>
          <w:tcPr>
            <w:tcW w:w="1009" w:type="dxa"/>
            <w:vAlign w:val="center"/>
          </w:tcPr>
          <w:p w14:paraId="24F9C9AE">
            <w:pPr>
              <w:adjustRightInd w:val="0"/>
              <w:snapToGrid w:val="0"/>
              <w:jc w:val="center"/>
              <w:rPr>
                <w:rFonts w:hint="eastAsia" w:ascii="宋体" w:hAnsi="宋体" w:eastAsia="宋体" w:cs="宋体"/>
                <w:color w:val="auto"/>
                <w:sz w:val="24"/>
                <w:highlight w:val="none"/>
              </w:rPr>
            </w:pPr>
          </w:p>
        </w:tc>
      </w:tr>
      <w:tr w14:paraId="3FEF1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4C4E5B0">
            <w:pPr>
              <w:adjustRightInd w:val="0"/>
              <w:snapToGrid w:val="0"/>
              <w:jc w:val="center"/>
              <w:rPr>
                <w:rFonts w:hint="eastAsia" w:ascii="宋体" w:hAnsi="宋体" w:eastAsia="宋体" w:cs="宋体"/>
                <w:color w:val="auto"/>
                <w:sz w:val="24"/>
                <w:highlight w:val="none"/>
              </w:rPr>
            </w:pPr>
          </w:p>
        </w:tc>
        <w:tc>
          <w:tcPr>
            <w:tcW w:w="1482" w:type="dxa"/>
            <w:vAlign w:val="center"/>
          </w:tcPr>
          <w:p w14:paraId="05E5FF2E">
            <w:pPr>
              <w:adjustRightInd w:val="0"/>
              <w:snapToGrid w:val="0"/>
              <w:jc w:val="center"/>
              <w:rPr>
                <w:rFonts w:hint="eastAsia" w:ascii="宋体" w:hAnsi="宋体" w:eastAsia="宋体" w:cs="宋体"/>
                <w:color w:val="auto"/>
                <w:sz w:val="24"/>
                <w:highlight w:val="none"/>
              </w:rPr>
            </w:pPr>
          </w:p>
        </w:tc>
        <w:tc>
          <w:tcPr>
            <w:tcW w:w="2384" w:type="dxa"/>
            <w:vAlign w:val="center"/>
          </w:tcPr>
          <w:p w14:paraId="726C3E79">
            <w:pPr>
              <w:adjustRightInd w:val="0"/>
              <w:snapToGrid w:val="0"/>
              <w:jc w:val="center"/>
              <w:rPr>
                <w:rFonts w:hint="eastAsia" w:ascii="宋体" w:hAnsi="宋体" w:eastAsia="宋体" w:cs="宋体"/>
                <w:color w:val="auto"/>
                <w:sz w:val="24"/>
                <w:highlight w:val="none"/>
              </w:rPr>
            </w:pPr>
          </w:p>
        </w:tc>
        <w:tc>
          <w:tcPr>
            <w:tcW w:w="2126" w:type="dxa"/>
            <w:vAlign w:val="center"/>
          </w:tcPr>
          <w:p w14:paraId="3CB3ECE2">
            <w:pPr>
              <w:adjustRightInd w:val="0"/>
              <w:snapToGrid w:val="0"/>
              <w:jc w:val="center"/>
              <w:rPr>
                <w:rFonts w:hint="eastAsia" w:ascii="宋体" w:hAnsi="宋体" w:eastAsia="宋体" w:cs="宋体"/>
                <w:color w:val="auto"/>
                <w:sz w:val="24"/>
                <w:highlight w:val="none"/>
              </w:rPr>
            </w:pPr>
          </w:p>
        </w:tc>
        <w:tc>
          <w:tcPr>
            <w:tcW w:w="1875" w:type="dxa"/>
            <w:vAlign w:val="center"/>
          </w:tcPr>
          <w:p w14:paraId="482DBEF4">
            <w:pPr>
              <w:adjustRightInd w:val="0"/>
              <w:snapToGrid w:val="0"/>
              <w:jc w:val="center"/>
              <w:rPr>
                <w:rFonts w:hint="eastAsia" w:ascii="宋体" w:hAnsi="宋体" w:eastAsia="宋体" w:cs="宋体"/>
                <w:color w:val="auto"/>
                <w:sz w:val="24"/>
                <w:highlight w:val="none"/>
              </w:rPr>
            </w:pPr>
          </w:p>
        </w:tc>
        <w:tc>
          <w:tcPr>
            <w:tcW w:w="1009" w:type="dxa"/>
            <w:vAlign w:val="center"/>
          </w:tcPr>
          <w:p w14:paraId="69E176E8">
            <w:pPr>
              <w:adjustRightInd w:val="0"/>
              <w:snapToGrid w:val="0"/>
              <w:jc w:val="center"/>
              <w:rPr>
                <w:rFonts w:hint="eastAsia" w:ascii="宋体" w:hAnsi="宋体" w:eastAsia="宋体" w:cs="宋体"/>
                <w:color w:val="auto"/>
                <w:sz w:val="24"/>
                <w:highlight w:val="none"/>
              </w:rPr>
            </w:pPr>
          </w:p>
        </w:tc>
      </w:tr>
    </w:tbl>
    <w:p w14:paraId="41F3E7C3">
      <w:pPr>
        <w:tabs>
          <w:tab w:val="left" w:pos="1800"/>
          <w:tab w:val="left" w:pos="5580"/>
        </w:tabs>
        <w:spacing w:line="360" w:lineRule="auto"/>
        <w:ind w:firstLine="360" w:firstLineChars="150"/>
        <w:jc w:val="left"/>
        <w:rPr>
          <w:rFonts w:hint="eastAsia" w:ascii="宋体" w:hAnsi="宋体" w:eastAsia="宋体" w:cs="宋体"/>
          <w:color w:val="auto"/>
          <w:sz w:val="24"/>
          <w:highlight w:val="none"/>
          <w:u w:val="single"/>
        </w:rPr>
      </w:pPr>
    </w:p>
    <w:p w14:paraId="70CF731F">
      <w:pPr>
        <w:tabs>
          <w:tab w:val="left" w:pos="1800"/>
          <w:tab w:val="left" w:pos="5580"/>
        </w:tabs>
        <w:spacing w:line="360" w:lineRule="auto"/>
        <w:ind w:firstLine="360" w:firstLineChars="150"/>
        <w:jc w:val="left"/>
        <w:rPr>
          <w:rFonts w:hint="eastAsia" w:ascii="宋体" w:hAnsi="宋体" w:eastAsia="宋体" w:cs="宋体"/>
          <w:color w:val="auto"/>
          <w:sz w:val="24"/>
          <w:highlight w:val="none"/>
          <w:u w:val="single"/>
        </w:rPr>
      </w:pPr>
    </w:p>
    <w:p w14:paraId="6358C592">
      <w:pPr>
        <w:tabs>
          <w:tab w:val="left" w:pos="1800"/>
          <w:tab w:val="left" w:pos="5580"/>
        </w:tabs>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285FC2F1">
      <w:pPr>
        <w:tabs>
          <w:tab w:val="left" w:pos="1800"/>
          <w:tab w:val="left" w:pos="5580"/>
        </w:tabs>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 对竞争性磋商文件中的所有商务、技术要求，除本表所列明的所有偏离外，均视作供应商已对之理解和响应。此表中若无任何文字说明，内容为空白的，</w:t>
      </w:r>
      <w:r>
        <w:rPr>
          <w:rFonts w:hint="eastAsia" w:ascii="宋体" w:hAnsi="宋体" w:eastAsia="宋体" w:cs="宋体"/>
          <w:b/>
          <w:color w:val="auto"/>
          <w:sz w:val="24"/>
          <w:highlight w:val="none"/>
        </w:rPr>
        <w:t>响应无效</w:t>
      </w:r>
      <w:r>
        <w:rPr>
          <w:rFonts w:hint="eastAsia" w:ascii="宋体" w:hAnsi="宋体" w:eastAsia="宋体" w:cs="宋体"/>
          <w:color w:val="auto"/>
          <w:sz w:val="24"/>
          <w:highlight w:val="none"/>
        </w:rPr>
        <w:t>。</w:t>
      </w:r>
    </w:p>
    <w:p w14:paraId="0C6DAF50">
      <w:pPr>
        <w:tabs>
          <w:tab w:val="left" w:pos="1800"/>
          <w:tab w:val="left" w:pos="5580"/>
        </w:tabs>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2.“偏离情况”列应据实填写“无偏离”、“正偏离”或“负偏离”。</w:t>
      </w:r>
    </w:p>
    <w:p w14:paraId="5008931C">
      <w:pPr>
        <w:tabs>
          <w:tab w:val="left" w:pos="1800"/>
          <w:tab w:val="left" w:pos="5580"/>
        </w:tabs>
        <w:jc w:val="left"/>
        <w:rPr>
          <w:rFonts w:hint="eastAsia" w:ascii="宋体" w:hAnsi="宋体" w:eastAsia="宋体" w:cs="宋体"/>
          <w:color w:val="auto"/>
          <w:sz w:val="24"/>
          <w:highlight w:val="none"/>
        </w:rPr>
      </w:pPr>
    </w:p>
    <w:p w14:paraId="58A30C74">
      <w:pPr>
        <w:rPr>
          <w:rFonts w:hint="eastAsia" w:ascii="宋体" w:hAnsi="宋体" w:eastAsia="宋体" w:cs="宋体"/>
          <w:color w:val="auto"/>
          <w:sz w:val="24"/>
          <w:szCs w:val="20"/>
          <w:highlight w:val="none"/>
        </w:rPr>
      </w:pPr>
    </w:p>
    <w:p w14:paraId="4B3EC8AD">
      <w:pPr>
        <w:autoSpaceDE w:val="0"/>
        <w:autoSpaceDN w:val="0"/>
        <w:adjustRightInd w:val="0"/>
        <w:snapToGrid w:val="0"/>
        <w:spacing w:before="25" w:after="25" w:line="360" w:lineRule="auto"/>
        <w:ind w:right="36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供应商名称（加盖公章）</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______</w:t>
      </w:r>
    </w:p>
    <w:p w14:paraId="28B52EF0">
      <w:pPr>
        <w:autoSpaceDE w:val="0"/>
        <w:autoSpaceDN w:val="0"/>
        <w:adjustRightInd w:val="0"/>
        <w:snapToGrid w:val="0"/>
        <w:spacing w:before="25" w:after="25" w:line="360" w:lineRule="auto"/>
        <w:ind w:right="360"/>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日期：____年____月____日 </w:t>
      </w:r>
    </w:p>
    <w:p w14:paraId="1F2BBBBC">
      <w:pPr>
        <w:tabs>
          <w:tab w:val="left" w:pos="360"/>
        </w:tabs>
        <w:snapToGrid w:val="0"/>
        <w:spacing w:line="360" w:lineRule="auto"/>
        <w:outlineLvl w:val="1"/>
        <w:rPr>
          <w:rFonts w:hint="eastAsia" w:ascii="宋体" w:hAnsi="宋体" w:eastAsia="宋体" w:cs="宋体"/>
          <w:color w:val="auto"/>
          <w:sz w:val="24"/>
          <w:highlight w:val="none"/>
        </w:rPr>
      </w:pPr>
      <w:r>
        <w:rPr>
          <w:rFonts w:hint="eastAsia" w:ascii="宋体" w:hAnsi="宋体" w:eastAsia="宋体" w:cs="宋体"/>
          <w:color w:val="auto"/>
          <w:sz w:val="24"/>
          <w:szCs w:val="20"/>
          <w:highlight w:val="none"/>
        </w:rPr>
        <w:br w:type="page"/>
      </w:r>
    </w:p>
    <w:p w14:paraId="63A69437">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 xml:space="preserve">  竞争性磋商文件要求提供或供应商认为应附的其他材料</w:t>
      </w:r>
    </w:p>
    <w:p w14:paraId="23BE5524">
      <w:pPr>
        <w:bidi w:val="0"/>
        <w:rPr>
          <w:rFonts w:hint="eastAsia"/>
          <w:color w:val="auto"/>
          <w:highlight w:val="none"/>
          <w:lang w:val="en-US" w:eastAsia="zh-CN"/>
        </w:rPr>
      </w:pPr>
    </w:p>
    <w:p w14:paraId="3F87F281">
      <w:pPr>
        <w:adjustRightInd w:val="0"/>
        <w:snapToGrid w:val="0"/>
        <w:spacing w:line="360" w:lineRule="auto"/>
        <w:ind w:firstLine="240" w:firstLineChars="100"/>
        <w:outlineLvl w:val="2"/>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10.1项目业绩（如有）</w:t>
      </w:r>
    </w:p>
    <w:p w14:paraId="7996C002">
      <w:pPr>
        <w:adjustRightInd w:val="0"/>
        <w:snapToGrid w:val="0"/>
        <w:spacing w:line="360" w:lineRule="auto"/>
        <w:ind w:firstLine="240" w:firstLineChars="100"/>
        <w:outlineLvl w:val="2"/>
        <w:rPr>
          <w:rFonts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b w:val="0"/>
          <w:color w:val="auto"/>
          <w:kern w:val="2"/>
          <w:sz w:val="24"/>
          <w:szCs w:val="24"/>
          <w:highlight w:val="none"/>
          <w:lang w:val="en-US" w:eastAsia="zh-CN" w:bidi="ar-SA"/>
        </w:rPr>
        <w:t>自202</w:t>
      </w:r>
      <w:r>
        <w:rPr>
          <w:rFonts w:hint="eastAsia" w:ascii="宋体" w:hAnsi="宋体" w:cs="宋体"/>
          <w:b w:val="0"/>
          <w:color w:val="auto"/>
          <w:kern w:val="2"/>
          <w:sz w:val="24"/>
          <w:szCs w:val="24"/>
          <w:highlight w:val="none"/>
          <w:lang w:val="en-US" w:eastAsia="zh-CN" w:bidi="ar-SA"/>
        </w:rPr>
        <w:t>2</w:t>
      </w:r>
      <w:r>
        <w:rPr>
          <w:rFonts w:hint="eastAsia" w:ascii="宋体" w:hAnsi="宋体" w:eastAsia="宋体" w:cs="宋体"/>
          <w:b w:val="0"/>
          <w:color w:val="auto"/>
          <w:kern w:val="2"/>
          <w:sz w:val="24"/>
          <w:szCs w:val="24"/>
          <w:highlight w:val="none"/>
          <w:lang w:val="en-US" w:eastAsia="zh-CN" w:bidi="ar-SA"/>
        </w:rPr>
        <w:t>年1月1日至响应文件提交截止日，供应商提供的每份业绩均须提供合同关键页复印件并加盖供应商公章；原件备查。</w:t>
      </w:r>
    </w:p>
    <w:p w14:paraId="56385DAB">
      <w:pPr>
        <w:adjustRightInd w:val="0"/>
        <w:snapToGrid w:val="0"/>
        <w:spacing w:line="360" w:lineRule="auto"/>
        <w:ind w:firstLine="240" w:firstLineChars="100"/>
        <w:outlineLvl w:val="2"/>
        <w:rPr>
          <w:rFonts w:hint="eastAsia" w:ascii="宋体" w:hAnsi="宋体" w:eastAsia="宋体" w:cs="宋体"/>
          <w:b w:val="0"/>
          <w:color w:val="auto"/>
          <w:kern w:val="2"/>
          <w:sz w:val="24"/>
          <w:szCs w:val="24"/>
          <w:highlight w:val="none"/>
          <w:lang w:val="en-US" w:eastAsia="zh-CN" w:bidi="ar-SA"/>
        </w:rPr>
      </w:pPr>
    </w:p>
    <w:p w14:paraId="4EF6BFBD">
      <w:pPr>
        <w:adjustRightInd w:val="0"/>
        <w:snapToGrid w:val="0"/>
        <w:spacing w:line="360" w:lineRule="auto"/>
        <w:ind w:firstLine="480" w:firstLineChars="200"/>
        <w:outlineLvl w:val="2"/>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br w:type="textWrapping"/>
      </w:r>
    </w:p>
    <w:p w14:paraId="45B09EC8">
      <w:pPr>
        <w:adjustRightInd w:val="0"/>
        <w:snapToGrid w:val="0"/>
        <w:spacing w:line="360" w:lineRule="auto"/>
        <w:ind w:firstLine="480" w:firstLineChars="200"/>
        <w:outlineLvl w:val="2"/>
        <w:rPr>
          <w:rFonts w:hint="eastAsia" w:ascii="宋体" w:hAnsi="宋体" w:eastAsia="宋体" w:cs="宋体"/>
          <w:b w:val="0"/>
          <w:bCs/>
          <w:color w:val="auto"/>
          <w:sz w:val="24"/>
          <w:highlight w:val="none"/>
        </w:rPr>
      </w:pPr>
    </w:p>
    <w:p w14:paraId="3966CBAB">
      <w:pPr>
        <w:adjustRightInd w:val="0"/>
        <w:snapToGrid w:val="0"/>
        <w:spacing w:line="360" w:lineRule="auto"/>
        <w:ind w:firstLine="480" w:firstLineChars="200"/>
        <w:outlineLvl w:val="2"/>
        <w:rPr>
          <w:rFonts w:hint="eastAsia" w:ascii="宋体" w:hAnsi="宋体" w:eastAsia="宋体" w:cs="宋体"/>
          <w:b w:val="0"/>
          <w:bCs/>
          <w:color w:val="auto"/>
          <w:sz w:val="24"/>
          <w:highlight w:val="none"/>
        </w:rPr>
      </w:pPr>
    </w:p>
    <w:p w14:paraId="6F9A4D3D">
      <w:pPr>
        <w:adjustRightInd w:val="0"/>
        <w:snapToGrid w:val="0"/>
        <w:spacing w:line="360" w:lineRule="auto"/>
        <w:ind w:firstLine="480" w:firstLineChars="200"/>
        <w:outlineLvl w:val="2"/>
        <w:rPr>
          <w:rFonts w:hint="eastAsia" w:ascii="宋体" w:hAnsi="宋体" w:eastAsia="宋体" w:cs="宋体"/>
          <w:b w:val="0"/>
          <w:bCs/>
          <w:color w:val="auto"/>
          <w:sz w:val="24"/>
          <w:highlight w:val="none"/>
        </w:rPr>
      </w:pPr>
    </w:p>
    <w:p w14:paraId="03462A3D">
      <w:pPr>
        <w:adjustRightInd w:val="0"/>
        <w:snapToGrid w:val="0"/>
        <w:spacing w:line="360" w:lineRule="auto"/>
        <w:ind w:firstLine="480" w:firstLineChars="200"/>
        <w:outlineLvl w:val="2"/>
        <w:rPr>
          <w:rFonts w:hint="eastAsia" w:ascii="宋体" w:hAnsi="宋体" w:eastAsia="宋体" w:cs="宋体"/>
          <w:b w:val="0"/>
          <w:bCs/>
          <w:color w:val="auto"/>
          <w:sz w:val="24"/>
          <w:highlight w:val="none"/>
        </w:rPr>
      </w:pPr>
    </w:p>
    <w:p w14:paraId="19B877F6">
      <w:pPr>
        <w:adjustRightInd w:val="0"/>
        <w:snapToGrid w:val="0"/>
        <w:spacing w:line="360" w:lineRule="auto"/>
        <w:ind w:firstLine="480" w:firstLineChars="200"/>
        <w:outlineLvl w:val="2"/>
        <w:rPr>
          <w:rFonts w:hint="eastAsia" w:ascii="宋体" w:hAnsi="宋体" w:eastAsia="宋体" w:cs="宋体"/>
          <w:b w:val="0"/>
          <w:bCs/>
          <w:color w:val="auto"/>
          <w:sz w:val="24"/>
          <w:highlight w:val="none"/>
        </w:rPr>
      </w:pPr>
    </w:p>
    <w:p w14:paraId="27A10171">
      <w:pPr>
        <w:adjustRightInd w:val="0"/>
        <w:snapToGrid w:val="0"/>
        <w:spacing w:line="360" w:lineRule="auto"/>
        <w:ind w:firstLine="480" w:firstLineChars="200"/>
        <w:outlineLvl w:val="2"/>
        <w:rPr>
          <w:rFonts w:hint="eastAsia" w:ascii="宋体" w:hAnsi="宋体" w:eastAsia="宋体" w:cs="宋体"/>
          <w:b w:val="0"/>
          <w:bCs/>
          <w:color w:val="auto"/>
          <w:sz w:val="24"/>
          <w:highlight w:val="none"/>
        </w:rPr>
      </w:pPr>
    </w:p>
    <w:p w14:paraId="23A3B051">
      <w:pPr>
        <w:adjustRightInd w:val="0"/>
        <w:snapToGrid w:val="0"/>
        <w:spacing w:line="360" w:lineRule="auto"/>
        <w:ind w:firstLine="480" w:firstLineChars="200"/>
        <w:outlineLvl w:val="2"/>
        <w:rPr>
          <w:rFonts w:hint="eastAsia" w:ascii="宋体" w:hAnsi="宋体" w:eastAsia="宋体" w:cs="宋体"/>
          <w:b w:val="0"/>
          <w:bCs/>
          <w:color w:val="auto"/>
          <w:sz w:val="24"/>
          <w:highlight w:val="none"/>
        </w:rPr>
      </w:pPr>
    </w:p>
    <w:p w14:paraId="2AB6797C">
      <w:pPr>
        <w:adjustRightInd w:val="0"/>
        <w:snapToGrid w:val="0"/>
        <w:spacing w:line="360" w:lineRule="auto"/>
        <w:ind w:firstLine="480" w:firstLineChars="200"/>
        <w:outlineLvl w:val="2"/>
        <w:rPr>
          <w:rFonts w:hint="eastAsia" w:ascii="宋体" w:hAnsi="宋体" w:eastAsia="宋体" w:cs="宋体"/>
          <w:b w:val="0"/>
          <w:bCs/>
          <w:color w:val="auto"/>
          <w:sz w:val="24"/>
          <w:highlight w:val="none"/>
        </w:rPr>
      </w:pPr>
    </w:p>
    <w:p w14:paraId="34B9A717">
      <w:pPr>
        <w:adjustRightInd w:val="0"/>
        <w:snapToGrid w:val="0"/>
        <w:spacing w:line="360" w:lineRule="auto"/>
        <w:ind w:firstLine="480" w:firstLineChars="200"/>
        <w:outlineLvl w:val="2"/>
        <w:rPr>
          <w:rFonts w:hint="eastAsia" w:ascii="宋体" w:hAnsi="宋体" w:eastAsia="宋体" w:cs="宋体"/>
          <w:b w:val="0"/>
          <w:bCs/>
          <w:color w:val="auto"/>
          <w:sz w:val="24"/>
          <w:highlight w:val="none"/>
        </w:rPr>
      </w:pPr>
    </w:p>
    <w:p w14:paraId="7F518B45">
      <w:pPr>
        <w:adjustRightInd w:val="0"/>
        <w:snapToGrid w:val="0"/>
        <w:spacing w:line="360" w:lineRule="auto"/>
        <w:ind w:firstLine="480" w:firstLineChars="200"/>
        <w:outlineLvl w:val="2"/>
        <w:rPr>
          <w:rFonts w:hint="eastAsia" w:ascii="宋体" w:hAnsi="宋体" w:eastAsia="宋体" w:cs="宋体"/>
          <w:b w:val="0"/>
          <w:bCs/>
          <w:color w:val="auto"/>
          <w:sz w:val="24"/>
          <w:highlight w:val="none"/>
        </w:rPr>
      </w:pPr>
    </w:p>
    <w:p w14:paraId="2512A3D2">
      <w:pPr>
        <w:adjustRightInd w:val="0"/>
        <w:snapToGrid w:val="0"/>
        <w:spacing w:line="360" w:lineRule="auto"/>
        <w:ind w:firstLine="480" w:firstLineChars="200"/>
        <w:outlineLvl w:val="2"/>
        <w:rPr>
          <w:rFonts w:hint="eastAsia" w:ascii="宋体" w:hAnsi="宋体" w:eastAsia="宋体" w:cs="宋体"/>
          <w:b w:val="0"/>
          <w:bCs/>
          <w:color w:val="auto"/>
          <w:sz w:val="24"/>
          <w:highlight w:val="none"/>
        </w:rPr>
      </w:pPr>
    </w:p>
    <w:p w14:paraId="270D225B">
      <w:pPr>
        <w:adjustRightInd w:val="0"/>
        <w:snapToGrid w:val="0"/>
        <w:spacing w:line="360" w:lineRule="auto"/>
        <w:ind w:firstLine="480" w:firstLineChars="200"/>
        <w:outlineLvl w:val="2"/>
        <w:rPr>
          <w:rFonts w:hint="eastAsia" w:ascii="宋体" w:hAnsi="宋体" w:eastAsia="宋体" w:cs="宋体"/>
          <w:b w:val="0"/>
          <w:bCs/>
          <w:color w:val="auto"/>
          <w:sz w:val="24"/>
          <w:highlight w:val="none"/>
        </w:rPr>
      </w:pPr>
    </w:p>
    <w:p w14:paraId="3269F238">
      <w:pPr>
        <w:adjustRightInd w:val="0"/>
        <w:snapToGrid w:val="0"/>
        <w:spacing w:line="360" w:lineRule="auto"/>
        <w:ind w:firstLine="480" w:firstLineChars="200"/>
        <w:outlineLvl w:val="2"/>
        <w:rPr>
          <w:rFonts w:hint="eastAsia" w:ascii="宋体" w:hAnsi="宋体" w:eastAsia="宋体" w:cs="宋体"/>
          <w:b w:val="0"/>
          <w:bCs/>
          <w:color w:val="auto"/>
          <w:sz w:val="24"/>
          <w:highlight w:val="none"/>
        </w:rPr>
      </w:pPr>
    </w:p>
    <w:p w14:paraId="66A893CA">
      <w:pPr>
        <w:adjustRightInd w:val="0"/>
        <w:snapToGrid w:val="0"/>
        <w:spacing w:line="360" w:lineRule="auto"/>
        <w:ind w:firstLine="480" w:firstLineChars="200"/>
        <w:outlineLvl w:val="2"/>
        <w:rPr>
          <w:rFonts w:hint="eastAsia" w:ascii="宋体" w:hAnsi="宋体" w:eastAsia="宋体" w:cs="宋体"/>
          <w:b w:val="0"/>
          <w:bCs/>
          <w:color w:val="auto"/>
          <w:sz w:val="24"/>
          <w:highlight w:val="none"/>
        </w:rPr>
      </w:pPr>
    </w:p>
    <w:p w14:paraId="0153C533">
      <w:pPr>
        <w:adjustRightInd w:val="0"/>
        <w:snapToGrid w:val="0"/>
        <w:spacing w:line="360" w:lineRule="auto"/>
        <w:ind w:firstLine="480" w:firstLineChars="200"/>
        <w:outlineLvl w:val="2"/>
        <w:rPr>
          <w:rFonts w:hint="eastAsia" w:ascii="宋体" w:hAnsi="宋体" w:eastAsia="宋体" w:cs="宋体"/>
          <w:b w:val="0"/>
          <w:bCs/>
          <w:color w:val="auto"/>
          <w:sz w:val="24"/>
          <w:highlight w:val="none"/>
        </w:rPr>
      </w:pPr>
    </w:p>
    <w:p w14:paraId="773D1B48">
      <w:pPr>
        <w:adjustRightInd w:val="0"/>
        <w:snapToGrid w:val="0"/>
        <w:spacing w:line="360" w:lineRule="auto"/>
        <w:ind w:firstLine="480" w:firstLineChars="200"/>
        <w:outlineLvl w:val="2"/>
        <w:rPr>
          <w:rFonts w:hint="eastAsia" w:ascii="宋体" w:hAnsi="宋体" w:eastAsia="宋体" w:cs="宋体"/>
          <w:b w:val="0"/>
          <w:bCs/>
          <w:color w:val="auto"/>
          <w:sz w:val="24"/>
          <w:highlight w:val="none"/>
        </w:rPr>
      </w:pPr>
    </w:p>
    <w:p w14:paraId="5FA4531E">
      <w:pPr>
        <w:adjustRightInd w:val="0"/>
        <w:snapToGrid w:val="0"/>
        <w:spacing w:line="360" w:lineRule="auto"/>
        <w:ind w:firstLine="480" w:firstLineChars="200"/>
        <w:outlineLvl w:val="2"/>
        <w:rPr>
          <w:rFonts w:hint="eastAsia" w:ascii="宋体" w:hAnsi="宋体" w:eastAsia="宋体" w:cs="宋体"/>
          <w:b w:val="0"/>
          <w:bCs/>
          <w:color w:val="auto"/>
          <w:sz w:val="24"/>
          <w:highlight w:val="none"/>
        </w:rPr>
      </w:pPr>
    </w:p>
    <w:p w14:paraId="2F9D372B">
      <w:pPr>
        <w:adjustRightInd w:val="0"/>
        <w:snapToGrid w:val="0"/>
        <w:spacing w:line="360" w:lineRule="auto"/>
        <w:ind w:firstLine="480" w:firstLineChars="200"/>
        <w:outlineLvl w:val="2"/>
        <w:rPr>
          <w:rFonts w:hint="eastAsia" w:ascii="宋体" w:hAnsi="宋体" w:eastAsia="宋体" w:cs="宋体"/>
          <w:b w:val="0"/>
          <w:bCs/>
          <w:color w:val="auto"/>
          <w:sz w:val="24"/>
          <w:highlight w:val="none"/>
        </w:rPr>
      </w:pPr>
    </w:p>
    <w:p w14:paraId="0BB5B11C">
      <w:pPr>
        <w:adjustRightInd w:val="0"/>
        <w:snapToGrid w:val="0"/>
        <w:spacing w:line="360" w:lineRule="auto"/>
        <w:ind w:firstLine="480" w:firstLineChars="200"/>
        <w:outlineLvl w:val="2"/>
        <w:rPr>
          <w:rFonts w:hint="eastAsia" w:ascii="宋体" w:hAnsi="宋体" w:eastAsia="宋体" w:cs="宋体"/>
          <w:b w:val="0"/>
          <w:bCs/>
          <w:color w:val="auto"/>
          <w:sz w:val="24"/>
          <w:highlight w:val="none"/>
        </w:rPr>
      </w:pPr>
    </w:p>
    <w:p w14:paraId="662989E0">
      <w:pPr>
        <w:tabs>
          <w:tab w:val="left" w:pos="360"/>
        </w:tabs>
        <w:snapToGrid w:val="0"/>
        <w:spacing w:line="360" w:lineRule="auto"/>
        <w:outlineLvl w:val="1"/>
        <w:rPr>
          <w:rFonts w:hint="eastAsia" w:ascii="宋体" w:hAnsi="宋体" w:eastAsia="宋体" w:cs="宋体"/>
          <w:color w:val="auto"/>
          <w:sz w:val="24"/>
          <w:highlight w:val="none"/>
        </w:rPr>
      </w:pPr>
    </w:p>
    <w:p w14:paraId="46B1EC2A">
      <w:pPr>
        <w:tabs>
          <w:tab w:val="left" w:pos="360"/>
        </w:tabs>
        <w:snapToGrid w:val="0"/>
        <w:spacing w:line="360" w:lineRule="auto"/>
        <w:outlineLvl w:val="1"/>
        <w:rPr>
          <w:rFonts w:hint="eastAsia" w:ascii="宋体" w:hAnsi="宋体" w:eastAsia="宋体" w:cs="宋体"/>
          <w:color w:val="auto"/>
          <w:sz w:val="24"/>
          <w:highlight w:val="none"/>
        </w:rPr>
      </w:pPr>
    </w:p>
    <w:p w14:paraId="14B6EFCB">
      <w:pPr>
        <w:tabs>
          <w:tab w:val="left" w:pos="360"/>
        </w:tabs>
        <w:snapToGrid w:val="0"/>
        <w:spacing w:line="360" w:lineRule="auto"/>
        <w:outlineLvl w:val="1"/>
        <w:rPr>
          <w:rFonts w:hint="eastAsia" w:ascii="宋体" w:hAnsi="宋体" w:eastAsia="宋体" w:cs="宋体"/>
          <w:color w:val="auto"/>
          <w:sz w:val="24"/>
          <w:highlight w:val="none"/>
        </w:rPr>
      </w:pPr>
    </w:p>
    <w:p w14:paraId="3EBCCC5E">
      <w:pPr>
        <w:tabs>
          <w:tab w:val="left" w:pos="360"/>
        </w:tabs>
        <w:snapToGrid w:val="0"/>
        <w:spacing w:line="360" w:lineRule="auto"/>
        <w:outlineLvl w:val="1"/>
        <w:rPr>
          <w:rFonts w:hint="eastAsia" w:ascii="宋体" w:hAnsi="宋体" w:eastAsia="宋体" w:cs="宋体"/>
          <w:color w:val="auto"/>
          <w:sz w:val="24"/>
          <w:highlight w:val="none"/>
        </w:rPr>
      </w:pPr>
    </w:p>
    <w:p w14:paraId="058CFFC9">
      <w:pPr>
        <w:tabs>
          <w:tab w:val="left" w:pos="360"/>
        </w:tabs>
        <w:snapToGrid w:val="0"/>
        <w:spacing w:line="360" w:lineRule="auto"/>
        <w:outlineLvl w:val="1"/>
        <w:rPr>
          <w:rFonts w:hint="eastAsia" w:ascii="宋体" w:hAnsi="宋体" w:eastAsia="宋体" w:cs="宋体"/>
          <w:color w:val="auto"/>
          <w:sz w:val="24"/>
          <w:highlight w:val="none"/>
          <w:lang w:eastAsia="zh-CN"/>
        </w:rPr>
      </w:pPr>
      <w:bookmarkStart w:id="761" w:name="_Toc86772518"/>
      <w:r>
        <w:rPr>
          <w:rFonts w:hint="eastAsia" w:ascii="宋体" w:hAnsi="宋体" w:eastAsia="宋体" w:cs="宋体"/>
          <w:color w:val="auto"/>
          <w:sz w:val="24"/>
          <w:highlight w:val="none"/>
          <w:lang w:val="en-US" w:eastAsia="zh-CN"/>
        </w:rPr>
        <w:t>10.</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成交服务费承诺书</w:t>
      </w:r>
      <w:bookmarkEnd w:id="761"/>
    </w:p>
    <w:p w14:paraId="29E55FA7">
      <w:pPr>
        <w:tabs>
          <w:tab w:val="left" w:pos="360"/>
        </w:tabs>
        <w:snapToGrid w:val="0"/>
        <w:spacing w:line="360" w:lineRule="auto"/>
        <w:jc w:val="center"/>
        <w:outlineLvl w:val="1"/>
        <w:rPr>
          <w:rFonts w:hint="eastAsia" w:ascii="宋体" w:hAnsi="宋体" w:eastAsia="宋体" w:cs="宋体"/>
          <w:color w:val="auto"/>
          <w:sz w:val="28"/>
          <w:szCs w:val="28"/>
          <w:highlight w:val="none"/>
        </w:rPr>
      </w:pPr>
    </w:p>
    <w:p w14:paraId="1F556416">
      <w:pPr>
        <w:tabs>
          <w:tab w:val="left" w:pos="360"/>
        </w:tabs>
        <w:snapToGrid w:val="0"/>
        <w:spacing w:line="360" w:lineRule="auto"/>
        <w:jc w:val="center"/>
        <w:outlineLvl w:val="1"/>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成交服务费承诺书</w:t>
      </w:r>
    </w:p>
    <w:p w14:paraId="43434C14">
      <w:pPr>
        <w:tabs>
          <w:tab w:val="left" w:pos="360"/>
        </w:tabs>
        <w:snapToGrid w:val="0"/>
        <w:spacing w:line="360" w:lineRule="auto"/>
        <w:outlineLvl w:val="1"/>
        <w:rPr>
          <w:rFonts w:hint="eastAsia" w:ascii="宋体" w:hAnsi="宋体" w:eastAsia="宋体" w:cs="宋体"/>
          <w:color w:val="auto"/>
          <w:sz w:val="24"/>
          <w:highlight w:val="none"/>
        </w:rPr>
      </w:pPr>
    </w:p>
    <w:p w14:paraId="10712C1E">
      <w:pPr>
        <w:tabs>
          <w:tab w:val="left" w:pos="360"/>
        </w:tabs>
        <w:snapToGrid w:val="0"/>
        <w:spacing w:line="360" w:lineRule="auto"/>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致：北京禾源工程造价咨询有限公司</w:t>
      </w:r>
    </w:p>
    <w:p w14:paraId="65D5A667">
      <w:pPr>
        <w:tabs>
          <w:tab w:val="left" w:pos="360"/>
        </w:tabs>
        <w:snapToGrid w:val="0"/>
        <w:spacing w:line="360" w:lineRule="auto"/>
        <w:ind w:firstLine="480" w:firstLineChars="200"/>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我们在贵公司组织的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项目招标中若获成交（项目编号</w:t>
      </w:r>
      <w:r>
        <w:rPr>
          <w:rFonts w:hint="eastAsia" w:ascii="宋体" w:hAnsi="宋体" w:eastAsia="宋体" w:cs="宋体"/>
          <w:color w:val="auto"/>
          <w:sz w:val="24"/>
          <w:highlight w:val="none"/>
          <w:lang w:val="en-US" w:eastAsia="zh-CN"/>
        </w:rPr>
        <w:t>/包号</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），我们保证在领取成交通知书时按照招标代理服务收费标准（计价格[2002]1980号）的规定，以电汇或支票形式向贵公司即北京禾源工程造价咨询有限公司（地址：</w:t>
      </w:r>
      <w:r>
        <w:rPr>
          <w:rFonts w:hint="eastAsia" w:ascii="宋体" w:hAnsi="宋体" w:cs="宋体"/>
          <w:color w:val="auto"/>
          <w:sz w:val="24"/>
          <w:highlight w:val="none"/>
          <w:lang w:eastAsia="zh-CN"/>
        </w:rPr>
        <w:t>北京市顺义区仁和镇高顺云港新能科技园18号楼二层</w:t>
      </w:r>
      <w:r>
        <w:rPr>
          <w:rFonts w:hint="eastAsia" w:ascii="宋体" w:hAnsi="宋体" w:eastAsia="宋体" w:cs="宋体"/>
          <w:color w:val="auto"/>
          <w:sz w:val="24"/>
          <w:highlight w:val="none"/>
        </w:rPr>
        <w:t>）一次性支付成交服务费。</w:t>
      </w:r>
    </w:p>
    <w:p w14:paraId="1467ABE2">
      <w:pPr>
        <w:spacing w:line="360" w:lineRule="auto"/>
        <w:ind w:left="1620" w:leftChars="257" w:hanging="1080"/>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账户信息：</w:t>
      </w:r>
    </w:p>
    <w:p w14:paraId="53200F24">
      <w:pPr>
        <w:spacing w:line="360" w:lineRule="auto"/>
        <w:ind w:left="1620" w:leftChars="257" w:hanging="1080"/>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收款单位：北京禾源工程造价咨询有限公司</w:t>
      </w:r>
    </w:p>
    <w:p w14:paraId="04D7AFB5">
      <w:pPr>
        <w:spacing w:line="360" w:lineRule="auto"/>
        <w:ind w:left="1620" w:leftChars="257" w:hanging="1080"/>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开 户 行：中国农业银行股份有限公司北京科技园支行</w:t>
      </w:r>
    </w:p>
    <w:p w14:paraId="2DF6BE96">
      <w:pPr>
        <w:spacing w:line="360" w:lineRule="auto"/>
        <w:ind w:left="1620" w:leftChars="257" w:hanging="1080"/>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开户银行帐号：11121501040018815</w:t>
      </w:r>
    </w:p>
    <w:p w14:paraId="56F6257A">
      <w:pPr>
        <w:tabs>
          <w:tab w:val="left" w:pos="360"/>
        </w:tabs>
        <w:snapToGrid w:val="0"/>
        <w:spacing w:line="360" w:lineRule="auto"/>
        <w:outlineLvl w:val="1"/>
        <w:rPr>
          <w:rFonts w:hint="eastAsia" w:ascii="宋体" w:hAnsi="宋体" w:eastAsia="宋体" w:cs="宋体"/>
          <w:color w:val="auto"/>
          <w:sz w:val="24"/>
          <w:highlight w:val="none"/>
          <w:lang w:val="en-US" w:eastAsia="zh-CN"/>
        </w:rPr>
      </w:pPr>
    </w:p>
    <w:p w14:paraId="1C9A8292">
      <w:pPr>
        <w:tabs>
          <w:tab w:val="left" w:pos="360"/>
        </w:tabs>
        <w:snapToGrid w:val="0"/>
        <w:spacing w:line="360" w:lineRule="auto"/>
        <w:outlineLvl w:val="1"/>
        <w:rPr>
          <w:rFonts w:hint="eastAsia" w:ascii="宋体" w:hAnsi="宋体" w:eastAsia="宋体" w:cs="宋体"/>
          <w:color w:val="auto"/>
          <w:sz w:val="24"/>
          <w:highlight w:val="none"/>
          <w:lang w:val="en-US" w:eastAsia="zh-CN"/>
        </w:rPr>
      </w:pPr>
    </w:p>
    <w:p w14:paraId="39332C2C">
      <w:pPr>
        <w:tabs>
          <w:tab w:val="left" w:pos="360"/>
        </w:tabs>
        <w:snapToGrid w:val="0"/>
        <w:spacing w:line="360" w:lineRule="auto"/>
        <w:outlineLvl w:val="1"/>
        <w:rPr>
          <w:rFonts w:hint="eastAsia" w:ascii="宋体" w:hAnsi="宋体" w:eastAsia="宋体" w:cs="宋体"/>
          <w:color w:val="auto"/>
          <w:sz w:val="24"/>
          <w:highlight w:val="none"/>
          <w:lang w:val="en-US" w:eastAsia="zh-CN"/>
        </w:rPr>
      </w:pPr>
    </w:p>
    <w:p w14:paraId="39121DDA">
      <w:pPr>
        <w:tabs>
          <w:tab w:val="left" w:pos="360"/>
        </w:tabs>
        <w:snapToGrid w:val="0"/>
        <w:spacing w:line="360" w:lineRule="auto"/>
        <w:outlineLvl w:val="1"/>
        <w:rPr>
          <w:rFonts w:hint="eastAsia" w:ascii="宋体" w:hAnsi="宋体" w:eastAsia="宋体" w:cs="宋体"/>
          <w:color w:val="auto"/>
          <w:sz w:val="24"/>
          <w:highlight w:val="none"/>
          <w:lang w:val="en-US" w:eastAsia="zh-CN"/>
        </w:rPr>
      </w:pPr>
    </w:p>
    <w:p w14:paraId="3844D290">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供应商名称（加盖公章）</w:t>
      </w:r>
      <w:r>
        <w:rPr>
          <w:rFonts w:hint="eastAsia" w:ascii="宋体" w:hAnsi="宋体" w:eastAsia="宋体" w:cs="宋体"/>
          <w:color w:val="auto"/>
          <w:sz w:val="24"/>
          <w:highlight w:val="none"/>
          <w:lang w:val="zh-CN"/>
        </w:rPr>
        <w:t>：</w:t>
      </w:r>
      <w:r>
        <w:rPr>
          <w:rFonts w:hint="eastAsia" w:ascii="宋体" w:hAnsi="宋体" w:eastAsia="宋体" w:cs="宋体"/>
          <w:color w:val="auto"/>
          <w:sz w:val="24"/>
          <w:szCs w:val="20"/>
          <w:highlight w:val="none"/>
        </w:rPr>
        <w:t>______________</w:t>
      </w:r>
    </w:p>
    <w:p w14:paraId="2828052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0"/>
          <w:highlight w:val="none"/>
        </w:rPr>
        <w:t>法定代表人（签字或盖章）：______________</w:t>
      </w:r>
      <w:r>
        <w:rPr>
          <w:rFonts w:hint="eastAsia" w:ascii="宋体" w:hAnsi="宋体" w:eastAsia="宋体" w:cs="宋体"/>
          <w:color w:val="auto"/>
          <w:sz w:val="24"/>
          <w:highlight w:val="none"/>
        </w:rPr>
        <w:t xml:space="preserve">                                                   </w:t>
      </w:r>
    </w:p>
    <w:p w14:paraId="3D644FE8">
      <w:pPr>
        <w:tabs>
          <w:tab w:val="left" w:pos="360"/>
        </w:tabs>
        <w:snapToGrid w:val="0"/>
        <w:spacing w:line="360" w:lineRule="auto"/>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p>
    <w:p w14:paraId="44A08104">
      <w:pPr>
        <w:tabs>
          <w:tab w:val="left" w:pos="360"/>
        </w:tabs>
        <w:snapToGrid w:val="0"/>
        <w:spacing w:line="360" w:lineRule="auto"/>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电话：                            传真：                           </w:t>
      </w:r>
    </w:p>
    <w:p w14:paraId="68FD4FE1">
      <w:pPr>
        <w:tabs>
          <w:tab w:val="left" w:pos="360"/>
        </w:tabs>
        <w:snapToGrid w:val="0"/>
        <w:spacing w:line="360" w:lineRule="auto"/>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电传：                            邮编：                                                      </w:t>
      </w:r>
    </w:p>
    <w:p w14:paraId="76E6418B">
      <w:pPr>
        <w:tabs>
          <w:tab w:val="left" w:pos="360"/>
        </w:tabs>
        <w:snapToGrid w:val="0"/>
        <w:spacing w:line="360" w:lineRule="auto"/>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承诺日期：                                         </w:t>
      </w:r>
    </w:p>
    <w:p w14:paraId="1EC5954E">
      <w:pPr>
        <w:tabs>
          <w:tab w:val="left" w:pos="360"/>
        </w:tabs>
        <w:snapToGrid w:val="0"/>
        <w:spacing w:line="360" w:lineRule="auto"/>
        <w:outlineLvl w:val="1"/>
        <w:rPr>
          <w:rFonts w:hint="eastAsia" w:ascii="宋体" w:hAnsi="宋体" w:eastAsia="宋体" w:cs="宋体"/>
          <w:color w:val="auto"/>
          <w:sz w:val="24"/>
          <w:highlight w:val="none"/>
        </w:rPr>
      </w:pPr>
    </w:p>
    <w:p w14:paraId="2223AD7F">
      <w:pPr>
        <w:tabs>
          <w:tab w:val="left" w:pos="360"/>
        </w:tabs>
        <w:snapToGrid w:val="0"/>
        <w:spacing w:line="360" w:lineRule="auto"/>
        <w:outlineLvl w:val="1"/>
        <w:rPr>
          <w:rFonts w:hint="eastAsia" w:ascii="宋体" w:hAnsi="宋体" w:eastAsia="宋体" w:cs="宋体"/>
          <w:color w:val="auto"/>
          <w:sz w:val="24"/>
          <w:highlight w:val="none"/>
        </w:rPr>
      </w:pPr>
    </w:p>
    <w:p w14:paraId="6002E434">
      <w:pPr>
        <w:rPr>
          <w:rFonts w:hint="eastAsia" w:ascii="宋体" w:hAnsi="宋体" w:eastAsia="宋体" w:cs="宋体"/>
          <w:color w:val="auto"/>
          <w:sz w:val="24"/>
          <w:highlight w:val="none"/>
        </w:rPr>
      </w:pPr>
    </w:p>
    <w:p w14:paraId="2D4B7FAC">
      <w:pPr>
        <w:rPr>
          <w:rFonts w:hint="eastAsia" w:ascii="宋体" w:hAnsi="宋体" w:eastAsia="宋体" w:cs="宋体"/>
          <w:color w:val="auto"/>
          <w:sz w:val="24"/>
          <w:highlight w:val="none"/>
        </w:rPr>
      </w:pPr>
    </w:p>
    <w:p w14:paraId="2DDEACAE">
      <w:pPr>
        <w:rPr>
          <w:rFonts w:hint="eastAsia" w:ascii="宋体" w:hAnsi="宋体" w:eastAsia="宋体" w:cs="宋体"/>
          <w:color w:val="auto"/>
          <w:sz w:val="24"/>
          <w:highlight w:val="none"/>
        </w:rPr>
      </w:pPr>
    </w:p>
    <w:p w14:paraId="67AB8645">
      <w:pPr>
        <w:rPr>
          <w:rFonts w:hint="eastAsia" w:ascii="宋体" w:hAnsi="宋体" w:eastAsia="宋体" w:cs="宋体"/>
          <w:color w:val="auto"/>
          <w:sz w:val="24"/>
          <w:highlight w:val="none"/>
        </w:rPr>
      </w:pPr>
    </w:p>
    <w:p w14:paraId="494159E1">
      <w:pPr>
        <w:tabs>
          <w:tab w:val="left" w:pos="360"/>
        </w:tabs>
        <w:snapToGrid w:val="0"/>
        <w:spacing w:line="360" w:lineRule="auto"/>
        <w:outlineLvl w:val="1"/>
        <w:rPr>
          <w:rFonts w:hint="eastAsia" w:ascii="宋体" w:hAnsi="宋体" w:eastAsia="宋体" w:cs="宋体"/>
          <w:color w:val="auto"/>
          <w:sz w:val="24"/>
          <w:highlight w:val="none"/>
          <w:lang w:val="en-US" w:eastAsia="zh-CN"/>
        </w:rPr>
      </w:pPr>
    </w:p>
    <w:p w14:paraId="6C3A8A4E">
      <w:pPr>
        <w:tabs>
          <w:tab w:val="left" w:pos="360"/>
        </w:tabs>
        <w:snapToGrid w:val="0"/>
        <w:spacing w:line="360" w:lineRule="auto"/>
        <w:outlineLvl w:val="1"/>
        <w:rPr>
          <w:rFonts w:hint="eastAsia" w:ascii="宋体" w:hAnsi="宋体" w:eastAsia="宋体" w:cs="宋体"/>
          <w:color w:val="auto"/>
          <w:sz w:val="24"/>
          <w:highlight w:val="none"/>
          <w:lang w:val="en-US" w:eastAsia="zh-CN"/>
        </w:rPr>
      </w:pPr>
    </w:p>
    <w:p w14:paraId="39C78224">
      <w:pPr>
        <w:tabs>
          <w:tab w:val="left" w:pos="360"/>
        </w:tabs>
        <w:snapToGrid w:val="0"/>
        <w:spacing w:line="360" w:lineRule="auto"/>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 xml:space="preserve">  技术方案</w:t>
      </w:r>
    </w:p>
    <w:p w14:paraId="3A0DFA09">
      <w:pPr>
        <w:tabs>
          <w:tab w:val="left" w:pos="360"/>
        </w:tabs>
        <w:snapToGrid w:val="0"/>
        <w:spacing w:line="360" w:lineRule="auto"/>
        <w:ind w:firstLine="240" w:firstLineChars="100"/>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供应商根据评审标准自行编制</w:t>
      </w:r>
    </w:p>
    <w:p w14:paraId="374B7B8F">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565718E2">
      <w:pPr>
        <w:tabs>
          <w:tab w:val="left" w:pos="360"/>
        </w:tabs>
        <w:snapToGrid w:val="0"/>
        <w:spacing w:line="360" w:lineRule="auto"/>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最后报价一览表（实质性格式，磋商后提交）</w:t>
      </w:r>
    </w:p>
    <w:p w14:paraId="0541C63B">
      <w:pPr>
        <w:tabs>
          <w:tab w:val="left" w:pos="360"/>
        </w:tabs>
        <w:snapToGrid w:val="0"/>
        <w:spacing w:line="360" w:lineRule="auto"/>
        <w:outlineLvl w:val="1"/>
        <w:rPr>
          <w:rFonts w:hint="eastAsia" w:ascii="宋体" w:hAnsi="宋体" w:eastAsia="宋体" w:cs="宋体"/>
          <w:color w:val="auto"/>
          <w:sz w:val="24"/>
          <w:highlight w:val="none"/>
        </w:rPr>
      </w:pPr>
    </w:p>
    <w:p w14:paraId="21BC5E26">
      <w:pPr>
        <w:widowControl/>
        <w:jc w:val="left"/>
        <w:rPr>
          <w:rFonts w:hint="eastAsia" w:ascii="宋体" w:hAnsi="宋体" w:eastAsia="宋体" w:cs="宋体"/>
          <w:color w:val="auto"/>
          <w:kern w:val="0"/>
          <w:sz w:val="24"/>
          <w:szCs w:val="20"/>
          <w:highlight w:val="none"/>
        </w:rPr>
      </w:pPr>
    </w:p>
    <w:p w14:paraId="0D3230FB">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最后报价一览表</w:t>
      </w:r>
    </w:p>
    <w:p w14:paraId="2AD8ECE8">
      <w:pPr>
        <w:spacing w:line="360" w:lineRule="exact"/>
        <w:jc w:val="center"/>
        <w:rPr>
          <w:rFonts w:hint="eastAsia" w:ascii="宋体" w:hAnsi="宋体" w:eastAsia="宋体" w:cs="宋体"/>
          <w:b/>
          <w:color w:val="auto"/>
          <w:sz w:val="36"/>
          <w:szCs w:val="36"/>
          <w:highlight w:val="none"/>
        </w:rPr>
      </w:pPr>
    </w:p>
    <w:p w14:paraId="74E440A6">
      <w:pPr>
        <w:tabs>
          <w:tab w:val="left" w:pos="1800"/>
          <w:tab w:val="left" w:pos="5580"/>
        </w:tabs>
        <w:spacing w:line="360" w:lineRule="auto"/>
        <w:jc w:val="left"/>
        <w:rPr>
          <w:rFonts w:hint="eastAsia" w:ascii="宋体" w:hAnsi="宋体" w:eastAsia="宋体" w:cs="宋体"/>
          <w:color w:val="auto"/>
          <w:sz w:val="24"/>
          <w:highlight w:val="none"/>
        </w:rPr>
      </w:pPr>
    </w:p>
    <w:p w14:paraId="3FBCAE18">
      <w:pPr>
        <w:tabs>
          <w:tab w:val="left" w:pos="1800"/>
          <w:tab w:val="left" w:pos="5580"/>
        </w:tabs>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项目编号/包号：_______________     项目名称：_______________</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92"/>
        <w:gridCol w:w="1533"/>
        <w:gridCol w:w="2361"/>
        <w:gridCol w:w="1529"/>
        <w:gridCol w:w="1533"/>
        <w:gridCol w:w="1533"/>
      </w:tblGrid>
      <w:tr w14:paraId="084FF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jc w:val="center"/>
        </w:trPr>
        <w:tc>
          <w:tcPr>
            <w:tcW w:w="326" w:type="pct"/>
            <w:noWrap w:val="0"/>
            <w:vAlign w:val="center"/>
          </w:tcPr>
          <w:p w14:paraId="1BF337B5">
            <w:pPr>
              <w:tabs>
                <w:tab w:val="left" w:pos="5580"/>
              </w:tabs>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844" w:type="pct"/>
            <w:noWrap w:val="0"/>
            <w:vAlign w:val="center"/>
          </w:tcPr>
          <w:p w14:paraId="5FC05847">
            <w:pPr>
              <w:tabs>
                <w:tab w:val="left" w:pos="5580"/>
              </w:tabs>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供应商名称</w:t>
            </w:r>
          </w:p>
        </w:tc>
        <w:tc>
          <w:tcPr>
            <w:tcW w:w="1300" w:type="pct"/>
            <w:noWrap w:val="0"/>
            <w:vAlign w:val="center"/>
          </w:tcPr>
          <w:p w14:paraId="2F297696">
            <w:pPr>
              <w:tabs>
                <w:tab w:val="left" w:pos="5580"/>
              </w:tabs>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应答报价</w:t>
            </w:r>
          </w:p>
        </w:tc>
        <w:tc>
          <w:tcPr>
            <w:tcW w:w="842" w:type="pct"/>
            <w:noWrap w:val="0"/>
            <w:vAlign w:val="center"/>
          </w:tcPr>
          <w:p w14:paraId="68349F82">
            <w:pPr>
              <w:tabs>
                <w:tab w:val="left" w:pos="5580"/>
              </w:tabs>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服务期</w:t>
            </w:r>
          </w:p>
        </w:tc>
        <w:tc>
          <w:tcPr>
            <w:tcW w:w="844" w:type="pct"/>
            <w:noWrap w:val="0"/>
            <w:vAlign w:val="center"/>
          </w:tcPr>
          <w:p w14:paraId="47D97766">
            <w:pPr>
              <w:tabs>
                <w:tab w:val="left" w:pos="5580"/>
              </w:tabs>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服务地点</w:t>
            </w:r>
          </w:p>
        </w:tc>
        <w:tc>
          <w:tcPr>
            <w:tcW w:w="844" w:type="pct"/>
            <w:noWrap w:val="0"/>
            <w:vAlign w:val="center"/>
          </w:tcPr>
          <w:p w14:paraId="748665CD">
            <w:pPr>
              <w:tabs>
                <w:tab w:val="left" w:pos="5580"/>
              </w:tabs>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1A38B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1" w:hRule="atLeast"/>
          <w:jc w:val="center"/>
        </w:trPr>
        <w:tc>
          <w:tcPr>
            <w:tcW w:w="326" w:type="pct"/>
            <w:noWrap w:val="0"/>
            <w:vAlign w:val="center"/>
          </w:tcPr>
          <w:p w14:paraId="22E8FCFB">
            <w:pPr>
              <w:tabs>
                <w:tab w:val="left" w:pos="5580"/>
              </w:tabs>
              <w:jc w:val="center"/>
              <w:rPr>
                <w:rFonts w:hint="eastAsia" w:ascii="宋体" w:hAnsi="宋体" w:eastAsia="宋体" w:cs="宋体"/>
                <w:color w:val="auto"/>
                <w:sz w:val="24"/>
                <w:highlight w:val="none"/>
              </w:rPr>
            </w:pPr>
          </w:p>
        </w:tc>
        <w:tc>
          <w:tcPr>
            <w:tcW w:w="844" w:type="pct"/>
            <w:noWrap w:val="0"/>
            <w:vAlign w:val="center"/>
          </w:tcPr>
          <w:p w14:paraId="64D012A9">
            <w:pPr>
              <w:tabs>
                <w:tab w:val="left" w:pos="5580"/>
              </w:tabs>
              <w:jc w:val="center"/>
              <w:rPr>
                <w:rFonts w:hint="eastAsia" w:ascii="宋体" w:hAnsi="宋体" w:eastAsia="宋体" w:cs="宋体"/>
                <w:color w:val="auto"/>
                <w:sz w:val="24"/>
                <w:highlight w:val="none"/>
              </w:rPr>
            </w:pPr>
          </w:p>
        </w:tc>
        <w:tc>
          <w:tcPr>
            <w:tcW w:w="1300" w:type="pct"/>
            <w:noWrap w:val="0"/>
            <w:vAlign w:val="center"/>
          </w:tcPr>
          <w:p w14:paraId="66C0901D">
            <w:pPr>
              <w:tabs>
                <w:tab w:val="left" w:pos="5580"/>
              </w:tabs>
              <w:jc w:val="left"/>
              <w:rPr>
                <w:rFonts w:hint="eastAsia" w:ascii="宋体" w:hAnsi="宋体" w:eastAsia="宋体" w:cs="宋体"/>
                <w:color w:val="auto"/>
                <w:highlight w:val="none"/>
              </w:rPr>
            </w:pPr>
            <w:r>
              <w:rPr>
                <w:rFonts w:hint="eastAsia" w:ascii="宋体" w:hAnsi="宋体" w:eastAsia="宋体" w:cs="宋体"/>
                <w:color w:val="auto"/>
                <w:highlight w:val="none"/>
              </w:rPr>
              <w:t>大写（文字表示）：</w:t>
            </w:r>
          </w:p>
          <w:p w14:paraId="552ECA7A">
            <w:pPr>
              <w:tabs>
                <w:tab w:val="left" w:pos="5580"/>
              </w:tabs>
              <w:jc w:val="left"/>
              <w:rPr>
                <w:rFonts w:hint="eastAsia" w:ascii="宋体" w:hAnsi="宋体" w:eastAsia="宋体" w:cs="宋体"/>
                <w:color w:val="auto"/>
                <w:highlight w:val="none"/>
              </w:rPr>
            </w:pPr>
          </w:p>
          <w:p w14:paraId="16D5D255">
            <w:pPr>
              <w:tabs>
                <w:tab w:val="left" w:pos="5580"/>
              </w:tabs>
              <w:jc w:val="left"/>
              <w:rPr>
                <w:rFonts w:hint="eastAsia" w:ascii="宋体" w:hAnsi="宋体" w:eastAsia="宋体" w:cs="宋体"/>
                <w:color w:val="auto"/>
                <w:sz w:val="24"/>
                <w:highlight w:val="none"/>
              </w:rPr>
            </w:pPr>
            <w:r>
              <w:rPr>
                <w:rFonts w:hint="eastAsia" w:ascii="宋体" w:hAnsi="宋体" w:eastAsia="宋体" w:cs="宋体"/>
                <w:color w:val="auto"/>
                <w:highlight w:val="none"/>
              </w:rPr>
              <w:t>小写（数字表示）：</w:t>
            </w:r>
          </w:p>
        </w:tc>
        <w:tc>
          <w:tcPr>
            <w:tcW w:w="842" w:type="pct"/>
            <w:noWrap w:val="0"/>
            <w:vAlign w:val="center"/>
          </w:tcPr>
          <w:p w14:paraId="4C6DF9FC">
            <w:pPr>
              <w:tabs>
                <w:tab w:val="left" w:pos="5580"/>
              </w:tabs>
              <w:jc w:val="center"/>
              <w:rPr>
                <w:rFonts w:hint="eastAsia" w:ascii="宋体" w:hAnsi="宋体" w:eastAsia="宋体" w:cs="宋体"/>
                <w:color w:val="auto"/>
                <w:sz w:val="24"/>
                <w:highlight w:val="none"/>
              </w:rPr>
            </w:pPr>
          </w:p>
        </w:tc>
        <w:tc>
          <w:tcPr>
            <w:tcW w:w="844" w:type="pct"/>
            <w:noWrap w:val="0"/>
            <w:vAlign w:val="center"/>
          </w:tcPr>
          <w:p w14:paraId="195771DE">
            <w:pPr>
              <w:tabs>
                <w:tab w:val="left" w:pos="5580"/>
              </w:tabs>
              <w:jc w:val="center"/>
              <w:rPr>
                <w:rFonts w:hint="eastAsia" w:ascii="宋体" w:hAnsi="宋体" w:eastAsia="宋体" w:cs="宋体"/>
                <w:color w:val="auto"/>
                <w:sz w:val="24"/>
                <w:highlight w:val="none"/>
              </w:rPr>
            </w:pPr>
          </w:p>
        </w:tc>
        <w:tc>
          <w:tcPr>
            <w:tcW w:w="844" w:type="pct"/>
            <w:noWrap w:val="0"/>
            <w:vAlign w:val="top"/>
          </w:tcPr>
          <w:p w14:paraId="4D5F33D1">
            <w:pPr>
              <w:tabs>
                <w:tab w:val="left" w:pos="5580"/>
              </w:tabs>
              <w:jc w:val="center"/>
              <w:rPr>
                <w:rFonts w:hint="eastAsia" w:ascii="宋体" w:hAnsi="宋体" w:eastAsia="宋体" w:cs="宋体"/>
                <w:color w:val="auto"/>
                <w:sz w:val="24"/>
                <w:highlight w:val="none"/>
              </w:rPr>
            </w:pPr>
          </w:p>
        </w:tc>
      </w:tr>
      <w:tr w14:paraId="1A069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7" w:hRule="atLeast"/>
          <w:jc w:val="center"/>
        </w:trPr>
        <w:tc>
          <w:tcPr>
            <w:tcW w:w="1170" w:type="pct"/>
            <w:gridSpan w:val="2"/>
            <w:noWrap w:val="0"/>
            <w:vAlign w:val="center"/>
          </w:tcPr>
          <w:p w14:paraId="3BF65180">
            <w:pPr>
              <w:tabs>
                <w:tab w:val="left" w:pos="5580"/>
              </w:tabs>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其他说明</w:t>
            </w:r>
          </w:p>
        </w:tc>
        <w:tc>
          <w:tcPr>
            <w:tcW w:w="3830" w:type="pct"/>
            <w:gridSpan w:val="4"/>
            <w:noWrap w:val="0"/>
            <w:vAlign w:val="center"/>
          </w:tcPr>
          <w:p w14:paraId="3361271E">
            <w:pPr>
              <w:tabs>
                <w:tab w:val="left" w:pos="5580"/>
              </w:tabs>
              <w:jc w:val="center"/>
              <w:rPr>
                <w:rFonts w:hint="eastAsia" w:ascii="宋体" w:hAnsi="宋体" w:eastAsia="宋体" w:cs="宋体"/>
                <w:color w:val="auto"/>
                <w:sz w:val="24"/>
                <w:highlight w:val="none"/>
              </w:rPr>
            </w:pPr>
          </w:p>
        </w:tc>
      </w:tr>
    </w:tbl>
    <w:p w14:paraId="0A03E7DA">
      <w:pPr>
        <w:autoSpaceDE w:val="0"/>
        <w:autoSpaceDN w:val="0"/>
        <w:adjustRightInd w:val="0"/>
        <w:jc w:val="left"/>
        <w:rPr>
          <w:rFonts w:hint="eastAsia" w:ascii="宋体" w:hAnsi="宋体" w:eastAsia="宋体" w:cs="宋体"/>
          <w:color w:val="auto"/>
          <w:kern w:val="0"/>
          <w:sz w:val="24"/>
          <w:highlight w:val="none"/>
        </w:rPr>
      </w:pPr>
    </w:p>
    <w:p w14:paraId="5F153C1C">
      <w:pPr>
        <w:autoSpaceDE w:val="0"/>
        <w:autoSpaceDN w:val="0"/>
        <w:adjustRightInd w:val="0"/>
        <w:spacing w:line="360" w:lineRule="auto"/>
        <w:jc w:val="left"/>
        <w:rPr>
          <w:rFonts w:hint="eastAsia" w:ascii="宋体" w:hAnsi="宋体" w:eastAsia="宋体" w:cs="宋体"/>
          <w:color w:val="auto"/>
          <w:sz w:val="24"/>
          <w:szCs w:val="20"/>
          <w:highlight w:val="none"/>
        </w:rPr>
      </w:pPr>
      <w:r>
        <w:rPr>
          <w:rFonts w:hint="eastAsia" w:ascii="宋体" w:hAnsi="宋体" w:eastAsia="宋体" w:cs="宋体"/>
          <w:color w:val="auto"/>
          <w:kern w:val="0"/>
          <w:sz w:val="24"/>
          <w:highlight w:val="none"/>
        </w:rPr>
        <w:t>注：1</w:t>
      </w:r>
      <w:r>
        <w:rPr>
          <w:rFonts w:hint="eastAsia" w:ascii="宋体" w:hAnsi="宋体" w:eastAsia="宋体" w:cs="宋体"/>
          <w:color w:val="auto"/>
          <w:sz w:val="24"/>
          <w:szCs w:val="20"/>
          <w:highlight w:val="none"/>
        </w:rPr>
        <w:t>.此表中，每包的报价应和《最后分项报价表》中的总价相一致。</w:t>
      </w:r>
    </w:p>
    <w:p w14:paraId="5F136B21">
      <w:pPr>
        <w:tabs>
          <w:tab w:val="left" w:pos="5580"/>
        </w:tabs>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2.本表必须按包分别填写。</w:t>
      </w:r>
    </w:p>
    <w:p w14:paraId="45720973">
      <w:pPr>
        <w:autoSpaceDE w:val="0"/>
        <w:autoSpaceDN w:val="0"/>
        <w:adjustRightInd w:val="0"/>
        <w:snapToGrid w:val="0"/>
        <w:spacing w:before="25" w:after="25" w:line="360" w:lineRule="auto"/>
        <w:rPr>
          <w:rFonts w:hint="eastAsia" w:ascii="宋体" w:hAnsi="宋体" w:eastAsia="宋体" w:cs="宋体"/>
          <w:color w:val="auto"/>
          <w:sz w:val="24"/>
          <w:highlight w:val="none"/>
          <w:lang w:val="zh-CN"/>
        </w:rPr>
      </w:pPr>
    </w:p>
    <w:p w14:paraId="2AEEEF9C">
      <w:pPr>
        <w:autoSpaceDE w:val="0"/>
        <w:autoSpaceDN w:val="0"/>
        <w:adjustRightInd w:val="0"/>
        <w:snapToGrid w:val="0"/>
        <w:spacing w:before="25" w:after="25"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w:t>
      </w:r>
    </w:p>
    <w:p w14:paraId="247A7F05">
      <w:pPr>
        <w:autoSpaceDE w:val="0"/>
        <w:autoSpaceDN w:val="0"/>
        <w:adjustRightInd w:val="0"/>
        <w:snapToGrid w:val="0"/>
        <w:spacing w:before="25" w:after="25"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供应商授权代表签字（或加盖供应商公章）</w:t>
      </w:r>
      <w:r>
        <w:rPr>
          <w:rFonts w:hint="eastAsia" w:ascii="宋体" w:hAnsi="宋体" w:eastAsia="宋体" w:cs="宋体"/>
          <w:color w:val="auto"/>
          <w:sz w:val="24"/>
          <w:highlight w:val="none"/>
          <w:lang w:val="zh-CN"/>
        </w:rPr>
        <w:t xml:space="preserve">：___________ </w:t>
      </w:r>
    </w:p>
    <w:p w14:paraId="3B7C31CE">
      <w:pPr>
        <w:widowControl/>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日期：____年____月____日   </w:t>
      </w:r>
    </w:p>
    <w:p w14:paraId="151EB1BB">
      <w:pPr>
        <w:widowControl/>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br w:type="page"/>
      </w:r>
    </w:p>
    <w:p w14:paraId="4BE4F0E0">
      <w:pPr>
        <w:tabs>
          <w:tab w:val="left" w:pos="360"/>
        </w:tabs>
        <w:snapToGrid w:val="0"/>
        <w:spacing w:line="360" w:lineRule="auto"/>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 xml:space="preserve">  最后分项报价表（实质性格式，磋商后提交）</w:t>
      </w:r>
    </w:p>
    <w:p w14:paraId="4A4766BB">
      <w:pPr>
        <w:tabs>
          <w:tab w:val="left" w:pos="360"/>
        </w:tabs>
        <w:snapToGrid w:val="0"/>
        <w:spacing w:line="360" w:lineRule="auto"/>
        <w:outlineLvl w:val="1"/>
        <w:rPr>
          <w:rFonts w:hint="eastAsia" w:ascii="宋体" w:hAnsi="宋体" w:eastAsia="宋体" w:cs="宋体"/>
          <w:color w:val="auto"/>
          <w:sz w:val="24"/>
          <w:highlight w:val="none"/>
        </w:rPr>
      </w:pPr>
    </w:p>
    <w:p w14:paraId="6BBE6BCF">
      <w:pPr>
        <w:tabs>
          <w:tab w:val="left" w:pos="360"/>
        </w:tabs>
        <w:snapToGrid w:val="0"/>
        <w:spacing w:line="360" w:lineRule="auto"/>
        <w:outlineLvl w:val="1"/>
        <w:rPr>
          <w:rFonts w:hint="eastAsia" w:ascii="宋体" w:hAnsi="宋体" w:eastAsia="宋体" w:cs="宋体"/>
          <w:color w:val="auto"/>
          <w:sz w:val="24"/>
          <w:highlight w:val="none"/>
        </w:rPr>
      </w:pPr>
    </w:p>
    <w:p w14:paraId="6066B2B6">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最后分项报价表</w:t>
      </w:r>
    </w:p>
    <w:p w14:paraId="20B7CAD1">
      <w:pPr>
        <w:spacing w:line="360" w:lineRule="exact"/>
        <w:jc w:val="center"/>
        <w:rPr>
          <w:rFonts w:hint="eastAsia" w:ascii="宋体" w:hAnsi="宋体" w:eastAsia="宋体" w:cs="宋体"/>
          <w:color w:val="auto"/>
          <w:sz w:val="36"/>
          <w:szCs w:val="36"/>
          <w:highlight w:val="none"/>
        </w:rPr>
      </w:pPr>
    </w:p>
    <w:p w14:paraId="667BA06D">
      <w:pPr>
        <w:spacing w:line="260" w:lineRule="exact"/>
        <w:jc w:val="center"/>
        <w:rPr>
          <w:rFonts w:hint="eastAsia" w:ascii="宋体" w:hAnsi="宋体" w:eastAsia="宋体" w:cs="宋体"/>
          <w:color w:val="auto"/>
          <w:sz w:val="36"/>
          <w:szCs w:val="36"/>
          <w:highlight w:val="none"/>
        </w:rPr>
      </w:pPr>
    </w:p>
    <w:p w14:paraId="1C191B7C">
      <w:pPr>
        <w:tabs>
          <w:tab w:val="left" w:pos="1800"/>
          <w:tab w:val="left" w:pos="5580"/>
        </w:tabs>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项目编号/包号：_________ 项目名称：_________报价单位：人民币元</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2129"/>
        <w:gridCol w:w="1447"/>
        <w:gridCol w:w="1447"/>
        <w:gridCol w:w="1449"/>
        <w:gridCol w:w="1939"/>
      </w:tblGrid>
      <w:tr w14:paraId="1A3A6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472" w:type="pct"/>
            <w:noWrap w:val="0"/>
            <w:vAlign w:val="center"/>
          </w:tcPr>
          <w:p w14:paraId="4C8E24BA">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146" w:type="pct"/>
            <w:noWrap w:val="0"/>
            <w:vAlign w:val="center"/>
          </w:tcPr>
          <w:p w14:paraId="0316F01C">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分项名称</w:t>
            </w:r>
          </w:p>
        </w:tc>
        <w:tc>
          <w:tcPr>
            <w:tcW w:w="779" w:type="pct"/>
            <w:noWrap w:val="0"/>
            <w:vAlign w:val="center"/>
          </w:tcPr>
          <w:p w14:paraId="6813C655">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779" w:type="pct"/>
            <w:noWrap w:val="0"/>
            <w:vAlign w:val="center"/>
          </w:tcPr>
          <w:p w14:paraId="4D747667">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服务期</w:t>
            </w:r>
          </w:p>
        </w:tc>
        <w:tc>
          <w:tcPr>
            <w:tcW w:w="780" w:type="pct"/>
            <w:noWrap w:val="0"/>
            <w:vAlign w:val="center"/>
          </w:tcPr>
          <w:p w14:paraId="2233866E">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单价</w:t>
            </w:r>
          </w:p>
          <w:p w14:paraId="0E9904D9">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（元/月）</w:t>
            </w:r>
          </w:p>
        </w:tc>
        <w:tc>
          <w:tcPr>
            <w:tcW w:w="1044" w:type="pct"/>
            <w:noWrap w:val="0"/>
            <w:vAlign w:val="center"/>
          </w:tcPr>
          <w:p w14:paraId="58E3F1CA">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合计（元）</w:t>
            </w:r>
          </w:p>
        </w:tc>
      </w:tr>
      <w:tr w14:paraId="26758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72" w:type="pct"/>
            <w:noWrap w:val="0"/>
            <w:vAlign w:val="center"/>
          </w:tcPr>
          <w:p w14:paraId="794B67FC">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146" w:type="pct"/>
            <w:noWrap w:val="0"/>
            <w:vAlign w:val="center"/>
          </w:tcPr>
          <w:p w14:paraId="36F1E663">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c>
          <w:tcPr>
            <w:tcW w:w="779" w:type="pct"/>
            <w:noWrap w:val="0"/>
            <w:vAlign w:val="center"/>
          </w:tcPr>
          <w:p w14:paraId="3CEBD872">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c>
          <w:tcPr>
            <w:tcW w:w="779" w:type="pct"/>
            <w:vMerge w:val="restart"/>
            <w:noWrap w:val="0"/>
            <w:vAlign w:val="center"/>
          </w:tcPr>
          <w:p w14:paraId="3FBD6D48">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12个月</w:t>
            </w:r>
          </w:p>
        </w:tc>
        <w:tc>
          <w:tcPr>
            <w:tcW w:w="780" w:type="pct"/>
            <w:noWrap w:val="0"/>
            <w:vAlign w:val="center"/>
          </w:tcPr>
          <w:p w14:paraId="5A4C2CA9">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c>
          <w:tcPr>
            <w:tcW w:w="1044" w:type="pct"/>
            <w:noWrap w:val="0"/>
            <w:vAlign w:val="center"/>
          </w:tcPr>
          <w:p w14:paraId="71A7195E">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r>
      <w:tr w14:paraId="0DC54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72" w:type="pct"/>
            <w:noWrap w:val="0"/>
            <w:vAlign w:val="center"/>
          </w:tcPr>
          <w:p w14:paraId="4822BAA8">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146" w:type="pct"/>
            <w:noWrap w:val="0"/>
            <w:vAlign w:val="center"/>
          </w:tcPr>
          <w:p w14:paraId="49C67C89">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c>
          <w:tcPr>
            <w:tcW w:w="779" w:type="pct"/>
            <w:noWrap w:val="0"/>
            <w:vAlign w:val="center"/>
          </w:tcPr>
          <w:p w14:paraId="2FA0EF5B">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c>
          <w:tcPr>
            <w:tcW w:w="779" w:type="pct"/>
            <w:vMerge w:val="continue"/>
            <w:noWrap w:val="0"/>
            <w:vAlign w:val="center"/>
          </w:tcPr>
          <w:p w14:paraId="2C34F213">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c>
          <w:tcPr>
            <w:tcW w:w="780" w:type="pct"/>
            <w:noWrap w:val="0"/>
            <w:vAlign w:val="center"/>
          </w:tcPr>
          <w:p w14:paraId="3F239934">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c>
          <w:tcPr>
            <w:tcW w:w="1044" w:type="pct"/>
            <w:noWrap w:val="0"/>
            <w:vAlign w:val="center"/>
          </w:tcPr>
          <w:p w14:paraId="318F3FA9">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r>
      <w:tr w14:paraId="79A6F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72" w:type="pct"/>
            <w:noWrap w:val="0"/>
            <w:vAlign w:val="center"/>
          </w:tcPr>
          <w:p w14:paraId="6B078809">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146" w:type="pct"/>
            <w:noWrap w:val="0"/>
            <w:vAlign w:val="center"/>
          </w:tcPr>
          <w:p w14:paraId="6A3EEAD8">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c>
          <w:tcPr>
            <w:tcW w:w="779" w:type="pct"/>
            <w:noWrap w:val="0"/>
            <w:vAlign w:val="center"/>
          </w:tcPr>
          <w:p w14:paraId="331F3A0A">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c>
          <w:tcPr>
            <w:tcW w:w="779" w:type="pct"/>
            <w:vMerge w:val="continue"/>
            <w:noWrap w:val="0"/>
            <w:vAlign w:val="center"/>
          </w:tcPr>
          <w:p w14:paraId="55A81347">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c>
          <w:tcPr>
            <w:tcW w:w="780" w:type="pct"/>
            <w:noWrap w:val="0"/>
            <w:vAlign w:val="center"/>
          </w:tcPr>
          <w:p w14:paraId="6660592F">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c>
          <w:tcPr>
            <w:tcW w:w="1044" w:type="pct"/>
            <w:noWrap w:val="0"/>
            <w:vAlign w:val="center"/>
          </w:tcPr>
          <w:p w14:paraId="2AAE4D4B">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r>
      <w:tr w14:paraId="0B4AF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72" w:type="pct"/>
            <w:noWrap w:val="0"/>
            <w:vAlign w:val="center"/>
          </w:tcPr>
          <w:p w14:paraId="22E96AC4">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146" w:type="pct"/>
            <w:noWrap w:val="0"/>
            <w:vAlign w:val="center"/>
          </w:tcPr>
          <w:p w14:paraId="68D3A706">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c>
          <w:tcPr>
            <w:tcW w:w="779" w:type="pct"/>
            <w:noWrap w:val="0"/>
            <w:vAlign w:val="center"/>
          </w:tcPr>
          <w:p w14:paraId="36E9D3C0">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c>
          <w:tcPr>
            <w:tcW w:w="779" w:type="pct"/>
            <w:vMerge w:val="continue"/>
            <w:noWrap w:val="0"/>
            <w:vAlign w:val="center"/>
          </w:tcPr>
          <w:p w14:paraId="3B69BFD4">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c>
          <w:tcPr>
            <w:tcW w:w="780" w:type="pct"/>
            <w:noWrap w:val="0"/>
            <w:vAlign w:val="center"/>
          </w:tcPr>
          <w:p w14:paraId="4E8953A9">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c>
          <w:tcPr>
            <w:tcW w:w="1044" w:type="pct"/>
            <w:noWrap w:val="0"/>
            <w:vAlign w:val="center"/>
          </w:tcPr>
          <w:p w14:paraId="705162B9">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r>
      <w:tr w14:paraId="341E9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72" w:type="pct"/>
            <w:noWrap w:val="0"/>
            <w:vAlign w:val="center"/>
          </w:tcPr>
          <w:p w14:paraId="35A05A0C">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146" w:type="pct"/>
            <w:noWrap w:val="0"/>
            <w:vAlign w:val="center"/>
          </w:tcPr>
          <w:p w14:paraId="68A0BBD5">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c>
          <w:tcPr>
            <w:tcW w:w="779" w:type="pct"/>
            <w:noWrap w:val="0"/>
            <w:vAlign w:val="center"/>
          </w:tcPr>
          <w:p w14:paraId="3B156BA9">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c>
          <w:tcPr>
            <w:tcW w:w="779" w:type="pct"/>
            <w:vMerge w:val="continue"/>
            <w:noWrap w:val="0"/>
            <w:vAlign w:val="center"/>
          </w:tcPr>
          <w:p w14:paraId="59D3CECA">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c>
          <w:tcPr>
            <w:tcW w:w="780" w:type="pct"/>
            <w:noWrap w:val="0"/>
            <w:vAlign w:val="center"/>
          </w:tcPr>
          <w:p w14:paraId="26855319">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c>
          <w:tcPr>
            <w:tcW w:w="1044" w:type="pct"/>
            <w:noWrap w:val="0"/>
            <w:vAlign w:val="center"/>
          </w:tcPr>
          <w:p w14:paraId="731DCD13">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r>
      <w:tr w14:paraId="092E5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72" w:type="pct"/>
            <w:noWrap w:val="0"/>
            <w:vAlign w:val="center"/>
          </w:tcPr>
          <w:p w14:paraId="74DFF6CD">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146" w:type="pct"/>
            <w:noWrap w:val="0"/>
            <w:vAlign w:val="center"/>
          </w:tcPr>
          <w:p w14:paraId="0137308F">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c>
          <w:tcPr>
            <w:tcW w:w="779" w:type="pct"/>
            <w:noWrap w:val="0"/>
            <w:vAlign w:val="center"/>
          </w:tcPr>
          <w:p w14:paraId="6E148491">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c>
          <w:tcPr>
            <w:tcW w:w="779" w:type="pct"/>
            <w:vMerge w:val="continue"/>
            <w:noWrap w:val="0"/>
            <w:vAlign w:val="center"/>
          </w:tcPr>
          <w:p w14:paraId="121437C9">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c>
          <w:tcPr>
            <w:tcW w:w="780" w:type="pct"/>
            <w:noWrap w:val="0"/>
            <w:vAlign w:val="center"/>
          </w:tcPr>
          <w:p w14:paraId="506486D2">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c>
          <w:tcPr>
            <w:tcW w:w="1044" w:type="pct"/>
            <w:noWrap w:val="0"/>
            <w:vAlign w:val="center"/>
          </w:tcPr>
          <w:p w14:paraId="593C4CE7">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r>
      <w:tr w14:paraId="27B57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72" w:type="pct"/>
            <w:noWrap w:val="0"/>
            <w:vAlign w:val="center"/>
          </w:tcPr>
          <w:p w14:paraId="2DD99E55">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146" w:type="pct"/>
            <w:noWrap w:val="0"/>
            <w:vAlign w:val="center"/>
          </w:tcPr>
          <w:p w14:paraId="671C7B10">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c>
          <w:tcPr>
            <w:tcW w:w="779" w:type="pct"/>
            <w:noWrap w:val="0"/>
            <w:vAlign w:val="center"/>
          </w:tcPr>
          <w:p w14:paraId="183DB0DF">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c>
          <w:tcPr>
            <w:tcW w:w="779" w:type="pct"/>
            <w:vMerge w:val="continue"/>
            <w:noWrap w:val="0"/>
            <w:vAlign w:val="center"/>
          </w:tcPr>
          <w:p w14:paraId="31AA1101">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c>
          <w:tcPr>
            <w:tcW w:w="780" w:type="pct"/>
            <w:noWrap w:val="0"/>
            <w:vAlign w:val="center"/>
          </w:tcPr>
          <w:p w14:paraId="4E558013">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c>
          <w:tcPr>
            <w:tcW w:w="1044" w:type="pct"/>
            <w:noWrap w:val="0"/>
            <w:vAlign w:val="center"/>
          </w:tcPr>
          <w:p w14:paraId="22F42588">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r>
      <w:tr w14:paraId="25136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3956" w:type="pct"/>
            <w:gridSpan w:val="5"/>
            <w:noWrap w:val="0"/>
            <w:vAlign w:val="center"/>
          </w:tcPr>
          <w:p w14:paraId="31ECFFF2">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应答总价（元）</w:t>
            </w:r>
          </w:p>
        </w:tc>
        <w:tc>
          <w:tcPr>
            <w:tcW w:w="1044" w:type="pct"/>
            <w:noWrap w:val="0"/>
            <w:vAlign w:val="center"/>
          </w:tcPr>
          <w:p w14:paraId="2316DCBC">
            <w:pPr>
              <w:autoSpaceDE w:val="0"/>
              <w:autoSpaceDN w:val="0"/>
              <w:snapToGrid w:val="0"/>
              <w:spacing w:line="440" w:lineRule="exact"/>
              <w:ind w:right="-6"/>
              <w:jc w:val="center"/>
              <w:textAlignment w:val="bottom"/>
              <w:rPr>
                <w:rFonts w:hint="eastAsia" w:ascii="宋体" w:hAnsi="宋体" w:eastAsia="宋体" w:cs="宋体"/>
                <w:color w:val="auto"/>
                <w:sz w:val="24"/>
                <w:highlight w:val="none"/>
              </w:rPr>
            </w:pPr>
          </w:p>
        </w:tc>
      </w:tr>
    </w:tbl>
    <w:p w14:paraId="6502AF79">
      <w:pPr>
        <w:tabs>
          <w:tab w:val="left" w:pos="1800"/>
          <w:tab w:val="left" w:pos="5580"/>
        </w:tabs>
        <w:jc w:val="left"/>
        <w:rPr>
          <w:rFonts w:hint="eastAsia" w:ascii="宋体" w:hAnsi="宋体" w:eastAsia="宋体" w:cs="宋体"/>
          <w:color w:val="auto"/>
          <w:sz w:val="24"/>
          <w:highlight w:val="none"/>
        </w:rPr>
      </w:pPr>
    </w:p>
    <w:p w14:paraId="46F4B5A4">
      <w:pPr>
        <w:tabs>
          <w:tab w:val="left" w:pos="1800"/>
          <w:tab w:val="left" w:pos="5580"/>
        </w:tabs>
        <w:snapToGrid w:val="0"/>
        <w:spacing w:line="360" w:lineRule="auto"/>
        <w:jc w:val="left"/>
        <w:rPr>
          <w:rFonts w:hint="eastAsia" w:ascii="宋体" w:hAnsi="宋体" w:eastAsia="宋体" w:cs="宋体"/>
          <w:color w:val="auto"/>
          <w:sz w:val="24"/>
          <w:highlight w:val="none"/>
        </w:rPr>
      </w:pPr>
    </w:p>
    <w:p w14:paraId="323341B6">
      <w:pPr>
        <w:tabs>
          <w:tab w:val="left" w:pos="1800"/>
          <w:tab w:val="left" w:pos="5580"/>
        </w:tabs>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注：1.本表应按包分别填写。</w:t>
      </w:r>
    </w:p>
    <w:p w14:paraId="12517B0F">
      <w:pPr>
        <w:tabs>
          <w:tab w:val="left" w:pos="1800"/>
          <w:tab w:val="left" w:pos="5580"/>
        </w:tabs>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2.如果不提供分项报价将视为没有实质性响应竞争性磋商文件。</w:t>
      </w:r>
    </w:p>
    <w:p w14:paraId="516B138B">
      <w:pPr>
        <w:tabs>
          <w:tab w:val="left" w:pos="1800"/>
          <w:tab w:val="left" w:pos="5580"/>
        </w:tabs>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3.上述各项的详细规格（如有），可另页描述。</w:t>
      </w:r>
    </w:p>
    <w:p w14:paraId="07AF7AC1">
      <w:pPr>
        <w:autoSpaceDE w:val="0"/>
        <w:autoSpaceDN w:val="0"/>
        <w:adjustRightInd w:val="0"/>
        <w:snapToGrid w:val="0"/>
        <w:spacing w:line="360" w:lineRule="auto"/>
        <w:rPr>
          <w:rFonts w:hint="eastAsia" w:ascii="宋体" w:hAnsi="宋体" w:eastAsia="宋体" w:cs="宋体"/>
          <w:color w:val="auto"/>
          <w:sz w:val="24"/>
          <w:highlight w:val="none"/>
          <w:lang w:val="zh-CN"/>
        </w:rPr>
      </w:pPr>
    </w:p>
    <w:p w14:paraId="67154564">
      <w:pPr>
        <w:autoSpaceDE w:val="0"/>
        <w:autoSpaceDN w:val="0"/>
        <w:adjustRightInd w:val="0"/>
        <w:snapToGrid w:val="0"/>
        <w:spacing w:before="25" w:after="25" w:line="360" w:lineRule="auto"/>
        <w:rPr>
          <w:rFonts w:hint="eastAsia" w:ascii="宋体" w:hAnsi="宋体" w:eastAsia="宋体" w:cs="宋体"/>
          <w:color w:val="auto"/>
          <w:sz w:val="24"/>
          <w:highlight w:val="none"/>
          <w:lang w:val="zh-CN"/>
        </w:rPr>
      </w:pPr>
    </w:p>
    <w:p w14:paraId="3F331DF5">
      <w:pPr>
        <w:autoSpaceDE w:val="0"/>
        <w:autoSpaceDN w:val="0"/>
        <w:adjustRightInd w:val="0"/>
        <w:snapToGrid w:val="0"/>
        <w:spacing w:before="25" w:after="25" w:line="360" w:lineRule="auto"/>
        <w:rPr>
          <w:rFonts w:hint="eastAsia" w:ascii="宋体" w:hAnsi="宋体" w:eastAsia="宋体" w:cs="宋体"/>
          <w:color w:val="auto"/>
          <w:sz w:val="24"/>
          <w:highlight w:val="none"/>
          <w:lang w:val="zh-CN"/>
        </w:rPr>
      </w:pPr>
      <w:r>
        <w:rPr>
          <w:rFonts w:hint="eastAsia" w:ascii="宋体" w:hAnsi="宋体" w:eastAsia="宋体" w:cs="宋体"/>
          <w:color w:val="auto"/>
          <w:kern w:val="0"/>
          <w:sz w:val="24"/>
          <w:highlight w:val="none"/>
        </w:rPr>
        <w:t>供应商授权代表签字（或加盖供应商公章）</w:t>
      </w:r>
      <w:r>
        <w:rPr>
          <w:rFonts w:hint="eastAsia" w:ascii="宋体" w:hAnsi="宋体" w:eastAsia="宋体" w:cs="宋体"/>
          <w:color w:val="auto"/>
          <w:sz w:val="24"/>
          <w:highlight w:val="none"/>
          <w:lang w:val="zh-CN"/>
        </w:rPr>
        <w:t xml:space="preserve">：____________ </w:t>
      </w:r>
    </w:p>
    <w:p w14:paraId="4BA786CC">
      <w:pPr>
        <w:autoSpaceDE w:val="0"/>
        <w:autoSpaceDN w:val="0"/>
        <w:adjustRightInd w:val="0"/>
        <w:snapToGrid w:val="0"/>
        <w:spacing w:before="25" w:after="25"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szCs w:val="20"/>
          <w:highlight w:val="none"/>
        </w:rPr>
        <w:t xml:space="preserve">日期：____年____月____日   </w:t>
      </w:r>
    </w:p>
    <w:p w14:paraId="2B5AA489">
      <w:pPr>
        <w:widowControl/>
        <w:jc w:val="left"/>
        <w:rPr>
          <w:rFonts w:hint="eastAsia" w:ascii="宋体" w:hAnsi="宋体" w:eastAsia="宋体" w:cs="宋体"/>
          <w:color w:val="auto"/>
          <w:sz w:val="24"/>
          <w:highlight w:val="none"/>
        </w:rPr>
      </w:pPr>
    </w:p>
    <w:sectPr>
      <w:pgSz w:w="11905" w:h="16838"/>
      <w:pgMar w:top="1417" w:right="1417" w:bottom="1417" w:left="1417" w:header="851" w:footer="992" w:gutter="0"/>
      <w:pgNumType w:fmt="decimal"/>
      <w:cols w:space="0" w:num="1"/>
      <w:rtlGutter w:val="0"/>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9178F">
    <w:pPr>
      <w:pStyle w:val="29"/>
      <w:jc w:val="center"/>
      <w:rPr>
        <w:rFonts w:asci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23866">
    <w:pPr>
      <w:pStyle w:val="29"/>
      <w:framePr w:wrap="around" w:vAnchor="text" w:hAnchor="margin" w:xAlign="center" w:y="1"/>
      <w:rPr>
        <w:rStyle w:val="49"/>
      </w:rPr>
    </w:pPr>
    <w:r>
      <w:fldChar w:fldCharType="begin"/>
    </w:r>
    <w:r>
      <w:rPr>
        <w:rStyle w:val="49"/>
      </w:rPr>
      <w:instrText xml:space="preserve">PAGE  </w:instrText>
    </w:r>
    <w:r>
      <w:fldChar w:fldCharType="end"/>
    </w:r>
  </w:p>
  <w:p w14:paraId="72F30096">
    <w:pPr>
      <w:pStyle w:val="2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230ED">
    <w:pPr>
      <w:pStyle w:val="2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5A185">
    <w:pPr>
      <w:pStyle w:val="29"/>
      <w:rPr>
        <w:rFonts w:ascii="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5BD301">
                          <w:pPr>
                            <w:pStyle w:val="2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5BD301">
                    <w:pPr>
                      <w:pStyle w:val="29"/>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5CF83">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86E3C">
    <w:pPr>
      <w:pStyle w:val="30"/>
      <w:jc w:val="right"/>
    </w:pPr>
    <w:r>
      <w:rPr>
        <w:rFonts w:hint="eastAsia"/>
      </w:rPr>
      <w:t xml:space="preserve">北京市政府采购项目竞争性磋商文件示范文本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BA53E">
    <w:pPr>
      <w:pStyle w:val="30"/>
      <w:pBdr>
        <w:bottom w:val="single" w:color="auto" w:sz="4" w:space="1"/>
      </w:pBdr>
      <w:jc w:val="right"/>
    </w:pPr>
    <w:r>
      <w:rPr>
        <w:rFonts w:hint="eastAsia"/>
      </w:rPr>
      <w:t>北京市政府采购项目竞争性磋商文件示范文本</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5FA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44CED"/>
    <w:multiLevelType w:val="singleLevel"/>
    <w:tmpl w:val="94144CED"/>
    <w:lvl w:ilvl="0" w:tentative="0">
      <w:start w:val="1"/>
      <w:numFmt w:val="decimal"/>
      <w:suff w:val="space"/>
      <w:lvlText w:val="%1."/>
      <w:lvlJc w:val="left"/>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89"/>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64"/>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34"/>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83"/>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2"/>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19"/>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18"/>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27"/>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40"/>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3"/>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21"/>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tentative="0">
      <w:start w:val="1"/>
      <w:numFmt w:val="decimal"/>
      <w:pStyle w:val="88"/>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E230849"/>
    <w:multiLevelType w:val="multilevel"/>
    <w:tmpl w:val="0E230849"/>
    <w:lvl w:ilvl="0" w:tentative="0">
      <w:start w:val="1"/>
      <w:numFmt w:val="decimal"/>
      <w:pStyle w:val="192"/>
      <w:lvlText w:val="%1"/>
      <w:lvlJc w:val="left"/>
      <w:pPr>
        <w:ind w:left="680" w:hanging="680"/>
      </w:pPr>
      <w:rPr>
        <w:rFonts w:hint="eastAsia" w:ascii="宋体" w:hAnsi="宋体" w:eastAsia="宋体"/>
      </w:rPr>
    </w:lvl>
    <w:lvl w:ilvl="1" w:tentative="0">
      <w:start w:val="1"/>
      <w:numFmt w:val="decimal"/>
      <w:pStyle w:val="193"/>
      <w:lvlText w:val="%1.%2"/>
      <w:lvlJc w:val="left"/>
      <w:pPr>
        <w:ind w:left="851" w:hanging="851"/>
      </w:pPr>
      <w:rPr>
        <w:rFonts w:hint="eastAsia" w:ascii="宋体" w:hAnsi="宋体" w:eastAsia="宋体"/>
        <w:color w:val="auto"/>
      </w:rPr>
    </w:lvl>
    <w:lvl w:ilvl="2" w:tentative="0">
      <w:start w:val="1"/>
      <w:numFmt w:val="decimal"/>
      <w:pStyle w:val="194"/>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0">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1261F887"/>
    <w:multiLevelType w:val="singleLevel"/>
    <w:tmpl w:val="1261F887"/>
    <w:lvl w:ilvl="0" w:tentative="0">
      <w:start w:val="5"/>
      <w:numFmt w:val="chineseCounting"/>
      <w:suff w:val="space"/>
      <w:lvlText w:val="第%1章"/>
      <w:lvlJc w:val="left"/>
      <w:rPr>
        <w:rFonts w:hint="eastAsia"/>
      </w:rPr>
    </w:lvl>
  </w:abstractNum>
  <w:abstractNum w:abstractNumId="12">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17F75485"/>
    <w:multiLevelType w:val="singleLevel"/>
    <w:tmpl w:val="17F75485"/>
    <w:lvl w:ilvl="0" w:tentative="0">
      <w:start w:val="1"/>
      <w:numFmt w:val="decimal"/>
      <w:suff w:val="space"/>
      <w:lvlText w:val="（%1）"/>
      <w:lvlJc w:val="left"/>
    </w:lvl>
  </w:abstractNum>
  <w:abstractNum w:abstractNumId="15">
    <w:nsid w:val="24FB95F8"/>
    <w:multiLevelType w:val="singleLevel"/>
    <w:tmpl w:val="24FB95F8"/>
    <w:lvl w:ilvl="0" w:tentative="0">
      <w:start w:val="1"/>
      <w:numFmt w:val="bullet"/>
      <w:pStyle w:val="17"/>
      <w:lvlText w:val=""/>
      <w:lvlJc w:val="left"/>
      <w:pPr>
        <w:tabs>
          <w:tab w:val="left" w:pos="1200"/>
        </w:tabs>
        <w:ind w:left="1200" w:hanging="360"/>
      </w:pPr>
      <w:rPr>
        <w:rFonts w:hint="default" w:ascii="Wingdings" w:hAnsi="Wingdings"/>
      </w:rPr>
    </w:lvl>
  </w:abstractNum>
  <w:abstractNum w:abstractNumId="16">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15"/>
  </w:num>
  <w:num w:numId="2">
    <w:abstractNumId w:val="5"/>
  </w:num>
  <w:num w:numId="3">
    <w:abstractNumId w:val="8"/>
  </w:num>
  <w:num w:numId="4">
    <w:abstractNumId w:val="2"/>
  </w:num>
  <w:num w:numId="5">
    <w:abstractNumId w:val="6"/>
  </w:num>
  <w:num w:numId="6">
    <w:abstractNumId w:val="4"/>
  </w:num>
  <w:num w:numId="7">
    <w:abstractNumId w:val="3"/>
  </w:num>
  <w:num w:numId="8">
    <w:abstractNumId w:val="9"/>
  </w:num>
  <w:num w:numId="9">
    <w:abstractNumId w:val="7"/>
  </w:num>
  <w:num w:numId="10">
    <w:abstractNumId w:val="13"/>
  </w:num>
  <w:num w:numId="11">
    <w:abstractNumId w:val="1"/>
  </w:num>
  <w:num w:numId="12">
    <w:abstractNumId w:val="10"/>
  </w:num>
  <w:num w:numId="13">
    <w:abstractNumId w:val="12"/>
  </w:num>
  <w:num w:numId="14">
    <w:abstractNumId w:val="0"/>
  </w:num>
  <w:num w:numId="15">
    <w:abstractNumId w:val="14"/>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ZDM1MmE2YmE5Y2EzNTFlMTE2M2MyMDU0MzZjYTVmNDM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5BE"/>
    <w:rsid w:val="00001711"/>
    <w:rsid w:val="000017F6"/>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380"/>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C6"/>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373"/>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3"/>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9F"/>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08E"/>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3DE"/>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37"/>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64"/>
    <w:rsid w:val="00074780"/>
    <w:rsid w:val="00074786"/>
    <w:rsid w:val="00074C28"/>
    <w:rsid w:val="00074D7A"/>
    <w:rsid w:val="00074E0A"/>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8B"/>
    <w:rsid w:val="000801CC"/>
    <w:rsid w:val="00080289"/>
    <w:rsid w:val="00080443"/>
    <w:rsid w:val="000805BC"/>
    <w:rsid w:val="00080608"/>
    <w:rsid w:val="00080982"/>
    <w:rsid w:val="000809DF"/>
    <w:rsid w:val="00080C51"/>
    <w:rsid w:val="00080F0F"/>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8C7"/>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7DD"/>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BD0"/>
    <w:rsid w:val="000C003D"/>
    <w:rsid w:val="000C074E"/>
    <w:rsid w:val="000C0D9E"/>
    <w:rsid w:val="000C1275"/>
    <w:rsid w:val="000C15B8"/>
    <w:rsid w:val="000C1698"/>
    <w:rsid w:val="000C1890"/>
    <w:rsid w:val="000C196B"/>
    <w:rsid w:val="000C1AB9"/>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4B"/>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6F6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5F"/>
    <w:rsid w:val="000E57D3"/>
    <w:rsid w:val="000E60DC"/>
    <w:rsid w:val="000E62CE"/>
    <w:rsid w:val="000E62D4"/>
    <w:rsid w:val="000E62F5"/>
    <w:rsid w:val="000E6382"/>
    <w:rsid w:val="000E6393"/>
    <w:rsid w:val="000E678B"/>
    <w:rsid w:val="000E6A44"/>
    <w:rsid w:val="000E6EA3"/>
    <w:rsid w:val="000E7152"/>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B99"/>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5CCA"/>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182"/>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B14"/>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93"/>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59A8"/>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966"/>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13B"/>
    <w:rsid w:val="001662E6"/>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58A"/>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4D9F"/>
    <w:rsid w:val="001B504D"/>
    <w:rsid w:val="001B5307"/>
    <w:rsid w:val="001B539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8B9"/>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C8D"/>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7D"/>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0D1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7FF"/>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569"/>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60A"/>
    <w:rsid w:val="00246812"/>
    <w:rsid w:val="002469F5"/>
    <w:rsid w:val="00246BC6"/>
    <w:rsid w:val="00246C6D"/>
    <w:rsid w:val="00246D51"/>
    <w:rsid w:val="00246E3E"/>
    <w:rsid w:val="00246FBC"/>
    <w:rsid w:val="0024701C"/>
    <w:rsid w:val="0024706D"/>
    <w:rsid w:val="00247A52"/>
    <w:rsid w:val="00247C47"/>
    <w:rsid w:val="00247CBF"/>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9A8"/>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DE9"/>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347"/>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69"/>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1FE9"/>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A81"/>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10"/>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2ED8"/>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D1"/>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E0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6F"/>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50C"/>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823"/>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555"/>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19"/>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72"/>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98D"/>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000"/>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464"/>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3F0"/>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552"/>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3D6"/>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3CB"/>
    <w:rsid w:val="0040667F"/>
    <w:rsid w:val="004066DC"/>
    <w:rsid w:val="004067F2"/>
    <w:rsid w:val="004068D6"/>
    <w:rsid w:val="00406AC6"/>
    <w:rsid w:val="00406C82"/>
    <w:rsid w:val="00406D6D"/>
    <w:rsid w:val="00406DB3"/>
    <w:rsid w:val="00406E11"/>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04"/>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2C4"/>
    <w:rsid w:val="00417323"/>
    <w:rsid w:val="0041744C"/>
    <w:rsid w:val="0041748D"/>
    <w:rsid w:val="004178B4"/>
    <w:rsid w:val="00417A97"/>
    <w:rsid w:val="00417CB1"/>
    <w:rsid w:val="00417E6C"/>
    <w:rsid w:val="00417F67"/>
    <w:rsid w:val="004201A9"/>
    <w:rsid w:val="0042033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7E2"/>
    <w:rsid w:val="00421BFB"/>
    <w:rsid w:val="00421D59"/>
    <w:rsid w:val="00421EB3"/>
    <w:rsid w:val="00422424"/>
    <w:rsid w:val="004226C2"/>
    <w:rsid w:val="004226E7"/>
    <w:rsid w:val="0042273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21"/>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9AB"/>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6A1"/>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BB3"/>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DB7"/>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25"/>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802"/>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0D3"/>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76F"/>
    <w:rsid w:val="004A786A"/>
    <w:rsid w:val="004A78F8"/>
    <w:rsid w:val="004B00A9"/>
    <w:rsid w:val="004B0420"/>
    <w:rsid w:val="004B0461"/>
    <w:rsid w:val="004B0495"/>
    <w:rsid w:val="004B0575"/>
    <w:rsid w:val="004B07E2"/>
    <w:rsid w:val="004B08FE"/>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0F6"/>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547"/>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C7E70"/>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9CC"/>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0DE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664"/>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9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52C"/>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0CD"/>
    <w:rsid w:val="00575315"/>
    <w:rsid w:val="00575378"/>
    <w:rsid w:val="005754EE"/>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0"/>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07"/>
    <w:rsid w:val="005A6AD0"/>
    <w:rsid w:val="005A6D88"/>
    <w:rsid w:val="005A6DC0"/>
    <w:rsid w:val="005A6EC5"/>
    <w:rsid w:val="005A6FAD"/>
    <w:rsid w:val="005A7050"/>
    <w:rsid w:val="005A7369"/>
    <w:rsid w:val="005A7536"/>
    <w:rsid w:val="005A7D06"/>
    <w:rsid w:val="005A7E7E"/>
    <w:rsid w:val="005A7F16"/>
    <w:rsid w:val="005A7F50"/>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6E6C"/>
    <w:rsid w:val="005B7074"/>
    <w:rsid w:val="005B71B7"/>
    <w:rsid w:val="005B7328"/>
    <w:rsid w:val="005B752A"/>
    <w:rsid w:val="005B752E"/>
    <w:rsid w:val="005B7BBC"/>
    <w:rsid w:val="005C0398"/>
    <w:rsid w:val="005C04CD"/>
    <w:rsid w:val="005C08D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20D"/>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646"/>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4E4"/>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3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EAF"/>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6E0C"/>
    <w:rsid w:val="006174C4"/>
    <w:rsid w:val="00617613"/>
    <w:rsid w:val="0061776F"/>
    <w:rsid w:val="006179DD"/>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94"/>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670"/>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47D"/>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6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0B6"/>
    <w:rsid w:val="00670209"/>
    <w:rsid w:val="006702F1"/>
    <w:rsid w:val="00670413"/>
    <w:rsid w:val="00670456"/>
    <w:rsid w:val="00670815"/>
    <w:rsid w:val="0067085A"/>
    <w:rsid w:val="006708B6"/>
    <w:rsid w:val="00670B0F"/>
    <w:rsid w:val="00670B37"/>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8CD"/>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2BF"/>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295"/>
    <w:rsid w:val="006B7548"/>
    <w:rsid w:val="006B7AB6"/>
    <w:rsid w:val="006B7B20"/>
    <w:rsid w:val="006B7CB2"/>
    <w:rsid w:val="006B7DFB"/>
    <w:rsid w:val="006B7FA1"/>
    <w:rsid w:val="006C000D"/>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7D7"/>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75A"/>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4D5"/>
    <w:rsid w:val="006E056A"/>
    <w:rsid w:val="006E05F2"/>
    <w:rsid w:val="006E080B"/>
    <w:rsid w:val="006E0ABA"/>
    <w:rsid w:val="006E0AFE"/>
    <w:rsid w:val="006E0BE7"/>
    <w:rsid w:val="006E0C33"/>
    <w:rsid w:val="006E0CD0"/>
    <w:rsid w:val="006E0D88"/>
    <w:rsid w:val="006E0DDD"/>
    <w:rsid w:val="006E0E66"/>
    <w:rsid w:val="006E0F8E"/>
    <w:rsid w:val="006E10FC"/>
    <w:rsid w:val="006E111A"/>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E7D21"/>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067"/>
    <w:rsid w:val="00712139"/>
    <w:rsid w:val="007123E6"/>
    <w:rsid w:val="00712646"/>
    <w:rsid w:val="0071286D"/>
    <w:rsid w:val="00712958"/>
    <w:rsid w:val="00712B26"/>
    <w:rsid w:val="00712C92"/>
    <w:rsid w:val="00712D21"/>
    <w:rsid w:val="00712ECA"/>
    <w:rsid w:val="00712EDE"/>
    <w:rsid w:val="00713063"/>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5F8"/>
    <w:rsid w:val="00721725"/>
    <w:rsid w:val="00721779"/>
    <w:rsid w:val="00721C43"/>
    <w:rsid w:val="00721C65"/>
    <w:rsid w:val="00721F04"/>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053"/>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1F5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25F"/>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3F"/>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5D6"/>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43C"/>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ADC"/>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60"/>
    <w:rsid w:val="007C40FE"/>
    <w:rsid w:val="007C41F3"/>
    <w:rsid w:val="007C4266"/>
    <w:rsid w:val="007C42BB"/>
    <w:rsid w:val="007C4628"/>
    <w:rsid w:val="007C4654"/>
    <w:rsid w:val="007C4864"/>
    <w:rsid w:val="007C49D2"/>
    <w:rsid w:val="007C49F7"/>
    <w:rsid w:val="007C4C6E"/>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4E"/>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857"/>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5EDF"/>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1E5"/>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501"/>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6ED"/>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05"/>
    <w:rsid w:val="00856445"/>
    <w:rsid w:val="008564A8"/>
    <w:rsid w:val="00856753"/>
    <w:rsid w:val="008568E5"/>
    <w:rsid w:val="00856A89"/>
    <w:rsid w:val="0085742E"/>
    <w:rsid w:val="00857749"/>
    <w:rsid w:val="00857882"/>
    <w:rsid w:val="00857889"/>
    <w:rsid w:val="0085793E"/>
    <w:rsid w:val="00857AF5"/>
    <w:rsid w:val="00857F5E"/>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838"/>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85"/>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BFB"/>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B3A"/>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A3C"/>
    <w:rsid w:val="00894BC7"/>
    <w:rsid w:val="00894DF2"/>
    <w:rsid w:val="00895094"/>
    <w:rsid w:val="00895161"/>
    <w:rsid w:val="0089520B"/>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BA"/>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6EA"/>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652"/>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19D"/>
    <w:rsid w:val="008E3292"/>
    <w:rsid w:val="008E3B5B"/>
    <w:rsid w:val="008E3C89"/>
    <w:rsid w:val="008E3CA1"/>
    <w:rsid w:val="008E3CEB"/>
    <w:rsid w:val="008E3CF9"/>
    <w:rsid w:val="008E3D68"/>
    <w:rsid w:val="008E4046"/>
    <w:rsid w:val="008E41CA"/>
    <w:rsid w:val="008E4234"/>
    <w:rsid w:val="008E4363"/>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49E2"/>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1DF"/>
    <w:rsid w:val="00910647"/>
    <w:rsid w:val="0091081D"/>
    <w:rsid w:val="00910933"/>
    <w:rsid w:val="00910B75"/>
    <w:rsid w:val="00910CD7"/>
    <w:rsid w:val="00910D1F"/>
    <w:rsid w:val="00910D9D"/>
    <w:rsid w:val="00910E48"/>
    <w:rsid w:val="00910EB3"/>
    <w:rsid w:val="00910ECD"/>
    <w:rsid w:val="00910F42"/>
    <w:rsid w:val="009114CB"/>
    <w:rsid w:val="009115D8"/>
    <w:rsid w:val="0091171A"/>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2E8F"/>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17DC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707"/>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15A"/>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5A"/>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10D"/>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2D2"/>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515"/>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AA"/>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58A"/>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AEC"/>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4B8"/>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298"/>
    <w:rsid w:val="009E2533"/>
    <w:rsid w:val="009E25AA"/>
    <w:rsid w:val="009E267A"/>
    <w:rsid w:val="009E2709"/>
    <w:rsid w:val="009E271E"/>
    <w:rsid w:val="009E28FB"/>
    <w:rsid w:val="009E302B"/>
    <w:rsid w:val="009E3533"/>
    <w:rsid w:val="009E398D"/>
    <w:rsid w:val="009E39AA"/>
    <w:rsid w:val="009E4A6A"/>
    <w:rsid w:val="009E4F39"/>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96"/>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918"/>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2B"/>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2CE"/>
    <w:rsid w:val="00A334A2"/>
    <w:rsid w:val="00A3368C"/>
    <w:rsid w:val="00A33866"/>
    <w:rsid w:val="00A339E7"/>
    <w:rsid w:val="00A340AA"/>
    <w:rsid w:val="00A341B5"/>
    <w:rsid w:val="00A341DB"/>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813"/>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09"/>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699"/>
    <w:rsid w:val="00A77784"/>
    <w:rsid w:val="00A77807"/>
    <w:rsid w:val="00A7789A"/>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C7"/>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1FE"/>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6EC"/>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7ED"/>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57"/>
    <w:rsid w:val="00AB3B93"/>
    <w:rsid w:val="00AB3CB9"/>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377"/>
    <w:rsid w:val="00AD53D6"/>
    <w:rsid w:val="00AD5813"/>
    <w:rsid w:val="00AD59EB"/>
    <w:rsid w:val="00AD5A0B"/>
    <w:rsid w:val="00AD5A3D"/>
    <w:rsid w:val="00AD5AE7"/>
    <w:rsid w:val="00AD5BCC"/>
    <w:rsid w:val="00AD5BFF"/>
    <w:rsid w:val="00AD5C59"/>
    <w:rsid w:val="00AD5DD1"/>
    <w:rsid w:val="00AD600F"/>
    <w:rsid w:val="00AD60BB"/>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B7E"/>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874"/>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28"/>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544"/>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2E72"/>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0F0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BD7"/>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A80"/>
    <w:rsid w:val="00BA5CD2"/>
    <w:rsid w:val="00BA5CF4"/>
    <w:rsid w:val="00BA5DA3"/>
    <w:rsid w:val="00BA5E0C"/>
    <w:rsid w:val="00BA5E19"/>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4CB"/>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0E"/>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B74"/>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288"/>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92"/>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455"/>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05"/>
    <w:rsid w:val="00C20D4D"/>
    <w:rsid w:val="00C2107D"/>
    <w:rsid w:val="00C2123D"/>
    <w:rsid w:val="00C21334"/>
    <w:rsid w:val="00C213B8"/>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1E81"/>
    <w:rsid w:val="00C52044"/>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963"/>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54"/>
    <w:rsid w:val="00C813CD"/>
    <w:rsid w:val="00C81487"/>
    <w:rsid w:val="00C81B85"/>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4FB"/>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96"/>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81E"/>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A5C"/>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C8"/>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C9C"/>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72D"/>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41"/>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ADB"/>
    <w:rsid w:val="00D50E0F"/>
    <w:rsid w:val="00D50E2C"/>
    <w:rsid w:val="00D50F79"/>
    <w:rsid w:val="00D510E8"/>
    <w:rsid w:val="00D512E5"/>
    <w:rsid w:val="00D513FC"/>
    <w:rsid w:val="00D514FF"/>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33"/>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4BE0"/>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DA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1C"/>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6C5"/>
    <w:rsid w:val="00D96872"/>
    <w:rsid w:val="00D968CE"/>
    <w:rsid w:val="00D96956"/>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E5E"/>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12"/>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0E4"/>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8A0"/>
    <w:rsid w:val="00DF3BA0"/>
    <w:rsid w:val="00DF3BB3"/>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4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6F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6D90"/>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71E"/>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9A6"/>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8AD"/>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62"/>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B0"/>
    <w:rsid w:val="00E740BE"/>
    <w:rsid w:val="00E741AD"/>
    <w:rsid w:val="00E7426C"/>
    <w:rsid w:val="00E74287"/>
    <w:rsid w:val="00E743DB"/>
    <w:rsid w:val="00E744A0"/>
    <w:rsid w:val="00E74679"/>
    <w:rsid w:val="00E74A61"/>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8DB"/>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A8"/>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4C9"/>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97"/>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DE2"/>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74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5F6B"/>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873"/>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4F5B"/>
    <w:rsid w:val="00ED5054"/>
    <w:rsid w:val="00ED527B"/>
    <w:rsid w:val="00ED531F"/>
    <w:rsid w:val="00ED5489"/>
    <w:rsid w:val="00ED5619"/>
    <w:rsid w:val="00ED58A4"/>
    <w:rsid w:val="00ED5955"/>
    <w:rsid w:val="00ED5B77"/>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8F4"/>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BBB"/>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6EA"/>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DCF"/>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329"/>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848"/>
    <w:rsid w:val="00F4691E"/>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C"/>
    <w:rsid w:val="00F50D1E"/>
    <w:rsid w:val="00F5116C"/>
    <w:rsid w:val="00F513CD"/>
    <w:rsid w:val="00F515D2"/>
    <w:rsid w:val="00F51915"/>
    <w:rsid w:val="00F51B80"/>
    <w:rsid w:val="00F51B96"/>
    <w:rsid w:val="00F524C4"/>
    <w:rsid w:val="00F52537"/>
    <w:rsid w:val="00F5286F"/>
    <w:rsid w:val="00F528A3"/>
    <w:rsid w:val="00F52A68"/>
    <w:rsid w:val="00F52BE5"/>
    <w:rsid w:val="00F52C61"/>
    <w:rsid w:val="00F52F59"/>
    <w:rsid w:val="00F530A7"/>
    <w:rsid w:val="00F530DE"/>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2BB1"/>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B72"/>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A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C2D"/>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340"/>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01C"/>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2E"/>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2F45D94"/>
    <w:rsid w:val="03026371"/>
    <w:rsid w:val="033637A0"/>
    <w:rsid w:val="03637DDD"/>
    <w:rsid w:val="03BD5AE4"/>
    <w:rsid w:val="03C03826"/>
    <w:rsid w:val="03E80687"/>
    <w:rsid w:val="03ED3BD7"/>
    <w:rsid w:val="041B280B"/>
    <w:rsid w:val="043438CC"/>
    <w:rsid w:val="048E122E"/>
    <w:rsid w:val="057912E3"/>
    <w:rsid w:val="05D0240B"/>
    <w:rsid w:val="064B033D"/>
    <w:rsid w:val="068154EF"/>
    <w:rsid w:val="06CF18F3"/>
    <w:rsid w:val="070D6D82"/>
    <w:rsid w:val="08234207"/>
    <w:rsid w:val="082371A9"/>
    <w:rsid w:val="0832330F"/>
    <w:rsid w:val="08626C5A"/>
    <w:rsid w:val="089F2497"/>
    <w:rsid w:val="08AF6010"/>
    <w:rsid w:val="090203FB"/>
    <w:rsid w:val="093A3733"/>
    <w:rsid w:val="095073FA"/>
    <w:rsid w:val="0A173A74"/>
    <w:rsid w:val="0A8C3E5D"/>
    <w:rsid w:val="0AA82CA6"/>
    <w:rsid w:val="0AFB5144"/>
    <w:rsid w:val="0B626F71"/>
    <w:rsid w:val="0B660C1A"/>
    <w:rsid w:val="0B773172"/>
    <w:rsid w:val="0B9D4307"/>
    <w:rsid w:val="0BA53A2D"/>
    <w:rsid w:val="0BC67500"/>
    <w:rsid w:val="0BD7795F"/>
    <w:rsid w:val="0CF923C9"/>
    <w:rsid w:val="0D501777"/>
    <w:rsid w:val="0D545BC9"/>
    <w:rsid w:val="0E161E3C"/>
    <w:rsid w:val="0F291509"/>
    <w:rsid w:val="0FC95811"/>
    <w:rsid w:val="1003075B"/>
    <w:rsid w:val="10065010"/>
    <w:rsid w:val="11A92A77"/>
    <w:rsid w:val="12174F59"/>
    <w:rsid w:val="12192A7F"/>
    <w:rsid w:val="12B85BF8"/>
    <w:rsid w:val="12C40371"/>
    <w:rsid w:val="12EF558E"/>
    <w:rsid w:val="12F9465F"/>
    <w:rsid w:val="13123D81"/>
    <w:rsid w:val="132C164E"/>
    <w:rsid w:val="134E3A30"/>
    <w:rsid w:val="13C82A71"/>
    <w:rsid w:val="141D4C32"/>
    <w:rsid w:val="143C0EC8"/>
    <w:rsid w:val="14AF1479"/>
    <w:rsid w:val="15196BA0"/>
    <w:rsid w:val="15387745"/>
    <w:rsid w:val="154B6DD4"/>
    <w:rsid w:val="15791B3C"/>
    <w:rsid w:val="15AA5734"/>
    <w:rsid w:val="15AD5BBC"/>
    <w:rsid w:val="15B66837"/>
    <w:rsid w:val="166952DD"/>
    <w:rsid w:val="16A06327"/>
    <w:rsid w:val="16A6065A"/>
    <w:rsid w:val="16AD2CCA"/>
    <w:rsid w:val="16E77900"/>
    <w:rsid w:val="17E62E44"/>
    <w:rsid w:val="17ED2E58"/>
    <w:rsid w:val="17F93E0B"/>
    <w:rsid w:val="187B331E"/>
    <w:rsid w:val="18C66D91"/>
    <w:rsid w:val="1948655A"/>
    <w:rsid w:val="19762F09"/>
    <w:rsid w:val="19A1157D"/>
    <w:rsid w:val="19A76BC3"/>
    <w:rsid w:val="19AC5F87"/>
    <w:rsid w:val="19AF1F1B"/>
    <w:rsid w:val="19C332D1"/>
    <w:rsid w:val="19D76D7C"/>
    <w:rsid w:val="1A477154"/>
    <w:rsid w:val="1A8B64E4"/>
    <w:rsid w:val="1ACD17CF"/>
    <w:rsid w:val="1B220F4D"/>
    <w:rsid w:val="1B63726D"/>
    <w:rsid w:val="1BC20B26"/>
    <w:rsid w:val="1BD21EF1"/>
    <w:rsid w:val="1BD417C5"/>
    <w:rsid w:val="1C455CA5"/>
    <w:rsid w:val="1C7204D2"/>
    <w:rsid w:val="1CD77D61"/>
    <w:rsid w:val="1D216277"/>
    <w:rsid w:val="1D2C69D2"/>
    <w:rsid w:val="1D42214F"/>
    <w:rsid w:val="1D951428"/>
    <w:rsid w:val="1DBB6AE0"/>
    <w:rsid w:val="1DCA0A85"/>
    <w:rsid w:val="1E177329"/>
    <w:rsid w:val="1F0C372C"/>
    <w:rsid w:val="1F8851D5"/>
    <w:rsid w:val="1FA63478"/>
    <w:rsid w:val="1FE3090C"/>
    <w:rsid w:val="204131A1"/>
    <w:rsid w:val="2080016D"/>
    <w:rsid w:val="20F052F3"/>
    <w:rsid w:val="211014F1"/>
    <w:rsid w:val="215B0293"/>
    <w:rsid w:val="217A7387"/>
    <w:rsid w:val="21D9313C"/>
    <w:rsid w:val="230E1A60"/>
    <w:rsid w:val="231921B3"/>
    <w:rsid w:val="233A4603"/>
    <w:rsid w:val="235F68CB"/>
    <w:rsid w:val="239461F4"/>
    <w:rsid w:val="239E00B4"/>
    <w:rsid w:val="251E74A4"/>
    <w:rsid w:val="252D5547"/>
    <w:rsid w:val="257A162F"/>
    <w:rsid w:val="25826736"/>
    <w:rsid w:val="26393C28"/>
    <w:rsid w:val="266471EC"/>
    <w:rsid w:val="26E56F7C"/>
    <w:rsid w:val="2729330D"/>
    <w:rsid w:val="27843CE5"/>
    <w:rsid w:val="28442310"/>
    <w:rsid w:val="28490F4D"/>
    <w:rsid w:val="287B193C"/>
    <w:rsid w:val="28A866A8"/>
    <w:rsid w:val="28D40CAE"/>
    <w:rsid w:val="29BC4181"/>
    <w:rsid w:val="29D84B76"/>
    <w:rsid w:val="29E452C9"/>
    <w:rsid w:val="29EB0D41"/>
    <w:rsid w:val="29EF0612"/>
    <w:rsid w:val="2A2E11DD"/>
    <w:rsid w:val="2AFA15B7"/>
    <w:rsid w:val="2B7F139D"/>
    <w:rsid w:val="2BDD4D36"/>
    <w:rsid w:val="2BFD6B16"/>
    <w:rsid w:val="2C501F79"/>
    <w:rsid w:val="2C503F74"/>
    <w:rsid w:val="2CBF3DCB"/>
    <w:rsid w:val="2CED3B90"/>
    <w:rsid w:val="2D115CD8"/>
    <w:rsid w:val="2D3E0384"/>
    <w:rsid w:val="2D594220"/>
    <w:rsid w:val="2DAD5552"/>
    <w:rsid w:val="2EFB22EA"/>
    <w:rsid w:val="2F637D6C"/>
    <w:rsid w:val="2F920AE8"/>
    <w:rsid w:val="2FBC215A"/>
    <w:rsid w:val="2FC85F7C"/>
    <w:rsid w:val="301C38BE"/>
    <w:rsid w:val="302575AD"/>
    <w:rsid w:val="30A532D8"/>
    <w:rsid w:val="30BF439A"/>
    <w:rsid w:val="312D4A00"/>
    <w:rsid w:val="31EA0594"/>
    <w:rsid w:val="31F3626B"/>
    <w:rsid w:val="32005C8B"/>
    <w:rsid w:val="32491E47"/>
    <w:rsid w:val="32BF657F"/>
    <w:rsid w:val="32C22D14"/>
    <w:rsid w:val="32EB653A"/>
    <w:rsid w:val="33E31076"/>
    <w:rsid w:val="34353AC9"/>
    <w:rsid w:val="34D128EE"/>
    <w:rsid w:val="34E47041"/>
    <w:rsid w:val="356A6AEB"/>
    <w:rsid w:val="363012F9"/>
    <w:rsid w:val="364C3FBF"/>
    <w:rsid w:val="367479D5"/>
    <w:rsid w:val="36EC3A0F"/>
    <w:rsid w:val="37016D1F"/>
    <w:rsid w:val="37154C29"/>
    <w:rsid w:val="37252DD0"/>
    <w:rsid w:val="37F07ABB"/>
    <w:rsid w:val="37F30C75"/>
    <w:rsid w:val="38437E4B"/>
    <w:rsid w:val="38465395"/>
    <w:rsid w:val="38EB6E2C"/>
    <w:rsid w:val="39904B26"/>
    <w:rsid w:val="39CB0253"/>
    <w:rsid w:val="39DA5780"/>
    <w:rsid w:val="3A564BC1"/>
    <w:rsid w:val="3AAA1C17"/>
    <w:rsid w:val="3AC87054"/>
    <w:rsid w:val="3BAB0B58"/>
    <w:rsid w:val="3BCB6780"/>
    <w:rsid w:val="3BEB0B8B"/>
    <w:rsid w:val="3C1732DC"/>
    <w:rsid w:val="3CC716C9"/>
    <w:rsid w:val="3D291AA6"/>
    <w:rsid w:val="3D5861BB"/>
    <w:rsid w:val="3EA67BAB"/>
    <w:rsid w:val="3EC82FB3"/>
    <w:rsid w:val="3F09326A"/>
    <w:rsid w:val="3F4A11E3"/>
    <w:rsid w:val="3FD339BE"/>
    <w:rsid w:val="3FD4516C"/>
    <w:rsid w:val="40490124"/>
    <w:rsid w:val="40703903"/>
    <w:rsid w:val="407F3B46"/>
    <w:rsid w:val="4101511E"/>
    <w:rsid w:val="410C34B0"/>
    <w:rsid w:val="41A05B22"/>
    <w:rsid w:val="423073DF"/>
    <w:rsid w:val="42342C8C"/>
    <w:rsid w:val="42805085"/>
    <w:rsid w:val="42C341BE"/>
    <w:rsid w:val="42CD0A98"/>
    <w:rsid w:val="42F20738"/>
    <w:rsid w:val="43075D28"/>
    <w:rsid w:val="431A0C09"/>
    <w:rsid w:val="450D2A5F"/>
    <w:rsid w:val="451510EF"/>
    <w:rsid w:val="45A53050"/>
    <w:rsid w:val="4672380C"/>
    <w:rsid w:val="46C87C29"/>
    <w:rsid w:val="46F753EA"/>
    <w:rsid w:val="470165F2"/>
    <w:rsid w:val="475E04A3"/>
    <w:rsid w:val="47C85858"/>
    <w:rsid w:val="480E2158"/>
    <w:rsid w:val="48DC6188"/>
    <w:rsid w:val="49335181"/>
    <w:rsid w:val="495B7189"/>
    <w:rsid w:val="49705EA0"/>
    <w:rsid w:val="4A183041"/>
    <w:rsid w:val="4AD4683C"/>
    <w:rsid w:val="4AD827D0"/>
    <w:rsid w:val="4AE056DF"/>
    <w:rsid w:val="4AEB2504"/>
    <w:rsid w:val="4B326892"/>
    <w:rsid w:val="4B65373A"/>
    <w:rsid w:val="4B6742AB"/>
    <w:rsid w:val="4BF70A34"/>
    <w:rsid w:val="4C3103EA"/>
    <w:rsid w:val="4D00163A"/>
    <w:rsid w:val="4D1B622D"/>
    <w:rsid w:val="4DC87F16"/>
    <w:rsid w:val="4E5E0AA9"/>
    <w:rsid w:val="4F0F5BE3"/>
    <w:rsid w:val="4F23387B"/>
    <w:rsid w:val="4F344DD0"/>
    <w:rsid w:val="4F493C9D"/>
    <w:rsid w:val="4F566F59"/>
    <w:rsid w:val="4F866CF7"/>
    <w:rsid w:val="4FCB2904"/>
    <w:rsid w:val="50884351"/>
    <w:rsid w:val="50CF6163"/>
    <w:rsid w:val="50D02A16"/>
    <w:rsid w:val="510E1399"/>
    <w:rsid w:val="51554B40"/>
    <w:rsid w:val="515B3813"/>
    <w:rsid w:val="51695F30"/>
    <w:rsid w:val="517C60EC"/>
    <w:rsid w:val="519E6366"/>
    <w:rsid w:val="51E46FDF"/>
    <w:rsid w:val="5209059C"/>
    <w:rsid w:val="52224331"/>
    <w:rsid w:val="52407951"/>
    <w:rsid w:val="52422029"/>
    <w:rsid w:val="5251037B"/>
    <w:rsid w:val="52F7332D"/>
    <w:rsid w:val="53764934"/>
    <w:rsid w:val="55040901"/>
    <w:rsid w:val="555869E7"/>
    <w:rsid w:val="55E734AB"/>
    <w:rsid w:val="55F1262A"/>
    <w:rsid w:val="567201CB"/>
    <w:rsid w:val="56A45C5C"/>
    <w:rsid w:val="56CE5400"/>
    <w:rsid w:val="56D57BC4"/>
    <w:rsid w:val="56DA3C56"/>
    <w:rsid w:val="56DB78D0"/>
    <w:rsid w:val="56DF05DE"/>
    <w:rsid w:val="57027EC6"/>
    <w:rsid w:val="57611A44"/>
    <w:rsid w:val="57B125FD"/>
    <w:rsid w:val="57CC7313"/>
    <w:rsid w:val="57D52DF4"/>
    <w:rsid w:val="57FC6189"/>
    <w:rsid w:val="58111502"/>
    <w:rsid w:val="583C439E"/>
    <w:rsid w:val="58991EFF"/>
    <w:rsid w:val="58D36385"/>
    <w:rsid w:val="591744C4"/>
    <w:rsid w:val="59656E0C"/>
    <w:rsid w:val="59F35CB1"/>
    <w:rsid w:val="5A4C63EF"/>
    <w:rsid w:val="5A504F51"/>
    <w:rsid w:val="5A845B89"/>
    <w:rsid w:val="5A8B3831"/>
    <w:rsid w:val="5A8B5169"/>
    <w:rsid w:val="5A9304C2"/>
    <w:rsid w:val="5B2F37DE"/>
    <w:rsid w:val="5B615967"/>
    <w:rsid w:val="5C392E41"/>
    <w:rsid w:val="5C515F3F"/>
    <w:rsid w:val="5D2B5B8E"/>
    <w:rsid w:val="5D9E0075"/>
    <w:rsid w:val="5E0A45F7"/>
    <w:rsid w:val="5E5B12F6"/>
    <w:rsid w:val="5F073306"/>
    <w:rsid w:val="5F313E05"/>
    <w:rsid w:val="5F5F73B9"/>
    <w:rsid w:val="5F6B7639"/>
    <w:rsid w:val="5FFE0EA9"/>
    <w:rsid w:val="6045400C"/>
    <w:rsid w:val="60492B10"/>
    <w:rsid w:val="605D0B2A"/>
    <w:rsid w:val="607707D3"/>
    <w:rsid w:val="60A32C99"/>
    <w:rsid w:val="60C74713"/>
    <w:rsid w:val="60D220F5"/>
    <w:rsid w:val="61525325"/>
    <w:rsid w:val="61B939F8"/>
    <w:rsid w:val="62314857"/>
    <w:rsid w:val="62873E1E"/>
    <w:rsid w:val="62F00F4C"/>
    <w:rsid w:val="635440A4"/>
    <w:rsid w:val="63A92B04"/>
    <w:rsid w:val="63F147E5"/>
    <w:rsid w:val="640C599C"/>
    <w:rsid w:val="640F6E0B"/>
    <w:rsid w:val="649D326C"/>
    <w:rsid w:val="64A85F96"/>
    <w:rsid w:val="65AC2438"/>
    <w:rsid w:val="66630E10"/>
    <w:rsid w:val="66B73A04"/>
    <w:rsid w:val="677A0F2D"/>
    <w:rsid w:val="679172CE"/>
    <w:rsid w:val="6803630B"/>
    <w:rsid w:val="6838144E"/>
    <w:rsid w:val="683C3F47"/>
    <w:rsid w:val="68537956"/>
    <w:rsid w:val="68A5554E"/>
    <w:rsid w:val="68AA7398"/>
    <w:rsid w:val="68E53567"/>
    <w:rsid w:val="69766FE4"/>
    <w:rsid w:val="69C845BD"/>
    <w:rsid w:val="6A49150A"/>
    <w:rsid w:val="6A682080"/>
    <w:rsid w:val="6A9F619F"/>
    <w:rsid w:val="6AE508C6"/>
    <w:rsid w:val="6B2D5DC9"/>
    <w:rsid w:val="6B395F18"/>
    <w:rsid w:val="6B587CBB"/>
    <w:rsid w:val="6B764B8E"/>
    <w:rsid w:val="6BAB1497"/>
    <w:rsid w:val="6C4C728B"/>
    <w:rsid w:val="6C9F2F49"/>
    <w:rsid w:val="6D501557"/>
    <w:rsid w:val="6DC66B26"/>
    <w:rsid w:val="6DE54739"/>
    <w:rsid w:val="6E560F37"/>
    <w:rsid w:val="6E7E18D8"/>
    <w:rsid w:val="6E973139"/>
    <w:rsid w:val="6EDD6954"/>
    <w:rsid w:val="6EE167E4"/>
    <w:rsid w:val="6F056A26"/>
    <w:rsid w:val="6F8A1A3C"/>
    <w:rsid w:val="70D40DF0"/>
    <w:rsid w:val="70F21646"/>
    <w:rsid w:val="7146712D"/>
    <w:rsid w:val="71734C30"/>
    <w:rsid w:val="71B22B36"/>
    <w:rsid w:val="723F60DB"/>
    <w:rsid w:val="7355410F"/>
    <w:rsid w:val="73663A38"/>
    <w:rsid w:val="738C6B16"/>
    <w:rsid w:val="742C597A"/>
    <w:rsid w:val="74C63663"/>
    <w:rsid w:val="753C5586"/>
    <w:rsid w:val="755D72AA"/>
    <w:rsid w:val="758B3E18"/>
    <w:rsid w:val="759A04FF"/>
    <w:rsid w:val="75ED4AD2"/>
    <w:rsid w:val="762346DB"/>
    <w:rsid w:val="76FB65FD"/>
    <w:rsid w:val="77732652"/>
    <w:rsid w:val="783C636B"/>
    <w:rsid w:val="7860333A"/>
    <w:rsid w:val="78A83025"/>
    <w:rsid w:val="78B93018"/>
    <w:rsid w:val="78CA5A9C"/>
    <w:rsid w:val="794872DC"/>
    <w:rsid w:val="79C61E7E"/>
    <w:rsid w:val="7A3E22DC"/>
    <w:rsid w:val="7A874944"/>
    <w:rsid w:val="7AC51B7A"/>
    <w:rsid w:val="7BAD0F8C"/>
    <w:rsid w:val="7BEC255D"/>
    <w:rsid w:val="7CAC5EED"/>
    <w:rsid w:val="7D6479E0"/>
    <w:rsid w:val="7E430455"/>
    <w:rsid w:val="7EF92AEF"/>
    <w:rsid w:val="7F6323FD"/>
    <w:rsid w:val="7FB9547B"/>
    <w:rsid w:val="7FD94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0"/>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55"/>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2"/>
    <w:link w:val="56"/>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231"/>
    <w:autoRedefine/>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232"/>
    <w:autoRedefine/>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233"/>
    <w:autoRedefine/>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234"/>
    <w:autoRedefine/>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235"/>
    <w:autoRedefine/>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236"/>
    <w:autoRedefine/>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7">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link w:val="63"/>
    <w:autoRedefine/>
    <w:qFormat/>
    <w:uiPriority w:val="0"/>
    <w:pPr>
      <w:autoSpaceDE w:val="0"/>
      <w:autoSpaceDN w:val="0"/>
      <w:adjustRightInd w:val="0"/>
      <w:ind w:firstLine="420"/>
      <w:jc w:val="left"/>
    </w:pPr>
    <w:rPr>
      <w:rFonts w:ascii="宋体"/>
      <w:sz w:val="24"/>
    </w:rPr>
  </w:style>
  <w:style w:type="paragraph" w:styleId="12">
    <w:name w:val="toc 7"/>
    <w:basedOn w:val="1"/>
    <w:next w:val="1"/>
    <w:autoRedefine/>
    <w:qFormat/>
    <w:uiPriority w:val="0"/>
    <w:pPr>
      <w:ind w:left="2520" w:leftChars="1200"/>
    </w:pPr>
  </w:style>
  <w:style w:type="paragraph" w:styleId="13">
    <w:name w:val="caption"/>
    <w:basedOn w:val="1"/>
    <w:next w:val="1"/>
    <w:autoRedefine/>
    <w:qFormat/>
    <w:uiPriority w:val="0"/>
    <w:pPr>
      <w:spacing w:line="480" w:lineRule="auto"/>
    </w:pPr>
    <w:rPr>
      <w:rFonts w:ascii="华文中宋" w:hAnsi="华文中宋" w:eastAsia="华文中宋"/>
      <w:sz w:val="36"/>
      <w:szCs w:val="20"/>
    </w:rPr>
  </w:style>
  <w:style w:type="paragraph" w:styleId="14">
    <w:name w:val="Document Map"/>
    <w:basedOn w:val="1"/>
    <w:link w:val="237"/>
    <w:autoRedefine/>
    <w:qFormat/>
    <w:uiPriority w:val="0"/>
    <w:pPr>
      <w:shd w:val="clear" w:color="auto" w:fill="000080"/>
    </w:pPr>
  </w:style>
  <w:style w:type="paragraph" w:styleId="15">
    <w:name w:val="annotation text"/>
    <w:basedOn w:val="1"/>
    <w:link w:val="183"/>
    <w:autoRedefine/>
    <w:qFormat/>
    <w:uiPriority w:val="99"/>
    <w:pPr>
      <w:jc w:val="left"/>
    </w:pPr>
  </w:style>
  <w:style w:type="paragraph" w:styleId="16">
    <w:name w:val="Body Text 3"/>
    <w:basedOn w:val="1"/>
    <w:link w:val="238"/>
    <w:autoRedefine/>
    <w:qFormat/>
    <w:uiPriority w:val="0"/>
    <w:pPr>
      <w:spacing w:after="120"/>
    </w:pPr>
    <w:rPr>
      <w:sz w:val="16"/>
      <w:szCs w:val="16"/>
    </w:rPr>
  </w:style>
  <w:style w:type="paragraph" w:styleId="17">
    <w:name w:val="List Bullet 3"/>
    <w:basedOn w:val="1"/>
    <w:autoRedefine/>
    <w:qFormat/>
    <w:uiPriority w:val="0"/>
    <w:pPr>
      <w:numPr>
        <w:ilvl w:val="0"/>
        <w:numId w:val="1"/>
      </w:numPr>
    </w:pPr>
  </w:style>
  <w:style w:type="paragraph" w:styleId="18">
    <w:name w:val="Body Text"/>
    <w:basedOn w:val="1"/>
    <w:link w:val="239"/>
    <w:autoRedefine/>
    <w:qFormat/>
    <w:uiPriority w:val="0"/>
    <w:pPr>
      <w:tabs>
        <w:tab w:val="left" w:pos="567"/>
      </w:tabs>
      <w:spacing w:before="120" w:line="22" w:lineRule="atLeast"/>
    </w:pPr>
    <w:rPr>
      <w:rFonts w:ascii="宋体" w:hAnsi="宋体"/>
      <w:sz w:val="24"/>
    </w:rPr>
  </w:style>
  <w:style w:type="paragraph" w:styleId="19">
    <w:name w:val="Body Text Indent"/>
    <w:basedOn w:val="1"/>
    <w:link w:val="68"/>
    <w:autoRedefine/>
    <w:qFormat/>
    <w:uiPriority w:val="0"/>
    <w:pPr>
      <w:spacing w:line="360" w:lineRule="auto"/>
      <w:ind w:firstLine="570"/>
    </w:pPr>
    <w:rPr>
      <w:sz w:val="24"/>
    </w:rPr>
  </w:style>
  <w:style w:type="paragraph" w:styleId="20">
    <w:name w:val="List 2"/>
    <w:basedOn w:val="1"/>
    <w:autoRedefine/>
    <w:qFormat/>
    <w:uiPriority w:val="0"/>
    <w:pPr>
      <w:ind w:left="100" w:leftChars="200" w:hanging="200" w:hangingChars="200"/>
    </w:pPr>
  </w:style>
  <w:style w:type="paragraph" w:styleId="21">
    <w:name w:val="Block Text"/>
    <w:basedOn w:val="1"/>
    <w:autoRedefine/>
    <w:qFormat/>
    <w:uiPriority w:val="0"/>
    <w:pPr>
      <w:widowControl/>
      <w:ind w:left="480" w:right="-341" w:firstLine="513"/>
    </w:pPr>
    <w:rPr>
      <w:kern w:val="0"/>
      <w:sz w:val="24"/>
      <w:szCs w:val="20"/>
    </w:rPr>
  </w:style>
  <w:style w:type="paragraph" w:styleId="22">
    <w:name w:val="toc 5"/>
    <w:basedOn w:val="1"/>
    <w:next w:val="1"/>
    <w:autoRedefine/>
    <w:qFormat/>
    <w:uiPriority w:val="0"/>
    <w:pPr>
      <w:ind w:left="1680" w:leftChars="800"/>
    </w:pPr>
  </w:style>
  <w:style w:type="paragraph" w:styleId="23">
    <w:name w:val="toc 3"/>
    <w:basedOn w:val="1"/>
    <w:next w:val="1"/>
    <w:autoRedefine/>
    <w:qFormat/>
    <w:uiPriority w:val="39"/>
    <w:pPr>
      <w:ind w:left="840" w:leftChars="400"/>
    </w:pPr>
  </w:style>
  <w:style w:type="paragraph" w:styleId="24">
    <w:name w:val="Plain Text"/>
    <w:basedOn w:val="1"/>
    <w:link w:val="203"/>
    <w:autoRedefine/>
    <w:qFormat/>
    <w:uiPriority w:val="0"/>
    <w:rPr>
      <w:rFonts w:hint="eastAsia" w:ascii="宋体" w:hAnsi="Courier New"/>
      <w:szCs w:val="20"/>
    </w:rPr>
  </w:style>
  <w:style w:type="paragraph" w:styleId="25">
    <w:name w:val="toc 8"/>
    <w:basedOn w:val="1"/>
    <w:next w:val="1"/>
    <w:autoRedefine/>
    <w:qFormat/>
    <w:uiPriority w:val="0"/>
    <w:pPr>
      <w:ind w:left="2940" w:leftChars="1400"/>
    </w:pPr>
  </w:style>
  <w:style w:type="paragraph" w:styleId="26">
    <w:name w:val="Date"/>
    <w:basedOn w:val="1"/>
    <w:next w:val="1"/>
    <w:link w:val="240"/>
    <w:autoRedefine/>
    <w:qFormat/>
    <w:uiPriority w:val="0"/>
    <w:pPr>
      <w:ind w:left="100" w:leftChars="2500"/>
    </w:pPr>
    <w:rPr>
      <w:rFonts w:ascii="仿宋_GB2312" w:hAnsi="宋体" w:eastAsia="仿宋_GB2312"/>
      <w:color w:val="000000"/>
      <w:sz w:val="24"/>
    </w:rPr>
  </w:style>
  <w:style w:type="paragraph" w:styleId="27">
    <w:name w:val="Body Text Indent 2"/>
    <w:basedOn w:val="1"/>
    <w:link w:val="241"/>
    <w:autoRedefine/>
    <w:qFormat/>
    <w:uiPriority w:val="0"/>
    <w:pPr>
      <w:ind w:firstLine="480" w:firstLineChars="200"/>
    </w:pPr>
    <w:rPr>
      <w:rFonts w:ascii="仿宋_GB2312" w:eastAsia="仿宋_GB2312"/>
      <w:sz w:val="24"/>
    </w:rPr>
  </w:style>
  <w:style w:type="paragraph" w:styleId="28">
    <w:name w:val="Balloon Text"/>
    <w:basedOn w:val="1"/>
    <w:link w:val="242"/>
    <w:autoRedefine/>
    <w:qFormat/>
    <w:uiPriority w:val="0"/>
    <w:rPr>
      <w:sz w:val="18"/>
      <w:szCs w:val="18"/>
    </w:rPr>
  </w:style>
  <w:style w:type="paragraph" w:styleId="29">
    <w:name w:val="footer"/>
    <w:basedOn w:val="1"/>
    <w:next w:val="1"/>
    <w:link w:val="170"/>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7"/>
    <w:autoRedefine/>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autoRedefine/>
    <w:qFormat/>
    <w:uiPriority w:val="0"/>
    <w:pPr>
      <w:ind w:left="1260" w:leftChars="600"/>
    </w:pPr>
  </w:style>
  <w:style w:type="paragraph" w:styleId="33">
    <w:name w:val="footnote text"/>
    <w:basedOn w:val="1"/>
    <w:autoRedefine/>
    <w:qFormat/>
    <w:uiPriority w:val="0"/>
    <w:pPr>
      <w:snapToGrid w:val="0"/>
      <w:spacing w:line="360" w:lineRule="auto"/>
      <w:jc w:val="left"/>
    </w:pPr>
    <w:rPr>
      <w:kern w:val="0"/>
      <w:sz w:val="18"/>
      <w:szCs w:val="20"/>
    </w:rPr>
  </w:style>
  <w:style w:type="paragraph" w:styleId="34">
    <w:name w:val="toc 6"/>
    <w:basedOn w:val="1"/>
    <w:next w:val="1"/>
    <w:autoRedefine/>
    <w:qFormat/>
    <w:uiPriority w:val="0"/>
    <w:pPr>
      <w:ind w:left="2100" w:leftChars="1000"/>
    </w:pPr>
  </w:style>
  <w:style w:type="paragraph" w:styleId="35">
    <w:name w:val="Body Text Indent 3"/>
    <w:basedOn w:val="1"/>
    <w:link w:val="243"/>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toc 2"/>
    <w:basedOn w:val="1"/>
    <w:next w:val="1"/>
    <w:autoRedefine/>
    <w:qFormat/>
    <w:uiPriority w:val="39"/>
    <w:pPr>
      <w:tabs>
        <w:tab w:val="right" w:leader="dot" w:pos="8937"/>
      </w:tabs>
      <w:spacing w:line="312" w:lineRule="auto"/>
      <w:ind w:left="420" w:leftChars="200"/>
    </w:pPr>
  </w:style>
  <w:style w:type="paragraph" w:styleId="37">
    <w:name w:val="toc 9"/>
    <w:basedOn w:val="1"/>
    <w:next w:val="1"/>
    <w:autoRedefine/>
    <w:qFormat/>
    <w:uiPriority w:val="0"/>
    <w:pPr>
      <w:ind w:left="3360" w:leftChars="1600"/>
    </w:pPr>
  </w:style>
  <w:style w:type="paragraph" w:styleId="38">
    <w:name w:val="HTML Preformatted"/>
    <w:basedOn w:val="1"/>
    <w:link w:val="24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0">
    <w:name w:val="index 1"/>
    <w:basedOn w:val="1"/>
    <w:next w:val="1"/>
    <w:autoRedefine/>
    <w:qFormat/>
    <w:uiPriority w:val="0"/>
    <w:rPr>
      <w:szCs w:val="20"/>
    </w:rPr>
  </w:style>
  <w:style w:type="paragraph" w:styleId="41">
    <w:name w:val="Title"/>
    <w:basedOn w:val="1"/>
    <w:link w:val="189"/>
    <w:autoRedefine/>
    <w:qFormat/>
    <w:uiPriority w:val="0"/>
    <w:pPr>
      <w:jc w:val="center"/>
      <w:outlineLvl w:val="0"/>
    </w:pPr>
    <w:rPr>
      <w:b/>
      <w:sz w:val="32"/>
      <w:szCs w:val="20"/>
    </w:rPr>
  </w:style>
  <w:style w:type="paragraph" w:styleId="42">
    <w:name w:val="annotation subject"/>
    <w:basedOn w:val="15"/>
    <w:next w:val="15"/>
    <w:link w:val="245"/>
    <w:autoRedefine/>
    <w:qFormat/>
    <w:uiPriority w:val="0"/>
    <w:rPr>
      <w:b/>
      <w:bCs/>
    </w:rPr>
  </w:style>
  <w:style w:type="paragraph" w:styleId="43">
    <w:name w:val="Body Text First Indent 2"/>
    <w:basedOn w:val="19"/>
    <w:link w:val="246"/>
    <w:autoRedefine/>
    <w:qFormat/>
    <w:uiPriority w:val="0"/>
    <w:pPr>
      <w:spacing w:after="120" w:line="480" w:lineRule="exact"/>
      <w:ind w:left="420" w:leftChars="200" w:firstLine="420" w:firstLineChars="200"/>
    </w:pPr>
    <w:rPr>
      <w:szCs w:val="20"/>
    </w:rPr>
  </w:style>
  <w:style w:type="table" w:styleId="45">
    <w:name w:val="Table Grid"/>
    <w:basedOn w:val="44"/>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6">
    <w:name w:val="Medium Grid 1 Accent 2"/>
    <w:basedOn w:val="44"/>
    <w:autoRedefine/>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8">
    <w:name w:val="Strong"/>
    <w:autoRedefine/>
    <w:qFormat/>
    <w:uiPriority w:val="0"/>
    <w:rPr>
      <w:b/>
      <w:bCs/>
    </w:rPr>
  </w:style>
  <w:style w:type="character" w:styleId="49">
    <w:name w:val="page number"/>
    <w:basedOn w:val="47"/>
    <w:autoRedefine/>
    <w:qFormat/>
    <w:uiPriority w:val="0"/>
  </w:style>
  <w:style w:type="character" w:styleId="50">
    <w:name w:val="FollowedHyperlink"/>
    <w:autoRedefine/>
    <w:qFormat/>
    <w:uiPriority w:val="0"/>
    <w:rPr>
      <w:color w:val="800080"/>
      <w:u w:val="single"/>
    </w:rPr>
  </w:style>
  <w:style w:type="character" w:styleId="51">
    <w:name w:val="Emphasis"/>
    <w:autoRedefine/>
    <w:qFormat/>
    <w:uiPriority w:val="0"/>
    <w:rPr>
      <w:color w:val="CC0033"/>
    </w:rPr>
  </w:style>
  <w:style w:type="character" w:styleId="52">
    <w:name w:val="Hyperlink"/>
    <w:autoRedefine/>
    <w:qFormat/>
    <w:uiPriority w:val="99"/>
    <w:rPr>
      <w:color w:val="0000FF"/>
      <w:u w:val="single"/>
    </w:rPr>
  </w:style>
  <w:style w:type="character" w:styleId="53">
    <w:name w:val="annotation reference"/>
    <w:autoRedefine/>
    <w:qFormat/>
    <w:uiPriority w:val="99"/>
    <w:rPr>
      <w:sz w:val="21"/>
      <w:szCs w:val="21"/>
    </w:rPr>
  </w:style>
  <w:style w:type="character" w:styleId="54">
    <w:name w:val="HTML Cite"/>
    <w:autoRedefine/>
    <w:qFormat/>
    <w:uiPriority w:val="0"/>
    <w:rPr>
      <w:i/>
      <w:iCs/>
    </w:rPr>
  </w:style>
  <w:style w:type="character" w:customStyle="1" w:styleId="55">
    <w:name w:val="标题 2 字符"/>
    <w:link w:val="4"/>
    <w:autoRedefine/>
    <w:qFormat/>
    <w:uiPriority w:val="0"/>
    <w:rPr>
      <w:rFonts w:ascii="Arial" w:hAnsi="Arial" w:eastAsia="黑体"/>
      <w:b/>
      <w:sz w:val="30"/>
      <w:lang w:val="en-US" w:eastAsia="zh-CN" w:bidi="ar-SA"/>
    </w:rPr>
  </w:style>
  <w:style w:type="character" w:customStyle="1" w:styleId="56">
    <w:name w:val="标题 3 字符"/>
    <w:link w:val="5"/>
    <w:autoRedefine/>
    <w:qFormat/>
    <w:uiPriority w:val="0"/>
    <w:rPr>
      <w:rFonts w:ascii="宋体" w:eastAsia="宋体"/>
      <w:b/>
      <w:sz w:val="24"/>
      <w:u w:val="single"/>
      <w:lang w:val="en-US" w:eastAsia="zh-CN" w:bidi="ar-SA"/>
    </w:rPr>
  </w:style>
  <w:style w:type="character" w:customStyle="1" w:styleId="57">
    <w:name w:val="c21"/>
    <w:autoRedefine/>
    <w:qFormat/>
    <w:uiPriority w:val="0"/>
    <w:rPr>
      <w:rFonts w:hint="default" w:ascii="ˎ̥" w:hAnsi="ˎ̥"/>
      <w:color w:val="000000"/>
      <w:sz w:val="20"/>
      <w:szCs w:val="20"/>
      <w:u w:val="none"/>
    </w:rPr>
  </w:style>
  <w:style w:type="character" w:customStyle="1" w:styleId="58">
    <w:name w:val="title4"/>
    <w:autoRedefine/>
    <w:qFormat/>
    <w:uiPriority w:val="0"/>
    <w:rPr>
      <w:b/>
      <w:bCs/>
      <w:color w:val="1D87B3"/>
      <w:sz w:val="15"/>
      <w:szCs w:val="15"/>
    </w:rPr>
  </w:style>
  <w:style w:type="character" w:customStyle="1" w:styleId="59">
    <w:name w:val="标题 2 Char Char"/>
    <w:autoRedefine/>
    <w:qFormat/>
    <w:uiPriority w:val="0"/>
    <w:rPr>
      <w:rFonts w:ascii="Arial" w:hAnsi="Arial" w:eastAsia="黑体"/>
      <w:b/>
      <w:bCs/>
      <w:kern w:val="2"/>
      <w:sz w:val="32"/>
      <w:szCs w:val="32"/>
      <w:lang w:val="en-US" w:eastAsia="zh-CN" w:bidi="ar-SA"/>
    </w:rPr>
  </w:style>
  <w:style w:type="character" w:customStyle="1" w:styleId="60">
    <w:name w:val="black1"/>
    <w:autoRedefine/>
    <w:qFormat/>
    <w:uiPriority w:val="0"/>
    <w:rPr>
      <w:color w:val="000000"/>
    </w:rPr>
  </w:style>
  <w:style w:type="character" w:customStyle="1" w:styleId="61">
    <w:name w:val="street-address"/>
    <w:basedOn w:val="47"/>
    <w:autoRedefine/>
    <w:qFormat/>
    <w:uiPriority w:val="0"/>
  </w:style>
  <w:style w:type="character" w:customStyle="1" w:styleId="62">
    <w:name w:val="locality"/>
    <w:basedOn w:val="47"/>
    <w:autoRedefine/>
    <w:qFormat/>
    <w:uiPriority w:val="0"/>
  </w:style>
  <w:style w:type="character" w:customStyle="1" w:styleId="63">
    <w:name w:val="正文缩进 字符"/>
    <w:link w:val="2"/>
    <w:autoRedefine/>
    <w:qFormat/>
    <w:uiPriority w:val="0"/>
    <w:rPr>
      <w:rFonts w:ascii="宋体" w:eastAsia="宋体"/>
      <w:kern w:val="2"/>
      <w:sz w:val="24"/>
      <w:szCs w:val="24"/>
      <w:lang w:val="en-US" w:eastAsia="zh-CN" w:bidi="ar-SA"/>
    </w:rPr>
  </w:style>
  <w:style w:type="character" w:customStyle="1" w:styleId="64">
    <w:name w:val="正文文本缩进 Char1"/>
    <w:link w:val="65"/>
    <w:autoRedefine/>
    <w:qFormat/>
    <w:uiPriority w:val="0"/>
    <w:rPr>
      <w:rFonts w:ascii="宋体" w:hAnsi="宋体" w:eastAsia="宋体"/>
      <w:sz w:val="24"/>
      <w:szCs w:val="24"/>
      <w:lang w:bidi="ar-SA"/>
    </w:rPr>
  </w:style>
  <w:style w:type="paragraph" w:customStyle="1" w:styleId="65">
    <w:name w:val="正文文本缩进1"/>
    <w:basedOn w:val="1"/>
    <w:link w:val="64"/>
    <w:autoRedefine/>
    <w:qFormat/>
    <w:uiPriority w:val="0"/>
    <w:pPr>
      <w:spacing w:line="480" w:lineRule="exact"/>
      <w:ind w:firstLine="480" w:firstLineChars="200"/>
    </w:pPr>
    <w:rPr>
      <w:rFonts w:ascii="宋体" w:hAnsi="宋体"/>
      <w:kern w:val="0"/>
      <w:sz w:val="24"/>
    </w:rPr>
  </w:style>
  <w:style w:type="character" w:customStyle="1" w:styleId="66">
    <w:name w:val="Char Char11"/>
    <w:autoRedefine/>
    <w:qFormat/>
    <w:uiPriority w:val="0"/>
    <w:rPr>
      <w:rFonts w:ascii="宋体" w:eastAsia="宋体"/>
      <w:b/>
      <w:sz w:val="24"/>
      <w:u w:val="single"/>
      <w:lang w:val="en-US" w:eastAsia="zh-CN" w:bidi="ar-SA"/>
    </w:rPr>
  </w:style>
  <w:style w:type="character" w:customStyle="1" w:styleId="67">
    <w:name w:val="txt"/>
    <w:basedOn w:val="47"/>
    <w:autoRedefine/>
    <w:qFormat/>
    <w:uiPriority w:val="0"/>
  </w:style>
  <w:style w:type="character" w:customStyle="1" w:styleId="68">
    <w:name w:val="正文文本缩进 字符"/>
    <w:link w:val="19"/>
    <w:autoRedefine/>
    <w:qFormat/>
    <w:uiPriority w:val="0"/>
    <w:rPr>
      <w:rFonts w:eastAsia="宋体"/>
      <w:kern w:val="2"/>
      <w:sz w:val="24"/>
      <w:szCs w:val="24"/>
      <w:lang w:val="en-US" w:eastAsia="zh-CN" w:bidi="ar-SA"/>
    </w:rPr>
  </w:style>
  <w:style w:type="character" w:customStyle="1" w:styleId="69">
    <w:name w:val="正文缩进 Char Char"/>
    <w:link w:val="70"/>
    <w:autoRedefine/>
    <w:qFormat/>
    <w:uiPriority w:val="0"/>
    <w:rPr>
      <w:rFonts w:ascii="宋体" w:eastAsia="宋体"/>
      <w:snapToGrid w:val="0"/>
      <w:color w:val="000000"/>
      <w:kern w:val="28"/>
      <w:sz w:val="28"/>
      <w:lang w:bidi="ar-SA"/>
    </w:rPr>
  </w:style>
  <w:style w:type="paragraph" w:customStyle="1" w:styleId="70">
    <w:name w:val="正文缩进1"/>
    <w:basedOn w:val="1"/>
    <w:link w:val="69"/>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71">
    <w:name w:val="普通文字1 Char1"/>
    <w:autoRedefine/>
    <w:qFormat/>
    <w:uiPriority w:val="0"/>
    <w:rPr>
      <w:rFonts w:ascii="宋体" w:hAnsi="Courier New" w:eastAsia="宋体"/>
      <w:kern w:val="2"/>
      <w:sz w:val="21"/>
      <w:lang w:val="en-US" w:eastAsia="zh-CN" w:bidi="ar-SA"/>
    </w:rPr>
  </w:style>
  <w:style w:type="character" w:customStyle="1" w:styleId="72">
    <w:name w:val="chanpin1"/>
    <w:autoRedefine/>
    <w:qFormat/>
    <w:uiPriority w:val="0"/>
    <w:rPr>
      <w:rFonts w:hint="default" w:ascii="ˎ̥" w:hAnsi="ˎ̥"/>
      <w:color w:val="000000"/>
      <w:sz w:val="20"/>
      <w:szCs w:val="20"/>
      <w:u w:val="none"/>
    </w:rPr>
  </w:style>
  <w:style w:type="character" w:customStyle="1" w:styleId="73">
    <w:name w:val="列表段落 字符"/>
    <w:link w:val="74"/>
    <w:autoRedefine/>
    <w:qFormat/>
    <w:uiPriority w:val="34"/>
    <w:rPr>
      <w:rFonts w:ascii="Calibri" w:hAnsi="Calibri" w:eastAsia="宋体"/>
      <w:kern w:val="2"/>
      <w:sz w:val="21"/>
      <w:szCs w:val="22"/>
      <w:lang w:val="en-US" w:eastAsia="zh-CN" w:bidi="ar-SA"/>
    </w:rPr>
  </w:style>
  <w:style w:type="paragraph" w:styleId="74">
    <w:name w:val="List Paragraph"/>
    <w:basedOn w:val="1"/>
    <w:link w:val="73"/>
    <w:autoRedefine/>
    <w:qFormat/>
    <w:uiPriority w:val="34"/>
    <w:pPr>
      <w:ind w:firstLine="420" w:firstLineChars="200"/>
    </w:pPr>
    <w:rPr>
      <w:rFonts w:ascii="Calibri" w:hAnsi="Calibri"/>
      <w:szCs w:val="22"/>
    </w:rPr>
  </w:style>
  <w:style w:type="character" w:customStyle="1" w:styleId="75">
    <w:name w:val="标题 3 Char Char"/>
    <w:autoRedefine/>
    <w:qFormat/>
    <w:uiPriority w:val="0"/>
    <w:rPr>
      <w:rFonts w:eastAsia="宋体"/>
      <w:b/>
      <w:bCs/>
      <w:kern w:val="2"/>
      <w:sz w:val="32"/>
      <w:szCs w:val="32"/>
      <w:lang w:val="en-US" w:eastAsia="zh-CN" w:bidi="ar-SA"/>
    </w:rPr>
  </w:style>
  <w:style w:type="character" w:customStyle="1" w:styleId="76">
    <w:name w:val="段1 Char"/>
    <w:autoRedefine/>
    <w:qFormat/>
    <w:uiPriority w:val="0"/>
    <w:rPr>
      <w:rFonts w:ascii="宋体" w:eastAsia="宋体"/>
      <w:sz w:val="24"/>
      <w:lang w:val="en-US" w:eastAsia="zh-CN" w:bidi="ar-SA"/>
    </w:rPr>
  </w:style>
  <w:style w:type="character" w:customStyle="1" w:styleId="77">
    <w:name w:val="页眉 字符"/>
    <w:link w:val="30"/>
    <w:autoRedefine/>
    <w:qFormat/>
    <w:uiPriority w:val="99"/>
    <w:rPr>
      <w:rFonts w:eastAsia="宋体"/>
      <w:kern w:val="2"/>
      <w:sz w:val="18"/>
      <w:szCs w:val="18"/>
      <w:lang w:val="en-US" w:eastAsia="zh-CN" w:bidi="ar-SA"/>
    </w:rPr>
  </w:style>
  <w:style w:type="character" w:customStyle="1" w:styleId="78">
    <w:name w:val="chanpin拷贝"/>
    <w:basedOn w:val="47"/>
    <w:autoRedefine/>
    <w:qFormat/>
    <w:uiPriority w:val="0"/>
  </w:style>
  <w:style w:type="character" w:customStyle="1" w:styleId="79">
    <w:name w:val="纯文本 Char1"/>
    <w:autoRedefine/>
    <w:qFormat/>
    <w:uiPriority w:val="0"/>
    <w:rPr>
      <w:rFonts w:ascii="宋体" w:hAnsi="Courier New" w:eastAsia="宋体"/>
      <w:kern w:val="2"/>
      <w:sz w:val="21"/>
      <w:lang w:val="en-US" w:eastAsia="zh-CN" w:bidi="ar-SA"/>
    </w:rPr>
  </w:style>
  <w:style w:type="character" w:customStyle="1" w:styleId="80">
    <w:name w:val="apple-style-span"/>
    <w:autoRedefine/>
    <w:qFormat/>
    <w:uiPriority w:val="0"/>
    <w:rPr>
      <w:rFonts w:cs="Times New Roman"/>
    </w:rPr>
  </w:style>
  <w:style w:type="paragraph" w:customStyle="1" w:styleId="81">
    <w:name w:val="二级条标题"/>
    <w:basedOn w:val="82"/>
    <w:next w:val="1"/>
    <w:autoRedefine/>
    <w:qFormat/>
    <w:uiPriority w:val="0"/>
    <w:pPr>
      <w:numPr>
        <w:numId w:val="0"/>
      </w:numPr>
      <w:tabs>
        <w:tab w:val="left" w:pos="360"/>
        <w:tab w:val="left" w:pos="840"/>
      </w:tabs>
      <w:ind w:hanging="840"/>
      <w:outlineLvl w:val="2"/>
    </w:pPr>
    <w:rPr>
      <w:rFonts w:ascii="宋体" w:eastAsia="宋体"/>
      <w:b w:val="0"/>
    </w:rPr>
  </w:style>
  <w:style w:type="paragraph" w:customStyle="1" w:styleId="82">
    <w:name w:val="一级条标题"/>
    <w:basedOn w:val="83"/>
    <w:next w:val="1"/>
    <w:autoRedefine/>
    <w:qFormat/>
    <w:uiPriority w:val="0"/>
    <w:pPr>
      <w:numPr>
        <w:ilvl w:val="1"/>
      </w:numPr>
      <w:tabs>
        <w:tab w:val="left" w:pos="360"/>
        <w:tab w:val="left" w:pos="840"/>
      </w:tabs>
      <w:ind w:left="0" w:hanging="840"/>
      <w:outlineLvl w:val="1"/>
    </w:pPr>
  </w:style>
  <w:style w:type="paragraph" w:customStyle="1" w:styleId="83">
    <w:name w:val="章标题"/>
    <w:next w:val="1"/>
    <w:autoRedefine/>
    <w:qFormat/>
    <w:uiPriority w:val="0"/>
    <w:pPr>
      <w:numPr>
        <w:ilvl w:val="0"/>
        <w:numId w:val="2"/>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4">
    <w:name w:val="font7"/>
    <w:basedOn w:val="1"/>
    <w:autoRedefine/>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85">
    <w:name w:val="字元 字元"/>
    <w:basedOn w:val="1"/>
    <w:autoRedefine/>
    <w:qFormat/>
    <w:uiPriority w:val="0"/>
    <w:rPr>
      <w:rFonts w:ascii="Tahoma" w:hAnsi="Tahoma"/>
      <w:sz w:val="24"/>
      <w:szCs w:val="20"/>
    </w:rPr>
  </w:style>
  <w:style w:type="paragraph" w:customStyle="1" w:styleId="86">
    <w:name w:val="Char3 Char Char Char"/>
    <w:basedOn w:val="1"/>
    <w:autoRedefine/>
    <w:qFormat/>
    <w:uiPriority w:val="0"/>
    <w:rPr>
      <w:rFonts w:ascii="Tahoma" w:hAnsi="Tahoma"/>
      <w:sz w:val="24"/>
      <w:szCs w:val="20"/>
    </w:rPr>
  </w:style>
  <w:style w:type="paragraph" w:customStyle="1" w:styleId="87">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88">
    <w:name w:val="项目编号2"/>
    <w:basedOn w:val="89"/>
    <w:autoRedefine/>
    <w:qFormat/>
    <w:uiPriority w:val="0"/>
    <w:pPr>
      <w:numPr>
        <w:numId w:val="3"/>
      </w:numPr>
    </w:pPr>
  </w:style>
  <w:style w:type="paragraph" w:customStyle="1" w:styleId="89">
    <w:name w:val="项目编号1"/>
    <w:basedOn w:val="1"/>
    <w:autoRedefine/>
    <w:qFormat/>
    <w:uiPriority w:val="0"/>
    <w:pPr>
      <w:numPr>
        <w:ilvl w:val="0"/>
        <w:numId w:val="4"/>
      </w:numPr>
      <w:spacing w:before="100" w:beforeAutospacing="1" w:after="100" w:afterAutospacing="1" w:line="360" w:lineRule="auto"/>
    </w:pPr>
    <w:rPr>
      <w:sz w:val="24"/>
    </w:rPr>
  </w:style>
  <w:style w:type="paragraph" w:customStyle="1" w:styleId="90">
    <w:name w:val="图中文字"/>
    <w:basedOn w:val="1"/>
    <w:autoRedefine/>
    <w:qFormat/>
    <w:uiPriority w:val="0"/>
    <w:pPr>
      <w:adjustRightInd w:val="0"/>
      <w:snapToGrid w:val="0"/>
      <w:spacing w:line="0" w:lineRule="atLeast"/>
      <w:jc w:val="center"/>
    </w:pPr>
    <w:rPr>
      <w:sz w:val="24"/>
      <w:szCs w:val="20"/>
    </w:rPr>
  </w:style>
  <w:style w:type="paragraph" w:customStyle="1" w:styleId="91">
    <w:name w:val="xl46"/>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2">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3">
    <w:name w:val="Char2"/>
    <w:basedOn w:val="1"/>
    <w:autoRedefine/>
    <w:qFormat/>
    <w:uiPriority w:val="0"/>
    <w:rPr>
      <w:rFonts w:ascii="Tahoma" w:hAnsi="Tahoma"/>
      <w:sz w:val="24"/>
      <w:szCs w:val="20"/>
    </w:rPr>
  </w:style>
  <w:style w:type="paragraph" w:customStyle="1" w:styleId="94">
    <w:name w:val="xl35"/>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6">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7">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8">
    <w:name w:val="background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9">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100">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01">
    <w:name w:val="xl36"/>
    <w:basedOn w:val="1"/>
    <w:autoRedefine/>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2">
    <w:name w:val="正文 + 宋体"/>
    <w:basedOn w:val="1"/>
    <w:autoRedefine/>
    <w:qFormat/>
    <w:uiPriority w:val="0"/>
    <w:pPr>
      <w:widowControl/>
      <w:ind w:left="360" w:hanging="360"/>
      <w:jc w:val="left"/>
    </w:pPr>
    <w:rPr>
      <w:rFonts w:ascii="宋体" w:hAnsi="宋体" w:cs="宋体"/>
      <w:b/>
      <w:bCs/>
      <w:color w:val="000000"/>
      <w:kern w:val="0"/>
      <w:sz w:val="18"/>
      <w:szCs w:val="18"/>
    </w:rPr>
  </w:style>
  <w:style w:type="paragraph" w:customStyle="1" w:styleId="103">
    <w:name w:val="正文列项_数字"/>
    <w:basedOn w:val="1"/>
    <w:autoRedefine/>
    <w:qFormat/>
    <w:uiPriority w:val="0"/>
    <w:pPr>
      <w:numPr>
        <w:ilvl w:val="7"/>
        <w:numId w:val="2"/>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4">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5">
    <w:name w:val="xl37"/>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6">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07">
    <w:name w:val="font8"/>
    <w:basedOn w:val="1"/>
    <w:autoRedefine/>
    <w:qFormat/>
    <w:uiPriority w:val="0"/>
    <w:pPr>
      <w:widowControl/>
      <w:spacing w:before="100" w:beforeAutospacing="1" w:after="100" w:afterAutospacing="1"/>
      <w:jc w:val="left"/>
    </w:pPr>
    <w:rPr>
      <w:kern w:val="0"/>
      <w:sz w:val="36"/>
      <w:szCs w:val="36"/>
    </w:rPr>
  </w:style>
  <w:style w:type="paragraph" w:customStyle="1" w:styleId="108">
    <w:name w:val="Char"/>
    <w:basedOn w:val="1"/>
    <w:autoRedefine/>
    <w:qFormat/>
    <w:uiPriority w:val="0"/>
    <w:pPr>
      <w:tabs>
        <w:tab w:val="left" w:pos="360"/>
      </w:tabs>
    </w:pPr>
    <w:rPr>
      <w:sz w:val="24"/>
    </w:rPr>
  </w:style>
  <w:style w:type="paragraph" w:customStyle="1" w:styleId="109">
    <w:name w:val="Char Char Char Char Char Char Char Char Char Char Char Char Char Char Char Char"/>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110">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1">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2">
    <w:name w:val="Char Char1"/>
    <w:basedOn w:val="14"/>
    <w:autoRedefine/>
    <w:qFormat/>
    <w:uiPriority w:val="0"/>
    <w:rPr>
      <w:rFonts w:ascii="Tahoma" w:hAnsi="Tahoma"/>
      <w:sz w:val="24"/>
    </w:rPr>
  </w:style>
  <w:style w:type="paragraph" w:customStyle="1" w:styleId="113">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5">
    <w:name w:val="xl4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6">
    <w:name w:val="样式 宋体 五号 行距: 单倍行距"/>
    <w:basedOn w:val="1"/>
    <w:autoRedefine/>
    <w:qFormat/>
    <w:uiPriority w:val="0"/>
    <w:pPr>
      <w:adjustRightInd w:val="0"/>
      <w:jc w:val="left"/>
      <w:textAlignment w:val="baseline"/>
    </w:pPr>
    <w:rPr>
      <w:rFonts w:ascii="宋体" w:hAnsi="宋体"/>
      <w:kern w:val="0"/>
      <w:szCs w:val="20"/>
    </w:rPr>
  </w:style>
  <w:style w:type="paragraph" w:customStyle="1" w:styleId="117">
    <w:name w:val="Char1 Char Char Char1"/>
    <w:basedOn w:val="1"/>
    <w:autoRedefine/>
    <w:qFormat/>
    <w:uiPriority w:val="0"/>
    <w:rPr>
      <w:rFonts w:ascii="Tahoma" w:hAnsi="Tahoma" w:cs="仿宋_GB2312"/>
      <w:sz w:val="24"/>
      <w:szCs w:val="28"/>
    </w:rPr>
  </w:style>
  <w:style w:type="paragraph" w:customStyle="1" w:styleId="118">
    <w:name w:val="四级条标题"/>
    <w:basedOn w:val="119"/>
    <w:next w:val="1"/>
    <w:autoRedefine/>
    <w:qFormat/>
    <w:uiPriority w:val="0"/>
    <w:pPr>
      <w:numPr>
        <w:ilvl w:val="4"/>
      </w:numPr>
      <w:tabs>
        <w:tab w:val="left" w:pos="360"/>
        <w:tab w:val="left" w:pos="840"/>
      </w:tabs>
      <w:ind w:left="0" w:hanging="840"/>
      <w:outlineLvl w:val="4"/>
    </w:pPr>
  </w:style>
  <w:style w:type="paragraph" w:customStyle="1" w:styleId="119">
    <w:name w:val="三级条标题"/>
    <w:basedOn w:val="81"/>
    <w:next w:val="1"/>
    <w:autoRedefine/>
    <w:qFormat/>
    <w:uiPriority w:val="0"/>
    <w:pPr>
      <w:numPr>
        <w:ilvl w:val="3"/>
        <w:numId w:val="2"/>
      </w:numPr>
      <w:ind w:left="0" w:hanging="840"/>
      <w:outlineLvl w:val="3"/>
    </w:pPr>
  </w:style>
  <w:style w:type="paragraph" w:customStyle="1" w:styleId="120">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21">
    <w:name w:val="样式 标题 2 + 宋体 五号 行距: 单倍行距"/>
    <w:basedOn w:val="4"/>
    <w:autoRedefine/>
    <w:qFormat/>
    <w:uiPriority w:val="0"/>
    <w:pPr>
      <w:numPr>
        <w:ilvl w:val="1"/>
        <w:numId w:val="5"/>
      </w:numPr>
      <w:autoSpaceDE/>
      <w:autoSpaceDN/>
      <w:spacing w:before="260" w:after="260" w:line="240" w:lineRule="auto"/>
      <w:jc w:val="left"/>
      <w:textAlignment w:val="baseline"/>
    </w:pPr>
    <w:rPr>
      <w:rFonts w:ascii="宋体" w:hAnsi="宋体" w:eastAsia="宋体"/>
      <w:bCs/>
      <w:sz w:val="21"/>
    </w:rPr>
  </w:style>
  <w:style w:type="paragraph" w:customStyle="1" w:styleId="122">
    <w:name w:val="List Paragraph1"/>
    <w:basedOn w:val="1"/>
    <w:autoRedefine/>
    <w:qFormat/>
    <w:uiPriority w:val="0"/>
    <w:pPr>
      <w:ind w:firstLine="420" w:firstLineChars="200"/>
    </w:pPr>
    <w:rPr>
      <w:rFonts w:ascii="Calibri" w:hAnsi="Calibri"/>
      <w:szCs w:val="22"/>
    </w:rPr>
  </w:style>
  <w:style w:type="paragraph" w:customStyle="1" w:styleId="123">
    <w:name w:val="项目符号1"/>
    <w:basedOn w:val="124"/>
    <w:autoRedefine/>
    <w:qFormat/>
    <w:uiPriority w:val="0"/>
    <w:pPr>
      <w:ind w:left="-25" w:firstLine="0"/>
    </w:pPr>
  </w:style>
  <w:style w:type="paragraph" w:customStyle="1" w:styleId="124">
    <w:name w:val="正文文本样式"/>
    <w:basedOn w:val="1"/>
    <w:autoRedefine/>
    <w:qFormat/>
    <w:uiPriority w:val="0"/>
    <w:pPr>
      <w:spacing w:line="360" w:lineRule="auto"/>
      <w:ind w:firstLine="482"/>
    </w:pPr>
    <w:rPr>
      <w:rFonts w:cs="宋体"/>
      <w:sz w:val="24"/>
      <w:szCs w:val="20"/>
    </w:rPr>
  </w:style>
  <w:style w:type="paragraph" w:customStyle="1" w:styleId="125">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6">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27">
    <w:name w:val="五级条标题"/>
    <w:basedOn w:val="118"/>
    <w:next w:val="1"/>
    <w:autoRedefine/>
    <w:qFormat/>
    <w:uiPriority w:val="0"/>
    <w:pPr>
      <w:numPr>
        <w:ilvl w:val="5"/>
      </w:numPr>
      <w:ind w:left="0" w:hanging="840"/>
      <w:outlineLvl w:val="5"/>
    </w:pPr>
  </w:style>
  <w:style w:type="paragraph" w:customStyle="1" w:styleId="128">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29">
    <w:name w:val="文档正文"/>
    <w:basedOn w:val="1"/>
    <w:autoRedefine/>
    <w:qFormat/>
    <w:uiPriority w:val="0"/>
    <w:pPr>
      <w:snapToGrid w:val="0"/>
      <w:spacing w:before="120" w:after="120" w:line="180" w:lineRule="auto"/>
    </w:pPr>
    <w:rPr>
      <w:rFonts w:ascii="Arial" w:hAnsi="Arial"/>
      <w:szCs w:val="20"/>
    </w:rPr>
  </w:style>
  <w:style w:type="paragraph" w:customStyle="1" w:styleId="130">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31">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2">
    <w:name w:val="Char Char Char1 Char"/>
    <w:basedOn w:val="1"/>
    <w:autoRedefine/>
    <w:qFormat/>
    <w:uiPriority w:val="0"/>
    <w:rPr>
      <w:rFonts w:ascii="Tahoma" w:hAnsi="Tahoma"/>
      <w:sz w:val="24"/>
      <w:szCs w:val="20"/>
    </w:rPr>
  </w:style>
  <w:style w:type="paragraph" w:customStyle="1" w:styleId="133">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4">
    <w:name w:val="1名"/>
    <w:basedOn w:val="1"/>
    <w:autoRedefine/>
    <w:qFormat/>
    <w:uiPriority w:val="0"/>
    <w:pPr>
      <w:numPr>
        <w:ilvl w:val="0"/>
        <w:numId w:val="6"/>
      </w:numPr>
      <w:spacing w:before="120"/>
    </w:pPr>
    <w:rPr>
      <w:rFonts w:ascii="宋体"/>
      <w:sz w:val="28"/>
      <w:szCs w:val="20"/>
    </w:rPr>
  </w:style>
  <w:style w:type="paragraph" w:customStyle="1" w:styleId="135">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36">
    <w:name w:val="Char Char Char1 Char1"/>
    <w:basedOn w:val="1"/>
    <w:autoRedefine/>
    <w:qFormat/>
    <w:uiPriority w:val="0"/>
    <w:rPr>
      <w:rFonts w:ascii="Tahoma" w:hAnsi="Tahoma"/>
      <w:sz w:val="24"/>
      <w:szCs w:val="20"/>
    </w:rPr>
  </w:style>
  <w:style w:type="paragraph" w:customStyle="1" w:styleId="137">
    <w:name w:val="Char Char Char Char Char Char Char Char Char Char"/>
    <w:basedOn w:val="1"/>
    <w:autoRedefine/>
    <w:qFormat/>
    <w:uiPriority w:val="0"/>
  </w:style>
  <w:style w:type="paragraph" w:customStyle="1" w:styleId="138">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39">
    <w:name w:val="Char1"/>
    <w:basedOn w:val="1"/>
    <w:autoRedefine/>
    <w:qFormat/>
    <w:uiPriority w:val="0"/>
    <w:pPr>
      <w:tabs>
        <w:tab w:val="left" w:pos="360"/>
      </w:tabs>
    </w:pPr>
    <w:rPr>
      <w:sz w:val="24"/>
    </w:rPr>
  </w:style>
  <w:style w:type="paragraph" w:customStyle="1" w:styleId="140">
    <w:name w:val="正文列项_字母"/>
    <w:basedOn w:val="1"/>
    <w:autoRedefine/>
    <w:qFormat/>
    <w:uiPriority w:val="0"/>
    <w:pPr>
      <w:numPr>
        <w:ilvl w:val="6"/>
        <w:numId w:val="2"/>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41">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2">
    <w:name w:val="xl4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3">
    <w:name w:val="默认段落字体 Para Char Char Char Char"/>
    <w:basedOn w:val="1"/>
    <w:autoRedefine/>
    <w:qFormat/>
    <w:uiPriority w:val="0"/>
    <w:rPr>
      <w:rFonts w:ascii="Arial" w:hAnsi="Arial" w:cs="Arial"/>
      <w:szCs w:val="21"/>
    </w:rPr>
  </w:style>
  <w:style w:type="paragraph" w:customStyle="1" w:styleId="144">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5">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6">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47">
    <w:name w:val="Char Char Char"/>
    <w:basedOn w:val="1"/>
    <w:autoRedefine/>
    <w:qFormat/>
    <w:uiPriority w:val="0"/>
    <w:rPr>
      <w:rFonts w:ascii="Tahoma" w:hAnsi="Tahoma"/>
      <w:sz w:val="24"/>
      <w:szCs w:val="20"/>
    </w:rPr>
  </w:style>
  <w:style w:type="paragraph" w:customStyle="1" w:styleId="148">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49">
    <w:name w:val="缺省文本"/>
    <w:basedOn w:val="1"/>
    <w:autoRedefine/>
    <w:qFormat/>
    <w:uiPriority w:val="0"/>
    <w:pPr>
      <w:autoSpaceDE w:val="0"/>
      <w:autoSpaceDN w:val="0"/>
      <w:adjustRightInd w:val="0"/>
      <w:jc w:val="left"/>
    </w:pPr>
    <w:rPr>
      <w:kern w:val="0"/>
      <w:sz w:val="24"/>
    </w:rPr>
  </w:style>
  <w:style w:type="paragraph" w:customStyle="1" w:styleId="150">
    <w:name w:val="Char Char Char1"/>
    <w:basedOn w:val="1"/>
    <w:autoRedefine/>
    <w:qFormat/>
    <w:uiPriority w:val="0"/>
    <w:rPr>
      <w:rFonts w:ascii="Tahoma" w:hAnsi="Tahoma"/>
      <w:sz w:val="24"/>
      <w:szCs w:val="20"/>
    </w:rPr>
  </w:style>
  <w:style w:type="paragraph" w:customStyle="1" w:styleId="151">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152">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3">
    <w:name w:val="样式2"/>
    <w:basedOn w:val="40"/>
    <w:autoRedefine/>
    <w:qFormat/>
    <w:uiPriority w:val="0"/>
    <w:pPr>
      <w:spacing w:line="360" w:lineRule="auto"/>
      <w:jc w:val="center"/>
    </w:pPr>
    <w:rPr>
      <w:sz w:val="24"/>
    </w:rPr>
  </w:style>
  <w:style w:type="paragraph" w:customStyle="1" w:styleId="154">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5">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6">
    <w:name w:val="正文 + 楷体_GB2312"/>
    <w:basedOn w:val="1"/>
    <w:autoRedefine/>
    <w:qFormat/>
    <w:uiPriority w:val="0"/>
    <w:pPr>
      <w:widowControl/>
      <w:jc w:val="left"/>
    </w:pPr>
    <w:rPr>
      <w:rFonts w:ascii="楷体_GB2312" w:eastAsia="楷体_GB2312" w:cs="Arial"/>
      <w:kern w:val="0"/>
      <w:sz w:val="24"/>
    </w:rPr>
  </w:style>
  <w:style w:type="paragraph" w:customStyle="1" w:styleId="157">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8">
    <w:name w:val="1 Char Char Char Char"/>
    <w:basedOn w:val="1"/>
    <w:autoRedefine/>
    <w:qFormat/>
    <w:uiPriority w:val="0"/>
    <w:rPr>
      <w:rFonts w:ascii="Tahoma" w:hAnsi="Tahoma"/>
      <w:sz w:val="24"/>
      <w:szCs w:val="20"/>
    </w:rPr>
  </w:style>
  <w:style w:type="paragraph" w:customStyle="1" w:styleId="159">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60">
    <w:name w:val="列出段落1"/>
    <w:basedOn w:val="1"/>
    <w:autoRedefine/>
    <w:qFormat/>
    <w:uiPriority w:val="0"/>
    <w:pPr>
      <w:ind w:firstLine="420" w:firstLineChars="200"/>
    </w:pPr>
    <w:rPr>
      <w:rFonts w:ascii="Calibri" w:hAnsi="Calibri"/>
      <w:szCs w:val="22"/>
    </w:rPr>
  </w:style>
  <w:style w:type="paragraph" w:customStyle="1" w:styleId="161">
    <w:name w:val="defaul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62">
    <w:name w:val="字元 字元1"/>
    <w:basedOn w:val="1"/>
    <w:autoRedefine/>
    <w:qFormat/>
    <w:uiPriority w:val="0"/>
    <w:rPr>
      <w:rFonts w:ascii="Tahoma" w:hAnsi="Tahoma"/>
      <w:sz w:val="24"/>
      <w:szCs w:val="20"/>
    </w:rPr>
  </w:style>
  <w:style w:type="paragraph" w:customStyle="1" w:styleId="163">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164">
    <w:name w:val="项目编号3"/>
    <w:basedOn w:val="124"/>
    <w:autoRedefine/>
    <w:qFormat/>
    <w:uiPriority w:val="0"/>
    <w:pPr>
      <w:numPr>
        <w:ilvl w:val="0"/>
        <w:numId w:val="7"/>
      </w:numPr>
    </w:pPr>
  </w:style>
  <w:style w:type="paragraph" w:customStyle="1" w:styleId="165">
    <w:name w:val="Char21"/>
    <w:basedOn w:val="1"/>
    <w:autoRedefine/>
    <w:qFormat/>
    <w:uiPriority w:val="0"/>
    <w:rPr>
      <w:rFonts w:ascii="Tahoma" w:hAnsi="Tahoma"/>
      <w:sz w:val="24"/>
      <w:szCs w:val="20"/>
    </w:rPr>
  </w:style>
  <w:style w:type="paragraph" w:customStyle="1" w:styleId="166">
    <w:name w:val="表格文字"/>
    <w:basedOn w:val="19"/>
    <w:autoRedefine/>
    <w:qFormat/>
    <w:uiPriority w:val="0"/>
    <w:pPr>
      <w:spacing w:before="20" w:after="20" w:line="240" w:lineRule="auto"/>
      <w:ind w:firstLine="0"/>
    </w:pPr>
    <w:rPr>
      <w:rFonts w:ascii="Century Gothic" w:hAnsi="Century Gothic"/>
      <w:sz w:val="20"/>
      <w:szCs w:val="20"/>
    </w:rPr>
  </w:style>
  <w:style w:type="paragraph" w:customStyle="1" w:styleId="167">
    <w:name w:val="Char Char Char Char Char Char Char Char Char Char1"/>
    <w:basedOn w:val="1"/>
    <w:autoRedefine/>
    <w:qFormat/>
    <w:uiPriority w:val="0"/>
    <w:rPr>
      <w:rFonts w:ascii="宋体" w:hAnsi="宋体" w:cs="Courier New"/>
      <w:sz w:val="32"/>
      <w:szCs w:val="32"/>
    </w:rPr>
  </w:style>
  <w:style w:type="paragraph" w:customStyle="1" w:styleId="168">
    <w:name w:val="正文文本样式 加粗"/>
    <w:basedOn w:val="124"/>
    <w:autoRedefine/>
    <w:qFormat/>
    <w:uiPriority w:val="0"/>
    <w:rPr>
      <w:b/>
    </w:rPr>
  </w:style>
  <w:style w:type="paragraph" w:customStyle="1" w:styleId="169">
    <w:name w:val="Char2 Char Char Char Char Char Char"/>
    <w:basedOn w:val="1"/>
    <w:autoRedefine/>
    <w:qFormat/>
    <w:uiPriority w:val="0"/>
    <w:pPr>
      <w:widowControl/>
      <w:spacing w:line="400" w:lineRule="exact"/>
      <w:jc w:val="center"/>
    </w:pPr>
  </w:style>
  <w:style w:type="character" w:customStyle="1" w:styleId="170">
    <w:name w:val="页脚 字符"/>
    <w:link w:val="29"/>
    <w:autoRedefine/>
    <w:qFormat/>
    <w:uiPriority w:val="99"/>
    <w:rPr>
      <w:rFonts w:ascii="宋体" w:eastAsia="宋体"/>
      <w:sz w:val="18"/>
      <w:lang w:val="en-US" w:eastAsia="zh-CN" w:bidi="ar-SA"/>
    </w:rPr>
  </w:style>
  <w:style w:type="paragraph" w:customStyle="1" w:styleId="171">
    <w:name w:val="Char Char4"/>
    <w:basedOn w:val="1"/>
    <w:autoRedefine/>
    <w:qFormat/>
    <w:uiPriority w:val="0"/>
    <w:pPr>
      <w:widowControl/>
      <w:spacing w:line="400" w:lineRule="exact"/>
      <w:jc w:val="center"/>
    </w:pPr>
  </w:style>
  <w:style w:type="paragraph" w:customStyle="1" w:styleId="172">
    <w:name w:val="Char3 Char Char Char1"/>
    <w:basedOn w:val="1"/>
    <w:autoRedefine/>
    <w:qFormat/>
    <w:uiPriority w:val="0"/>
    <w:rPr>
      <w:rFonts w:ascii="Tahoma" w:hAnsi="Tahoma"/>
      <w:sz w:val="24"/>
      <w:szCs w:val="20"/>
    </w:rPr>
  </w:style>
  <w:style w:type="paragraph" w:styleId="173">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4">
    <w:name w:val="22222222222222"/>
    <w:basedOn w:val="1"/>
    <w:autoRedefine/>
    <w:qFormat/>
    <w:uiPriority w:val="0"/>
    <w:pPr>
      <w:widowControl/>
      <w:adjustRightInd w:val="0"/>
      <w:spacing w:line="360" w:lineRule="auto"/>
      <w:ind w:firstLine="480" w:firstLineChars="200"/>
      <w:jc w:val="left"/>
    </w:pPr>
    <w:rPr>
      <w:color w:val="FF0000"/>
      <w:kern w:val="0"/>
      <w:sz w:val="24"/>
      <w:szCs w:val="20"/>
    </w:rPr>
  </w:style>
  <w:style w:type="character" w:customStyle="1" w:styleId="175">
    <w:name w:val="中等深浅网格 1 - 强调文字颜色 2 Char"/>
    <w:link w:val="176"/>
    <w:autoRedefine/>
    <w:qFormat/>
    <w:uiPriority w:val="0"/>
    <w:rPr>
      <w:kern w:val="2"/>
      <w:sz w:val="21"/>
      <w:szCs w:val="24"/>
      <w:lang w:val="zh-CN" w:eastAsia="zh-CN"/>
    </w:rPr>
  </w:style>
  <w:style w:type="paragraph" w:customStyle="1" w:styleId="176">
    <w:name w:val="1"/>
    <w:link w:val="175"/>
    <w:autoRedefine/>
    <w:qFormat/>
    <w:uiPriority w:val="0"/>
    <w:rPr>
      <w:rFonts w:ascii="Times New Roman" w:hAnsi="Times New Roman" w:eastAsia="宋体" w:cs="Times New Roman"/>
      <w:kern w:val="2"/>
      <w:sz w:val="21"/>
      <w:szCs w:val="24"/>
      <w:lang w:val="zh-CN" w:eastAsia="zh-CN" w:bidi="ar-SA"/>
    </w:rPr>
  </w:style>
  <w:style w:type="paragraph" w:customStyle="1" w:styleId="177">
    <w:name w:val="图文"/>
    <w:basedOn w:val="1"/>
    <w:autoRedefine/>
    <w:qFormat/>
    <w:uiPriority w:val="0"/>
    <w:pPr>
      <w:adjustRightInd w:val="0"/>
      <w:snapToGrid w:val="0"/>
      <w:spacing w:after="50" w:line="360" w:lineRule="auto"/>
    </w:pPr>
    <w:rPr>
      <w:sz w:val="24"/>
    </w:rPr>
  </w:style>
  <w:style w:type="paragraph" w:customStyle="1" w:styleId="178">
    <w:name w:val="xl23"/>
    <w:basedOn w:val="1"/>
    <w:autoRedefine/>
    <w:qFormat/>
    <w:uiPriority w:val="0"/>
    <w:pPr>
      <w:widowControl/>
      <w:spacing w:before="100" w:beforeAutospacing="1" w:after="100" w:afterAutospacing="1" w:line="360" w:lineRule="auto"/>
      <w:textAlignment w:val="top"/>
    </w:pPr>
    <w:rPr>
      <w:kern w:val="0"/>
      <w:sz w:val="24"/>
      <w:szCs w:val="20"/>
    </w:rPr>
  </w:style>
  <w:style w:type="paragraph" w:customStyle="1" w:styleId="179">
    <w:name w:val="正文表格"/>
    <w:basedOn w:val="1"/>
    <w:link w:val="180"/>
    <w:autoRedefine/>
    <w:qFormat/>
    <w:uiPriority w:val="0"/>
    <w:pPr>
      <w:adjustRightInd w:val="0"/>
      <w:snapToGrid w:val="0"/>
      <w:jc w:val="left"/>
    </w:pPr>
    <w:rPr>
      <w:rFonts w:ascii="宋体" w:hAnsi="宋体"/>
      <w:color w:val="000000"/>
      <w:szCs w:val="21"/>
    </w:rPr>
  </w:style>
  <w:style w:type="character" w:customStyle="1" w:styleId="180">
    <w:name w:val="正文表格 Char"/>
    <w:link w:val="179"/>
    <w:autoRedefine/>
    <w:qFormat/>
    <w:uiPriority w:val="0"/>
    <w:rPr>
      <w:rFonts w:ascii="宋体" w:hAnsi="宋体"/>
      <w:color w:val="000000"/>
      <w:kern w:val="2"/>
      <w:sz w:val="21"/>
      <w:szCs w:val="21"/>
    </w:rPr>
  </w:style>
  <w:style w:type="paragraph" w:customStyle="1" w:styleId="181">
    <w:name w:val="正文重点"/>
    <w:basedOn w:val="1"/>
    <w:link w:val="182"/>
    <w:autoRedefine/>
    <w:qFormat/>
    <w:uiPriority w:val="0"/>
    <w:pPr>
      <w:adjustRightInd w:val="0"/>
      <w:spacing w:line="360" w:lineRule="auto"/>
      <w:ind w:firstLine="482" w:firstLineChars="200"/>
      <w:jc w:val="left"/>
      <w:textAlignment w:val="baseline"/>
    </w:pPr>
    <w:rPr>
      <w:b/>
      <w:kern w:val="0"/>
      <w:sz w:val="24"/>
      <w:szCs w:val="20"/>
    </w:rPr>
  </w:style>
  <w:style w:type="character" w:customStyle="1" w:styleId="182">
    <w:name w:val="正文重点 Char"/>
    <w:link w:val="181"/>
    <w:autoRedefine/>
    <w:qFormat/>
    <w:uiPriority w:val="0"/>
    <w:rPr>
      <w:b/>
      <w:sz w:val="24"/>
    </w:rPr>
  </w:style>
  <w:style w:type="character" w:customStyle="1" w:styleId="183">
    <w:name w:val="批注文字 字符1"/>
    <w:link w:val="15"/>
    <w:autoRedefine/>
    <w:qFormat/>
    <w:uiPriority w:val="99"/>
    <w:rPr>
      <w:kern w:val="2"/>
      <w:sz w:val="21"/>
      <w:szCs w:val="24"/>
    </w:rPr>
  </w:style>
  <w:style w:type="paragraph" w:customStyle="1" w:styleId="184">
    <w:name w:val="标题1-附件"/>
    <w:basedOn w:val="3"/>
    <w:autoRedefine/>
    <w:qFormat/>
    <w:uiPriority w:val="0"/>
    <w:pPr>
      <w:jc w:val="left"/>
    </w:pPr>
    <w:rPr>
      <w:sz w:val="24"/>
      <w:szCs w:val="24"/>
    </w:rPr>
  </w:style>
  <w:style w:type="paragraph" w:customStyle="1" w:styleId="185">
    <w:name w:val="正文小标题"/>
    <w:basedOn w:val="1"/>
    <w:next w:val="2"/>
    <w:link w:val="186"/>
    <w:autoRedefine/>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86">
    <w:name w:val="正文小标题 Char"/>
    <w:link w:val="185"/>
    <w:autoRedefine/>
    <w:qFormat/>
    <w:uiPriority w:val="0"/>
    <w:rPr>
      <w:rFonts w:ascii="宋体" w:hAnsi="宋体"/>
      <w:b/>
      <w:i/>
      <w:color w:val="FF0000"/>
      <w:kern w:val="2"/>
      <w:sz w:val="24"/>
    </w:rPr>
  </w:style>
  <w:style w:type="paragraph" w:customStyle="1" w:styleId="187">
    <w:name w:val="正文大标题"/>
    <w:basedOn w:val="185"/>
    <w:next w:val="2"/>
    <w:link w:val="188"/>
    <w:autoRedefine/>
    <w:qFormat/>
    <w:uiPriority w:val="0"/>
    <w:pPr>
      <w:jc w:val="center"/>
    </w:pPr>
    <w:rPr>
      <w:i w:val="0"/>
      <w:color w:val="000000"/>
      <w:sz w:val="28"/>
      <w:szCs w:val="21"/>
    </w:rPr>
  </w:style>
  <w:style w:type="character" w:customStyle="1" w:styleId="188">
    <w:name w:val="正文大标题 Char"/>
    <w:link w:val="187"/>
    <w:autoRedefine/>
    <w:qFormat/>
    <w:uiPriority w:val="0"/>
    <w:rPr>
      <w:rFonts w:ascii="宋体" w:hAnsi="宋体"/>
      <w:b/>
      <w:color w:val="000000"/>
      <w:kern w:val="2"/>
      <w:sz w:val="28"/>
      <w:szCs w:val="21"/>
    </w:rPr>
  </w:style>
  <w:style w:type="character" w:customStyle="1" w:styleId="189">
    <w:name w:val="标题 字符"/>
    <w:link w:val="41"/>
    <w:autoRedefine/>
    <w:qFormat/>
    <w:uiPriority w:val="0"/>
    <w:rPr>
      <w:b/>
      <w:kern w:val="2"/>
      <w:sz w:val="32"/>
    </w:rPr>
  </w:style>
  <w:style w:type="paragraph" w:customStyle="1" w:styleId="190">
    <w:name w:val="注释"/>
    <w:basedOn w:val="1"/>
    <w:link w:val="191"/>
    <w:autoRedefine/>
    <w:qFormat/>
    <w:uiPriority w:val="0"/>
    <w:pPr>
      <w:adjustRightInd w:val="0"/>
      <w:snapToGrid w:val="0"/>
      <w:ind w:left="420" w:hanging="420" w:hangingChars="200"/>
      <w:jc w:val="left"/>
    </w:pPr>
    <w:rPr>
      <w:rFonts w:ascii="宋体" w:hAnsi="宋体"/>
      <w:szCs w:val="21"/>
    </w:rPr>
  </w:style>
  <w:style w:type="character" w:customStyle="1" w:styleId="191">
    <w:name w:val="注释 Char"/>
    <w:link w:val="190"/>
    <w:autoRedefine/>
    <w:qFormat/>
    <w:uiPriority w:val="0"/>
    <w:rPr>
      <w:rFonts w:ascii="宋体" w:hAnsi="宋体"/>
      <w:kern w:val="2"/>
      <w:sz w:val="21"/>
      <w:szCs w:val="21"/>
    </w:rPr>
  </w:style>
  <w:style w:type="paragraph" w:customStyle="1" w:styleId="192">
    <w:name w:val="正文须知-1级"/>
    <w:basedOn w:val="1"/>
    <w:next w:val="1"/>
    <w:autoRedefine/>
    <w:qFormat/>
    <w:uiPriority w:val="0"/>
    <w:pPr>
      <w:numPr>
        <w:ilvl w:val="0"/>
        <w:numId w:val="8"/>
      </w:numPr>
      <w:adjustRightInd w:val="0"/>
      <w:snapToGrid w:val="0"/>
      <w:spacing w:line="300" w:lineRule="auto"/>
    </w:pPr>
    <w:rPr>
      <w:rFonts w:ascii="宋体" w:hAnsi="Calibri"/>
      <w:sz w:val="24"/>
      <w:szCs w:val="21"/>
    </w:rPr>
  </w:style>
  <w:style w:type="paragraph" w:customStyle="1" w:styleId="193">
    <w:name w:val="正文须知-2级"/>
    <w:basedOn w:val="1"/>
    <w:autoRedefine/>
    <w:qFormat/>
    <w:uiPriority w:val="0"/>
    <w:pPr>
      <w:numPr>
        <w:ilvl w:val="1"/>
        <w:numId w:val="8"/>
      </w:numPr>
      <w:adjustRightInd w:val="0"/>
      <w:snapToGrid w:val="0"/>
      <w:spacing w:line="300" w:lineRule="auto"/>
    </w:pPr>
    <w:rPr>
      <w:rFonts w:ascii="宋体" w:hAnsi="Calibri"/>
      <w:sz w:val="24"/>
      <w:szCs w:val="21"/>
    </w:rPr>
  </w:style>
  <w:style w:type="paragraph" w:customStyle="1" w:styleId="194">
    <w:name w:val="正文须知-3级"/>
    <w:basedOn w:val="1"/>
    <w:autoRedefine/>
    <w:qFormat/>
    <w:uiPriority w:val="0"/>
    <w:pPr>
      <w:numPr>
        <w:ilvl w:val="2"/>
        <w:numId w:val="8"/>
      </w:numPr>
      <w:adjustRightInd w:val="0"/>
      <w:snapToGrid w:val="0"/>
      <w:spacing w:line="300" w:lineRule="auto"/>
      <w:ind w:hanging="355" w:hangingChars="355"/>
    </w:pPr>
    <w:rPr>
      <w:rFonts w:ascii="宋体" w:hAnsi="Calibri"/>
      <w:sz w:val="24"/>
      <w:szCs w:val="21"/>
    </w:rPr>
  </w:style>
  <w:style w:type="character" w:customStyle="1" w:styleId="195">
    <w:name w:val="批注文字 字符"/>
    <w:autoRedefine/>
    <w:qFormat/>
    <w:uiPriority w:val="99"/>
    <w:rPr>
      <w:rFonts w:ascii="Times New Roman" w:hAnsi="Times New Roman" w:eastAsia="宋体" w:cs="Times New Roman"/>
      <w:sz w:val="24"/>
      <w:lang w:val="en-US" w:eastAsia="zh-CN" w:bidi="ar-SA"/>
    </w:rPr>
  </w:style>
  <w:style w:type="character" w:customStyle="1" w:styleId="196">
    <w:name w:val="纯文本 字符"/>
    <w:autoRedefine/>
    <w:qFormat/>
    <w:uiPriority w:val="99"/>
    <w:rPr>
      <w:rFonts w:ascii="宋体" w:hAnsi="Courier New" w:eastAsia="宋体" w:cs="Times New Roman"/>
      <w:kern w:val="2"/>
      <w:sz w:val="21"/>
      <w:szCs w:val="21"/>
      <w:lang w:val="en-US" w:eastAsia="zh-CN" w:bidi="ar-SA"/>
    </w:rPr>
  </w:style>
  <w:style w:type="paragraph" w:customStyle="1" w:styleId="197">
    <w:name w:val="表格1"/>
    <w:basedOn w:val="1"/>
    <w:autoRedefine/>
    <w:qFormat/>
    <w:uiPriority w:val="0"/>
    <w:pPr>
      <w:ind w:firstLine="480" w:firstLineChars="200"/>
      <w:jc w:val="center"/>
    </w:pPr>
    <w:rPr>
      <w:sz w:val="24"/>
      <w:szCs w:val="20"/>
    </w:rPr>
  </w:style>
  <w:style w:type="character" w:customStyle="1" w:styleId="198">
    <w:name w:val="纯文本 字符1"/>
    <w:autoRedefine/>
    <w:qFormat/>
    <w:uiPriority w:val="0"/>
    <w:rPr>
      <w:rFonts w:ascii="宋体" w:hAnsi="Courier New"/>
    </w:rPr>
  </w:style>
  <w:style w:type="character" w:customStyle="1" w:styleId="199">
    <w:name w:val="bjh-p"/>
    <w:autoRedefine/>
    <w:qFormat/>
    <w:uiPriority w:val="0"/>
  </w:style>
  <w:style w:type="paragraph" w:customStyle="1" w:styleId="200">
    <w:name w:val="无标题条"/>
    <w:next w:val="1"/>
    <w:autoRedefine/>
    <w:qFormat/>
    <w:uiPriority w:val="0"/>
    <w:pPr>
      <w:jc w:val="both"/>
    </w:pPr>
    <w:rPr>
      <w:rFonts w:ascii="Times New Roman" w:hAnsi="Times New Roman" w:eastAsia="宋体" w:cs="Times New Roman"/>
      <w:sz w:val="21"/>
      <w:lang w:val="en-US" w:eastAsia="zh-CN" w:bidi="ar-SA"/>
    </w:rPr>
  </w:style>
  <w:style w:type="character" w:customStyle="1" w:styleId="201">
    <w:name w:val="正文格式 Char"/>
    <w:link w:val="202"/>
    <w:autoRedefine/>
    <w:qFormat/>
    <w:locked/>
    <w:uiPriority w:val="0"/>
    <w:rPr>
      <w:rFonts w:ascii="宋体" w:hAnsi="宋体"/>
      <w:sz w:val="24"/>
      <w:szCs w:val="24"/>
      <w:lang w:val="en-GB"/>
    </w:rPr>
  </w:style>
  <w:style w:type="paragraph" w:customStyle="1" w:styleId="202">
    <w:name w:val="正文格式"/>
    <w:basedOn w:val="1"/>
    <w:link w:val="201"/>
    <w:autoRedefine/>
    <w:qFormat/>
    <w:uiPriority w:val="0"/>
    <w:pPr>
      <w:spacing w:beforeLines="50" w:line="360" w:lineRule="auto"/>
      <w:ind w:firstLine="480" w:firstLineChars="200"/>
    </w:pPr>
    <w:rPr>
      <w:rFonts w:ascii="宋体" w:hAnsi="宋体"/>
      <w:kern w:val="0"/>
      <w:sz w:val="24"/>
      <w:lang w:val="en-GB"/>
    </w:rPr>
  </w:style>
  <w:style w:type="character" w:customStyle="1" w:styleId="203">
    <w:name w:val="纯文本 字符2"/>
    <w:basedOn w:val="47"/>
    <w:link w:val="24"/>
    <w:autoRedefine/>
    <w:qFormat/>
    <w:uiPriority w:val="0"/>
    <w:rPr>
      <w:rFonts w:hint="eastAsia" w:ascii="宋体" w:hAnsi="Courier New" w:eastAsia="宋体" w:cs="宋体"/>
      <w:kern w:val="2"/>
      <w:sz w:val="21"/>
    </w:rPr>
  </w:style>
  <w:style w:type="character" w:customStyle="1" w:styleId="204">
    <w:name w:val="标题 3 Char"/>
    <w:autoRedefine/>
    <w:qFormat/>
    <w:uiPriority w:val="0"/>
    <w:rPr>
      <w:rFonts w:ascii="宋体" w:eastAsia="宋体"/>
      <w:b/>
      <w:sz w:val="24"/>
      <w:u w:val="single"/>
      <w:lang w:val="en-US" w:eastAsia="zh-CN" w:bidi="ar-SA"/>
    </w:rPr>
  </w:style>
  <w:style w:type="character" w:customStyle="1" w:styleId="205">
    <w:name w:val="正文缩进 Char"/>
    <w:autoRedefine/>
    <w:qFormat/>
    <w:uiPriority w:val="0"/>
    <w:rPr>
      <w:rFonts w:ascii="宋体" w:eastAsia="宋体"/>
      <w:kern w:val="2"/>
      <w:sz w:val="24"/>
      <w:szCs w:val="24"/>
      <w:lang w:val="en-US" w:eastAsia="zh-CN" w:bidi="ar-SA"/>
    </w:rPr>
  </w:style>
  <w:style w:type="character" w:customStyle="1" w:styleId="206">
    <w:name w:val="Char Char111"/>
    <w:autoRedefine/>
    <w:qFormat/>
    <w:uiPriority w:val="0"/>
    <w:rPr>
      <w:rFonts w:ascii="宋体" w:eastAsia="宋体"/>
      <w:b/>
      <w:sz w:val="24"/>
      <w:u w:val="single"/>
      <w:lang w:val="en-US" w:eastAsia="zh-CN" w:bidi="ar-SA"/>
    </w:rPr>
  </w:style>
  <w:style w:type="character" w:customStyle="1" w:styleId="207">
    <w:name w:val="正文文本缩进 Char"/>
    <w:autoRedefine/>
    <w:qFormat/>
    <w:uiPriority w:val="0"/>
    <w:rPr>
      <w:rFonts w:eastAsia="宋体"/>
      <w:kern w:val="2"/>
      <w:sz w:val="24"/>
      <w:szCs w:val="24"/>
      <w:lang w:val="en-US" w:eastAsia="zh-CN" w:bidi="ar-SA"/>
    </w:rPr>
  </w:style>
  <w:style w:type="character" w:customStyle="1" w:styleId="208">
    <w:name w:val="列出段落 Char"/>
    <w:autoRedefine/>
    <w:qFormat/>
    <w:uiPriority w:val="0"/>
    <w:rPr>
      <w:rFonts w:ascii="Calibri" w:hAnsi="Calibri" w:eastAsia="宋体"/>
      <w:kern w:val="2"/>
      <w:sz w:val="21"/>
      <w:szCs w:val="22"/>
      <w:lang w:val="en-US" w:eastAsia="zh-CN" w:bidi="ar-SA"/>
    </w:rPr>
  </w:style>
  <w:style w:type="character" w:customStyle="1" w:styleId="209">
    <w:name w:val="页眉 Char"/>
    <w:autoRedefine/>
    <w:qFormat/>
    <w:uiPriority w:val="0"/>
    <w:rPr>
      <w:rFonts w:eastAsia="宋体"/>
      <w:kern w:val="2"/>
      <w:sz w:val="18"/>
      <w:szCs w:val="18"/>
      <w:lang w:val="en-US" w:eastAsia="zh-CN" w:bidi="ar-SA"/>
    </w:rPr>
  </w:style>
  <w:style w:type="character" w:customStyle="1" w:styleId="210">
    <w:name w:val="标题 2 Char"/>
    <w:autoRedefine/>
    <w:qFormat/>
    <w:uiPriority w:val="0"/>
    <w:rPr>
      <w:rFonts w:ascii="Arial" w:hAnsi="Arial" w:eastAsia="黑体"/>
      <w:b/>
      <w:sz w:val="30"/>
      <w:lang w:val="en-US" w:eastAsia="zh-CN" w:bidi="ar-SA"/>
    </w:rPr>
  </w:style>
  <w:style w:type="paragraph" w:customStyle="1" w:styleId="211">
    <w:name w:val="字元 字元2"/>
    <w:basedOn w:val="1"/>
    <w:autoRedefine/>
    <w:qFormat/>
    <w:uiPriority w:val="0"/>
    <w:rPr>
      <w:rFonts w:ascii="Tahoma" w:hAnsi="Tahoma"/>
      <w:sz w:val="24"/>
      <w:szCs w:val="20"/>
    </w:rPr>
  </w:style>
  <w:style w:type="paragraph" w:customStyle="1" w:styleId="212">
    <w:name w:val="Char3 Char Char Char2"/>
    <w:basedOn w:val="1"/>
    <w:autoRedefine/>
    <w:qFormat/>
    <w:uiPriority w:val="0"/>
    <w:rPr>
      <w:rFonts w:ascii="Tahoma" w:hAnsi="Tahoma"/>
      <w:sz w:val="24"/>
      <w:szCs w:val="20"/>
    </w:rPr>
  </w:style>
  <w:style w:type="paragraph" w:customStyle="1" w:styleId="213">
    <w:name w:val="正文文本缩进2"/>
    <w:basedOn w:val="1"/>
    <w:autoRedefine/>
    <w:qFormat/>
    <w:uiPriority w:val="0"/>
    <w:pPr>
      <w:spacing w:line="480" w:lineRule="exact"/>
      <w:ind w:firstLine="480" w:firstLineChars="200"/>
    </w:pPr>
    <w:rPr>
      <w:rFonts w:ascii="宋体" w:hAnsi="宋体"/>
      <w:kern w:val="0"/>
      <w:sz w:val="24"/>
      <w:lang w:val="zh-CN" w:eastAsia="zh-CN"/>
    </w:rPr>
  </w:style>
  <w:style w:type="paragraph" w:customStyle="1" w:styleId="214">
    <w:name w:val="Char3"/>
    <w:basedOn w:val="1"/>
    <w:autoRedefine/>
    <w:qFormat/>
    <w:uiPriority w:val="0"/>
    <w:pPr>
      <w:tabs>
        <w:tab w:val="left" w:pos="360"/>
      </w:tabs>
    </w:pPr>
    <w:rPr>
      <w:sz w:val="24"/>
    </w:rPr>
  </w:style>
  <w:style w:type="paragraph" w:customStyle="1" w:styleId="215">
    <w:name w:val="Char Char Char Char Char Char Char Char Char Char Char Char Char Char Char Char1"/>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216">
    <w:name w:val="Char Char1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7">
    <w:name w:val="列出段落2"/>
    <w:basedOn w:val="1"/>
    <w:autoRedefine/>
    <w:qFormat/>
    <w:uiPriority w:val="0"/>
    <w:pPr>
      <w:ind w:firstLine="420" w:firstLineChars="200"/>
    </w:pPr>
    <w:rPr>
      <w:rFonts w:ascii="Calibri" w:hAnsi="Calibri"/>
      <w:szCs w:val="22"/>
    </w:rPr>
  </w:style>
  <w:style w:type="paragraph" w:customStyle="1" w:styleId="218">
    <w:name w:val="Char Char Char1 Char2"/>
    <w:basedOn w:val="1"/>
    <w:autoRedefine/>
    <w:qFormat/>
    <w:uiPriority w:val="0"/>
    <w:rPr>
      <w:rFonts w:ascii="Tahoma" w:hAnsi="Tahoma"/>
      <w:sz w:val="24"/>
      <w:szCs w:val="20"/>
    </w:rPr>
  </w:style>
  <w:style w:type="paragraph" w:customStyle="1" w:styleId="219">
    <w:name w:val="Char Char Char2"/>
    <w:basedOn w:val="1"/>
    <w:autoRedefine/>
    <w:qFormat/>
    <w:uiPriority w:val="0"/>
    <w:rPr>
      <w:rFonts w:ascii="Tahoma" w:hAnsi="Tahoma"/>
      <w:sz w:val="24"/>
      <w:szCs w:val="20"/>
    </w:rPr>
  </w:style>
  <w:style w:type="paragraph" w:customStyle="1" w:styleId="220">
    <w:name w:val="Char Char Char Char Char Char Char2"/>
    <w:basedOn w:val="1"/>
    <w:autoRedefine/>
    <w:qFormat/>
    <w:uiPriority w:val="0"/>
    <w:pPr>
      <w:snapToGrid w:val="0"/>
      <w:spacing w:line="360" w:lineRule="auto"/>
      <w:ind w:firstLine="200" w:firstLineChars="200"/>
    </w:pPr>
    <w:rPr>
      <w:rFonts w:eastAsia="仿宋_GB2312"/>
      <w:sz w:val="24"/>
    </w:rPr>
  </w:style>
  <w:style w:type="paragraph" w:customStyle="1" w:styleId="221">
    <w:name w:val="正文缩进2"/>
    <w:basedOn w:val="1"/>
    <w:autoRedefine/>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22">
    <w:name w:val="Revision"/>
    <w:autoRedefine/>
    <w:qFormat/>
    <w:uiPriority w:val="0"/>
    <w:rPr>
      <w:rFonts w:ascii="Times New Roman" w:hAnsi="Times New Roman" w:eastAsia="宋体" w:cs="Times New Roman"/>
      <w:kern w:val="2"/>
      <w:sz w:val="21"/>
      <w:szCs w:val="24"/>
      <w:lang w:val="en-US" w:eastAsia="zh-CN" w:bidi="ar-SA"/>
    </w:rPr>
  </w:style>
  <w:style w:type="paragraph" w:customStyle="1" w:styleId="223">
    <w:name w:val="Char22"/>
    <w:basedOn w:val="1"/>
    <w:autoRedefine/>
    <w:qFormat/>
    <w:uiPriority w:val="0"/>
    <w:rPr>
      <w:rFonts w:ascii="Tahoma" w:hAnsi="Tahoma"/>
      <w:sz w:val="24"/>
      <w:szCs w:val="20"/>
    </w:rPr>
  </w:style>
  <w:style w:type="paragraph" w:customStyle="1" w:styleId="224">
    <w:name w:val="Char Char Char Char Char Char Char Char Char Char2"/>
    <w:basedOn w:val="1"/>
    <w:autoRedefine/>
    <w:qFormat/>
    <w:uiPriority w:val="0"/>
    <w:rPr>
      <w:rFonts w:ascii="宋体" w:hAnsi="宋体" w:cs="Courier New"/>
      <w:sz w:val="32"/>
      <w:szCs w:val="32"/>
    </w:rPr>
  </w:style>
  <w:style w:type="paragraph" w:customStyle="1" w:styleId="225">
    <w:name w:val="Char2 Char Char Char Char Char Char1"/>
    <w:basedOn w:val="1"/>
    <w:autoRedefine/>
    <w:qFormat/>
    <w:uiPriority w:val="0"/>
    <w:pPr>
      <w:widowControl/>
      <w:spacing w:line="400" w:lineRule="exact"/>
      <w:jc w:val="center"/>
    </w:pPr>
  </w:style>
  <w:style w:type="character" w:customStyle="1" w:styleId="226">
    <w:name w:val="页脚 Char"/>
    <w:autoRedefine/>
    <w:qFormat/>
    <w:uiPriority w:val="0"/>
    <w:rPr>
      <w:rFonts w:ascii="宋体" w:eastAsia="宋体"/>
      <w:sz w:val="18"/>
      <w:lang w:val="en-US" w:eastAsia="zh-CN" w:bidi="ar-SA"/>
    </w:rPr>
  </w:style>
  <w:style w:type="paragraph" w:customStyle="1" w:styleId="227">
    <w:name w:val="Char Char41"/>
    <w:basedOn w:val="1"/>
    <w:autoRedefine/>
    <w:qFormat/>
    <w:uiPriority w:val="0"/>
    <w:pPr>
      <w:widowControl/>
      <w:spacing w:line="400" w:lineRule="exact"/>
      <w:jc w:val="center"/>
    </w:pPr>
  </w:style>
  <w:style w:type="character" w:customStyle="1" w:styleId="228">
    <w:name w:val="批注文字 Char"/>
    <w:autoRedefine/>
    <w:qFormat/>
    <w:uiPriority w:val="99"/>
    <w:rPr>
      <w:kern w:val="2"/>
      <w:sz w:val="21"/>
      <w:szCs w:val="24"/>
    </w:rPr>
  </w:style>
  <w:style w:type="character" w:customStyle="1" w:styleId="229">
    <w:name w:val="标题 Char"/>
    <w:autoRedefine/>
    <w:qFormat/>
    <w:uiPriority w:val="0"/>
    <w:rPr>
      <w:b/>
      <w:kern w:val="2"/>
      <w:sz w:val="32"/>
    </w:rPr>
  </w:style>
  <w:style w:type="character" w:customStyle="1" w:styleId="230">
    <w:name w:val="标题 1 字符"/>
    <w:basedOn w:val="47"/>
    <w:link w:val="3"/>
    <w:autoRedefine/>
    <w:qFormat/>
    <w:uiPriority w:val="0"/>
    <w:rPr>
      <w:rFonts w:ascii="宋体"/>
      <w:b/>
      <w:kern w:val="44"/>
      <w:sz w:val="32"/>
    </w:rPr>
  </w:style>
  <w:style w:type="character" w:customStyle="1" w:styleId="231">
    <w:name w:val="标题 4 字符"/>
    <w:basedOn w:val="47"/>
    <w:link w:val="6"/>
    <w:autoRedefine/>
    <w:qFormat/>
    <w:uiPriority w:val="0"/>
    <w:rPr>
      <w:rFonts w:ascii="Arial" w:hAnsi="Arial" w:eastAsia="黑体"/>
      <w:b/>
      <w:sz w:val="28"/>
    </w:rPr>
  </w:style>
  <w:style w:type="character" w:customStyle="1" w:styleId="232">
    <w:name w:val="标题 5 字符"/>
    <w:basedOn w:val="47"/>
    <w:link w:val="7"/>
    <w:autoRedefine/>
    <w:qFormat/>
    <w:uiPriority w:val="0"/>
    <w:rPr>
      <w:b/>
      <w:sz w:val="28"/>
    </w:rPr>
  </w:style>
  <w:style w:type="character" w:customStyle="1" w:styleId="233">
    <w:name w:val="标题 6 字符"/>
    <w:basedOn w:val="47"/>
    <w:link w:val="8"/>
    <w:autoRedefine/>
    <w:qFormat/>
    <w:uiPriority w:val="0"/>
    <w:rPr>
      <w:rFonts w:ascii="Arial" w:hAnsi="Arial" w:eastAsia="黑体"/>
      <w:b/>
      <w:sz w:val="24"/>
    </w:rPr>
  </w:style>
  <w:style w:type="character" w:customStyle="1" w:styleId="234">
    <w:name w:val="标题 7 字符"/>
    <w:basedOn w:val="47"/>
    <w:link w:val="9"/>
    <w:autoRedefine/>
    <w:qFormat/>
    <w:uiPriority w:val="0"/>
    <w:rPr>
      <w:b/>
      <w:sz w:val="24"/>
    </w:rPr>
  </w:style>
  <w:style w:type="character" w:customStyle="1" w:styleId="235">
    <w:name w:val="标题 8 字符"/>
    <w:basedOn w:val="47"/>
    <w:link w:val="10"/>
    <w:autoRedefine/>
    <w:qFormat/>
    <w:uiPriority w:val="0"/>
    <w:rPr>
      <w:rFonts w:ascii="Arial" w:hAnsi="Arial" w:eastAsia="黑体"/>
      <w:sz w:val="24"/>
    </w:rPr>
  </w:style>
  <w:style w:type="character" w:customStyle="1" w:styleId="236">
    <w:name w:val="标题 9 字符"/>
    <w:basedOn w:val="47"/>
    <w:link w:val="11"/>
    <w:autoRedefine/>
    <w:qFormat/>
    <w:uiPriority w:val="0"/>
    <w:rPr>
      <w:rFonts w:ascii="Arial" w:hAnsi="Arial" w:eastAsia="黑体"/>
      <w:sz w:val="21"/>
    </w:rPr>
  </w:style>
  <w:style w:type="character" w:customStyle="1" w:styleId="237">
    <w:name w:val="文档结构图 字符"/>
    <w:basedOn w:val="47"/>
    <w:link w:val="14"/>
    <w:autoRedefine/>
    <w:qFormat/>
    <w:uiPriority w:val="0"/>
    <w:rPr>
      <w:kern w:val="2"/>
      <w:sz w:val="21"/>
      <w:szCs w:val="24"/>
      <w:shd w:val="clear" w:color="auto" w:fill="000080"/>
    </w:rPr>
  </w:style>
  <w:style w:type="character" w:customStyle="1" w:styleId="238">
    <w:name w:val="正文文本 3 字符"/>
    <w:basedOn w:val="47"/>
    <w:link w:val="16"/>
    <w:autoRedefine/>
    <w:qFormat/>
    <w:uiPriority w:val="0"/>
    <w:rPr>
      <w:kern w:val="2"/>
      <w:sz w:val="16"/>
      <w:szCs w:val="16"/>
    </w:rPr>
  </w:style>
  <w:style w:type="character" w:customStyle="1" w:styleId="239">
    <w:name w:val="正文文本 字符"/>
    <w:basedOn w:val="47"/>
    <w:link w:val="18"/>
    <w:autoRedefine/>
    <w:qFormat/>
    <w:uiPriority w:val="0"/>
    <w:rPr>
      <w:rFonts w:ascii="宋体" w:hAnsi="宋体"/>
      <w:kern w:val="2"/>
      <w:sz w:val="24"/>
      <w:szCs w:val="24"/>
    </w:rPr>
  </w:style>
  <w:style w:type="character" w:customStyle="1" w:styleId="240">
    <w:name w:val="日期 字符"/>
    <w:basedOn w:val="47"/>
    <w:link w:val="26"/>
    <w:autoRedefine/>
    <w:qFormat/>
    <w:uiPriority w:val="0"/>
    <w:rPr>
      <w:rFonts w:ascii="仿宋_GB2312" w:hAnsi="宋体" w:eastAsia="仿宋_GB2312"/>
      <w:color w:val="000000"/>
      <w:kern w:val="2"/>
      <w:sz w:val="24"/>
      <w:szCs w:val="24"/>
    </w:rPr>
  </w:style>
  <w:style w:type="character" w:customStyle="1" w:styleId="241">
    <w:name w:val="正文文本缩进 2 字符"/>
    <w:basedOn w:val="47"/>
    <w:link w:val="27"/>
    <w:autoRedefine/>
    <w:qFormat/>
    <w:uiPriority w:val="0"/>
    <w:rPr>
      <w:rFonts w:ascii="仿宋_GB2312" w:eastAsia="仿宋_GB2312"/>
      <w:kern w:val="2"/>
      <w:sz w:val="24"/>
      <w:szCs w:val="24"/>
    </w:rPr>
  </w:style>
  <w:style w:type="character" w:customStyle="1" w:styleId="242">
    <w:name w:val="批注框文本 字符"/>
    <w:basedOn w:val="47"/>
    <w:link w:val="28"/>
    <w:autoRedefine/>
    <w:qFormat/>
    <w:uiPriority w:val="0"/>
    <w:rPr>
      <w:kern w:val="2"/>
      <w:sz w:val="18"/>
      <w:szCs w:val="18"/>
    </w:rPr>
  </w:style>
  <w:style w:type="character" w:customStyle="1" w:styleId="243">
    <w:name w:val="正文文本缩进 3 字符"/>
    <w:basedOn w:val="47"/>
    <w:link w:val="35"/>
    <w:autoRedefine/>
    <w:qFormat/>
    <w:uiPriority w:val="0"/>
    <w:rPr>
      <w:rFonts w:ascii="宋体"/>
      <w:sz w:val="24"/>
    </w:rPr>
  </w:style>
  <w:style w:type="character" w:customStyle="1" w:styleId="244">
    <w:name w:val="HTML 预设格式 字符"/>
    <w:basedOn w:val="47"/>
    <w:link w:val="38"/>
    <w:autoRedefine/>
    <w:qFormat/>
    <w:uiPriority w:val="0"/>
    <w:rPr>
      <w:rFonts w:ascii="宋体" w:hAnsi="宋体" w:cs="宋体"/>
      <w:sz w:val="24"/>
      <w:szCs w:val="24"/>
    </w:rPr>
  </w:style>
  <w:style w:type="character" w:customStyle="1" w:styleId="245">
    <w:name w:val="批注主题 字符"/>
    <w:basedOn w:val="195"/>
    <w:link w:val="42"/>
    <w:autoRedefine/>
    <w:qFormat/>
    <w:uiPriority w:val="0"/>
    <w:rPr>
      <w:rFonts w:ascii="Times New Roman" w:hAnsi="Times New Roman" w:eastAsia="宋体" w:cs="Times New Roman"/>
      <w:b/>
      <w:bCs/>
      <w:kern w:val="2"/>
      <w:sz w:val="21"/>
      <w:szCs w:val="24"/>
      <w:lang w:val="en-US" w:eastAsia="zh-CN" w:bidi="ar-SA"/>
    </w:rPr>
  </w:style>
  <w:style w:type="character" w:customStyle="1" w:styleId="246">
    <w:name w:val="正文文本首行缩进 2 字符"/>
    <w:basedOn w:val="68"/>
    <w:link w:val="43"/>
    <w:autoRedefine/>
    <w:qFormat/>
    <w:uiPriority w:val="0"/>
    <w:rPr>
      <w:rFonts w:eastAsia="宋体"/>
      <w:kern w:val="2"/>
      <w:sz w:val="24"/>
      <w:szCs w:val="24"/>
      <w:lang w:val="en-US" w:eastAsia="zh-CN" w:bidi="ar-SA"/>
    </w:rPr>
  </w:style>
  <w:style w:type="paragraph" w:customStyle="1" w:styleId="247">
    <w:name w:val="图例"/>
    <w:basedOn w:val="1"/>
    <w:autoRedefine/>
    <w:qFormat/>
    <w:uiPriority w:val="0"/>
    <w:pPr>
      <w:spacing w:before="120" w:after="120" w:line="360" w:lineRule="auto"/>
      <w:jc w:val="center"/>
    </w:pPr>
    <w:rPr>
      <w:rFonts w:eastAsia="仿宋_GB2312"/>
      <w:b/>
      <w:sz w:val="24"/>
      <w:szCs w:val="20"/>
    </w:rPr>
  </w:style>
  <w:style w:type="paragraph" w:customStyle="1" w:styleId="248">
    <w:name w:val="Table Paragraph"/>
    <w:basedOn w:val="1"/>
    <w:autoRedefine/>
    <w:qFormat/>
    <w:uiPriority w:val="1"/>
    <w:pPr>
      <w:autoSpaceDE w:val="0"/>
      <w:autoSpaceDN w:val="0"/>
      <w:jc w:val="left"/>
    </w:pPr>
    <w:rPr>
      <w:rFonts w:ascii="宋体" w:hAnsi="宋体" w:cs="宋体"/>
      <w:kern w:val="0"/>
      <w:sz w:val="22"/>
      <w:szCs w:val="22"/>
      <w:lang w:eastAsia="en-US"/>
    </w:rPr>
  </w:style>
  <w:style w:type="table" w:customStyle="1" w:styleId="249">
    <w:name w:val="Table Normal"/>
    <w:autoRedefine/>
    <w:semiHidden/>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50">
    <w:name w:val="样式 标题 3 + (中文) 黑体 小四 非加粗 段前: 7.8 磅 段后: 0 磅 行距: 固定值 20 磅"/>
    <w:basedOn w:val="5"/>
    <w:autoRedefine/>
    <w:qFormat/>
    <w:uiPriority w:val="0"/>
    <w:pPr>
      <w:autoSpaceDE/>
      <w:autoSpaceDN/>
      <w:adjustRightInd/>
      <w:spacing w:before="260" w:beforeLines="50" w:after="260" w:afterLines="50" w:line="360" w:lineRule="auto"/>
      <w:jc w:val="both"/>
    </w:pPr>
    <w:rPr>
      <w:b w:val="0"/>
      <w:kern w:val="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CFC125-CB4D-469E-B613-909613273AF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64</Pages>
  <Words>29652</Words>
  <Characters>31226</Characters>
  <Lines>226</Lines>
  <Paragraphs>63</Paragraphs>
  <TotalTime>49</TotalTime>
  <ScaleCrop>false</ScaleCrop>
  <LinksUpToDate>false</LinksUpToDate>
  <CharactersWithSpaces>32066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2023-06-08T06:39:00Z</dcterms:created>
  <dc:creator>Yin Hao</dc:creator>
  <cp:lastModifiedBy>WPS_1657586510</cp:lastModifiedBy>
  <cp:lastPrinted>2023-11-16T06:39:00Z</cp:lastPrinted>
  <dcterms:modified xsi:type="dcterms:W3CDTF">2025-03-18T01:34:39Z</dcterms:modified>
  <dc:title>政府采购示范文本（2023）</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B196972313054D4789BB25DBD05B5736</vt:lpwstr>
  </property>
  <property fmtid="{D5CDD505-2E9C-101B-9397-08002B2CF9AE}" pid="4" name="KSOTemplateDocerSaveRecord">
    <vt:lpwstr>eyJoZGlkIjoiNGQwOGIzY2IzMDNhYjgwZjVmOGUyYWNkYWZhNWNmNmIiLCJ1c2VySWQiOiIxMzg1NjcxMjQ5In0=</vt:lpwstr>
  </property>
</Properties>
</file>