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val="en-US" w:eastAsia="zh-CN"/>
        </w:rPr>
      </w:pPr>
      <w:bookmarkStart w:id="0" w:name="_Toc353873935"/>
      <w:bookmarkStart w:id="1" w:name="_Toc150774760"/>
      <w:bookmarkStart w:id="2" w:name="_Toc195842920"/>
      <w:bookmarkStart w:id="3" w:name="_Toc150480793"/>
      <w:bookmarkStart w:id="4" w:name="_Toc226337251"/>
      <w:bookmarkStart w:id="5" w:name="_Toc353873665"/>
      <w:bookmarkStart w:id="6" w:name="_Toc142311057"/>
      <w:bookmarkStart w:id="7" w:name="_Toc127151555"/>
      <w:bookmarkStart w:id="8" w:name="_Toc265228393"/>
      <w:bookmarkStart w:id="9" w:name="_Toc305158897"/>
      <w:bookmarkStart w:id="10" w:name="_Toc305158823"/>
      <w:bookmarkStart w:id="11" w:name="_Toc353825545"/>
      <w:bookmarkStart w:id="12" w:name="_Toc264969245"/>
      <w:bookmarkStart w:id="13" w:name="_Toc226965828"/>
    </w:p>
    <w:p>
      <w:pPr>
        <w:pStyle w:val="3"/>
        <w:keepNext w:val="0"/>
        <w:keepLines w:val="0"/>
        <w:widowControl/>
        <w:suppressLineNumbers w:val="0"/>
        <w:shd w:val="clear" w:fill="FFFFFF"/>
        <w:spacing w:before="0" w:beforeAutospacing="0" w:after="240" w:afterAutospacing="0"/>
        <w:ind w:left="0" w:firstLine="1084" w:firstLineChars="300"/>
        <w:rPr>
          <w:rFonts w:hint="eastAsia" w:eastAsia="宋体"/>
          <w:b/>
          <w:color w:val="auto"/>
          <w:sz w:val="36"/>
          <w:szCs w:val="36"/>
          <w:highlight w:val="none"/>
          <w:lang w:eastAsia="zh-CN"/>
        </w:rPr>
      </w:pPr>
      <w:bookmarkStart w:id="14" w:name="OLE_LINK15"/>
      <w:bookmarkStart w:id="15" w:name="_Toc99301424"/>
      <w:r>
        <w:rPr>
          <w:rFonts w:hint="default"/>
          <w:b/>
          <w:color w:val="auto"/>
          <w:sz w:val="36"/>
          <w:szCs w:val="36"/>
          <w:highlight w:val="none"/>
          <w:lang w:val="en-US" w:eastAsia="zh-CN"/>
        </w:rPr>
        <w:t>档案用房密集架及办公家具采购</w:t>
      </w:r>
      <w:bookmarkEnd w:id="14"/>
      <w:r>
        <w:rPr>
          <w:rFonts w:hint="eastAsia"/>
          <w:b/>
          <w:color w:val="auto"/>
          <w:sz w:val="36"/>
          <w:szCs w:val="36"/>
          <w:highlight w:val="none"/>
          <w:lang w:eastAsia="zh-CN"/>
        </w:rPr>
        <w:t>采购需求</w:t>
      </w:r>
      <w:bookmarkEnd w:id="15"/>
    </w:p>
    <w:p>
      <w:pPr>
        <w:numPr>
          <w:ilvl w:val="0"/>
          <w:numId w:val="1"/>
        </w:numPr>
        <w:spacing w:line="360" w:lineRule="auto"/>
        <w:ind w:left="2310" w:leftChars="0" w:firstLine="602" w:firstLineChars="200"/>
        <w:rPr>
          <w:rFonts w:hint="eastAsia" w:ascii="宋体" w:hAnsi="宋体"/>
          <w:b/>
          <w:bCs/>
          <w:color w:val="auto"/>
          <w:sz w:val="30"/>
          <w:szCs w:val="30"/>
          <w:lang w:val="en-US" w:eastAsia="zh-CN"/>
        </w:rPr>
      </w:pPr>
      <w:r>
        <w:rPr>
          <w:rFonts w:hint="eastAsia" w:ascii="宋体" w:hAnsi="宋体"/>
          <w:b/>
          <w:bCs/>
          <w:color w:val="auto"/>
          <w:sz w:val="30"/>
          <w:szCs w:val="30"/>
          <w:lang w:val="en-US" w:eastAsia="zh-CN"/>
        </w:rPr>
        <w:t xml:space="preserve"> 采购标的</w:t>
      </w:r>
    </w:p>
    <w:p>
      <w:pPr>
        <w:spacing w:line="400" w:lineRule="exact"/>
        <w:ind w:firstLine="482" w:firstLineChars="200"/>
        <w:rPr>
          <w:rFonts w:ascii="宋体" w:hAnsi="宋体" w:eastAsia="宋体" w:cs="仿宋_GB2312"/>
          <w:color w:val="auto"/>
          <w:sz w:val="24"/>
        </w:rPr>
      </w:pPr>
      <w:r>
        <w:rPr>
          <w:rFonts w:hint="eastAsia" w:ascii="宋体" w:hAnsi="宋体" w:eastAsia="宋体" w:cs="宋体"/>
          <w:b/>
          <w:bCs/>
          <w:color w:val="auto"/>
          <w:sz w:val="24"/>
        </w:rPr>
        <w:t>一、项目概述</w:t>
      </w:r>
      <w:r>
        <w:rPr>
          <w:rFonts w:hint="eastAsia" w:ascii="宋体" w:hAnsi="宋体" w:eastAsia="宋体" w:cs="仿宋_GB2312"/>
          <w:color w:val="auto"/>
          <w:sz w:val="24"/>
        </w:rPr>
        <w:t xml:space="preserve"> </w:t>
      </w:r>
    </w:p>
    <w:p>
      <w:pPr>
        <w:spacing w:line="440" w:lineRule="exact"/>
        <w:ind w:firstLine="480" w:firstLineChars="200"/>
        <w:rPr>
          <w:rFonts w:ascii="宋体" w:hAnsi="宋体" w:eastAsia="宋体" w:cs="仿宋_GB2312"/>
          <w:color w:val="auto"/>
          <w:sz w:val="24"/>
        </w:rPr>
      </w:pPr>
      <w:r>
        <w:rPr>
          <w:rFonts w:hint="eastAsia" w:ascii="宋体" w:hAnsi="宋体" w:eastAsia="宋体" w:cs="仿宋_GB2312"/>
          <w:color w:val="auto"/>
          <w:sz w:val="24"/>
        </w:rPr>
        <w:t>项目名称：档案用房密集架及办公家具采购</w:t>
      </w:r>
      <w:bookmarkStart w:id="33" w:name="_GoBack"/>
      <w:bookmarkEnd w:id="33"/>
    </w:p>
    <w:p>
      <w:pPr>
        <w:spacing w:line="440" w:lineRule="exact"/>
        <w:ind w:firstLine="480" w:firstLineChars="200"/>
        <w:rPr>
          <w:rFonts w:ascii="宋体" w:hAnsi="宋体" w:eastAsia="宋体" w:cs="仿宋_GB2312"/>
          <w:color w:val="auto"/>
          <w:sz w:val="24"/>
        </w:rPr>
      </w:pPr>
      <w:r>
        <w:rPr>
          <w:rFonts w:hint="eastAsia" w:ascii="宋体" w:hAnsi="宋体" w:eastAsia="宋体" w:cs="仿宋_GB2312"/>
          <w:color w:val="auto"/>
          <w:sz w:val="24"/>
        </w:rPr>
        <w:t>北京市昌平区市场监督管理局新建档案库房，总建筑面积1813.2㎡,根据档案业务发展需要，结合新建档案库房管理实际情况，从提升档案工作效率，保护档案实体安全角度考虑，拟采购手动档案密集架1600立方米及一批办公家具。通过本项目建设，更好保障档案实体安全、发挥档案价值、高效规范管理，为档案安全提供支撑和保障。</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仿宋_GB2312"/>
          <w:color w:val="auto"/>
          <w:sz w:val="24"/>
          <w:szCs w:val="24"/>
          <w:lang w:eastAsia="zh-CN"/>
        </w:rPr>
      </w:pPr>
      <w:r>
        <w:rPr>
          <w:rFonts w:hint="eastAsia" w:ascii="宋体" w:hAnsi="宋体" w:eastAsia="宋体" w:cs="仿宋_GB2312"/>
          <w:color w:val="auto"/>
          <w:sz w:val="24"/>
          <w:szCs w:val="24"/>
          <w:lang w:eastAsia="zh-CN"/>
        </w:rPr>
        <w:t>合同履行</w:t>
      </w:r>
      <w:r>
        <w:rPr>
          <w:rFonts w:hint="eastAsia" w:ascii="宋体" w:hAnsi="宋体" w:eastAsia="宋体" w:cs="仿宋_GB2312"/>
          <w:color w:val="auto"/>
          <w:sz w:val="24"/>
          <w:szCs w:val="24"/>
        </w:rPr>
        <w:t>期限：自合同签订之日起4个月内完成密集架及</w:t>
      </w:r>
      <w:r>
        <w:rPr>
          <w:rFonts w:hint="eastAsia" w:ascii="宋体" w:hAnsi="宋体" w:eastAsia="宋体" w:cs="仿宋_GB2312"/>
          <w:color w:val="auto"/>
          <w:sz w:val="24"/>
          <w:szCs w:val="24"/>
          <w:lang w:eastAsia="zh-CN"/>
        </w:rPr>
        <w:t>其他</w:t>
      </w:r>
      <w:r>
        <w:rPr>
          <w:rFonts w:hint="eastAsia" w:ascii="宋体" w:hAnsi="宋体" w:eastAsia="宋体" w:cs="仿宋_GB2312"/>
          <w:color w:val="auto"/>
          <w:sz w:val="24"/>
          <w:szCs w:val="24"/>
        </w:rPr>
        <w:t>办公家具</w:t>
      </w:r>
      <w:r>
        <w:rPr>
          <w:rFonts w:hint="eastAsia" w:ascii="宋体" w:hAnsi="宋体" w:eastAsia="宋体" w:cs="仿宋_GB2312"/>
          <w:color w:val="auto"/>
          <w:sz w:val="24"/>
          <w:szCs w:val="24"/>
          <w:lang w:eastAsia="zh-CN"/>
        </w:rPr>
        <w:t>的安装调试和正式验收。</w:t>
      </w:r>
    </w:p>
    <w:p>
      <w:pPr>
        <w:pStyle w:val="2"/>
        <w:numPr>
          <w:ilvl w:val="0"/>
          <w:numId w:val="2"/>
        </w:numPr>
        <w:ind w:left="481" w:leftChars="0" w:firstLine="0" w:firstLineChars="0"/>
        <w:rPr>
          <w:rFonts w:hint="eastAsia" w:ascii="宋体" w:hAnsi="宋体" w:eastAsia="宋体" w:cs="仿宋_GB2312"/>
          <w:b/>
          <w:bCs/>
          <w:color w:val="auto"/>
          <w:sz w:val="24"/>
          <w:szCs w:val="24"/>
          <w:lang w:val="en-US" w:eastAsia="zh-CN"/>
        </w:rPr>
      </w:pPr>
      <w:r>
        <w:rPr>
          <w:rFonts w:hint="eastAsia" w:ascii="宋体" w:hAnsi="宋体" w:eastAsia="宋体" w:cs="仿宋_GB2312"/>
          <w:b/>
          <w:bCs/>
          <w:color w:val="auto"/>
          <w:sz w:val="24"/>
          <w:szCs w:val="24"/>
          <w:lang w:val="en-US" w:eastAsia="zh-CN"/>
        </w:rPr>
        <w:t>项目技术执行标准</w:t>
      </w:r>
    </w:p>
    <w:p>
      <w:pPr>
        <w:pStyle w:val="2"/>
        <w:numPr>
          <w:ilvl w:val="0"/>
          <w:numId w:val="0"/>
        </w:numPr>
        <w:ind w:left="481" w:leftChars="0"/>
        <w:rPr>
          <w:rFonts w:hint="eastAsia" w:ascii="宋体" w:hAnsi="宋体" w:eastAsia="宋体" w:cs="仿宋_GB2312"/>
          <w:b w:val="0"/>
          <w:bCs w:val="0"/>
          <w:color w:val="auto"/>
          <w:sz w:val="24"/>
          <w:szCs w:val="24"/>
          <w:lang w:val="en-US" w:eastAsia="zh-CN"/>
        </w:rPr>
      </w:pPr>
      <w:r>
        <w:rPr>
          <w:rFonts w:hint="eastAsia" w:ascii="宋体" w:hAnsi="宋体" w:eastAsia="宋体" w:cs="仿宋_GB2312"/>
          <w:b w:val="0"/>
          <w:bCs w:val="0"/>
          <w:color w:val="auto"/>
          <w:sz w:val="24"/>
          <w:szCs w:val="24"/>
          <w:lang w:val="en-US" w:eastAsia="zh-CN"/>
        </w:rPr>
        <w:t>包括但不限于下属标准：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（1）DA/T 7 直列式档案密集架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（2）DA/T 6 档案装具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（4）GB/T 13668 钢制书柜、资料柜通用技术条件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（5）GB/T 3325 金属家具通用技术条件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（6）GB/T 13667.1 钢制书架 第 1 部分:单、复柱书架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（7）GB/T 13667.3 钢制书架 第 3 部分：手动密集书架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（9）GB/T 699 优质碳素结构钢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（10）GB/T 708 冷轧钢板和钢带的尺寸、外形、重量及允许偏差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（11）GB/T 1720 漆膜划圈试验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（12）GB/T 1732 漆膜耐冲击测定法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（13）GB/T 6807 钢铁工件涂装前磷化处理技术条件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（14）GB/T 5267.1 紧固件 电镀层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（15）GB/T 10855 齿形链和链轮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（16）GB/T 14212 摩托车链条 技术条件和试验方法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（17）GB/T 1804 一般公差 未注公差的线性和角度尺寸的公差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（18）GB/T 905 冷拉圆钢、方钢、六角钢尺寸、外形、重量及允许偏差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（19）GB/T 191 包装储运图示标志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（20）GB/T 4208 外壳防护等级(IP 代码)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（21）GB/T 9969 工业产品使用说明书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2</w:t>
      </w:r>
      <w:r>
        <w:rPr>
          <w:rFonts w:hint="eastAsia" w:ascii="宋体" w:hAnsi="宋体" w:eastAsia="宋体" w:cs="宋体"/>
          <w:color w:val="auto"/>
          <w:sz w:val="24"/>
          <w:szCs w:val="24"/>
        </w:rPr>
        <w:t>）GB/T 3325 金属家具通用技术条件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 xml:space="preserve">）GB/T 3326 家具  桌、椅、凳类主要尺寸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sz w:val="24"/>
          <w:szCs w:val="24"/>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）GB/T 3324 木家具通用技术条件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仿宋_GB2312"/>
          <w:b/>
          <w:bCs/>
          <w:color w:val="auto"/>
          <w:sz w:val="24"/>
          <w:szCs w:val="24"/>
          <w:lang w:val="en-US" w:eastAsia="zh-CN"/>
        </w:rPr>
      </w:pPr>
      <w:r>
        <w:rPr>
          <w:rFonts w:hint="eastAsia" w:ascii="宋体" w:hAnsi="宋体" w:eastAsia="宋体" w:cs="宋体"/>
          <w:color w:val="auto"/>
          <w:sz w:val="24"/>
          <w:szCs w:val="24"/>
        </w:rPr>
        <w:t>（2</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）GB/T 3327 家具  柜类主要尺寸</w:t>
      </w:r>
    </w:p>
    <w:p>
      <w:pPr>
        <w:spacing w:line="400" w:lineRule="exact"/>
        <w:ind w:firstLine="482" w:firstLineChars="200"/>
        <w:rPr>
          <w:rFonts w:hint="eastAsia" w:ascii="宋体" w:hAnsi="宋体" w:eastAsia="宋体" w:cs="宋体"/>
          <w:b/>
          <w:bCs/>
          <w:color w:val="auto"/>
          <w:sz w:val="24"/>
        </w:rPr>
      </w:pPr>
      <w:r>
        <w:rPr>
          <w:rFonts w:hint="eastAsia" w:ascii="宋体" w:hAnsi="宋体" w:eastAsia="宋体" w:cs="宋体"/>
          <w:b/>
          <w:bCs/>
          <w:color w:val="auto"/>
          <w:sz w:val="24"/>
          <w:lang w:eastAsia="zh-CN"/>
        </w:rPr>
        <w:t>三</w:t>
      </w:r>
      <w:r>
        <w:rPr>
          <w:rFonts w:hint="eastAsia" w:ascii="宋体" w:hAnsi="宋体" w:eastAsia="宋体" w:cs="宋体"/>
          <w:b/>
          <w:bCs/>
          <w:color w:val="auto"/>
          <w:sz w:val="24"/>
        </w:rPr>
        <w:t>、采购内容</w:t>
      </w:r>
    </w:p>
    <w:tbl>
      <w:tblPr>
        <w:tblStyle w:val="21"/>
        <w:tblW w:w="8478" w:type="dxa"/>
        <w:jc w:val="center"/>
        <w:tblLayout w:type="autofit"/>
        <w:tblCellMar>
          <w:top w:w="0" w:type="dxa"/>
          <w:left w:w="0" w:type="dxa"/>
          <w:bottom w:w="0" w:type="dxa"/>
          <w:right w:w="0" w:type="dxa"/>
        </w:tblCellMar>
      </w:tblPr>
      <w:tblGrid>
        <w:gridCol w:w="1050"/>
        <w:gridCol w:w="1783"/>
        <w:gridCol w:w="2200"/>
        <w:gridCol w:w="1117"/>
        <w:gridCol w:w="1400"/>
        <w:gridCol w:w="928"/>
      </w:tblGrid>
      <w:tr>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tcPr>
          <w:p>
            <w:pPr>
              <w:widowControl/>
              <w:spacing w:after="0" w:line="400" w:lineRule="exact"/>
              <w:jc w:val="center"/>
              <w:textAlignment w:val="center"/>
              <w:rPr>
                <w:rFonts w:hint="eastAsia" w:ascii="宋体" w:hAnsi="宋体" w:eastAsia="宋体" w:cs="宋体"/>
                <w:color w:val="auto"/>
                <w:kern w:val="0"/>
                <w:szCs w:val="21"/>
                <w:lang w:eastAsia="zh-CN" w:bidi="ar"/>
              </w:rPr>
            </w:pPr>
            <w:r>
              <w:rPr>
                <w:rFonts w:hint="eastAsia" w:ascii="宋体" w:hAnsi="宋体" w:eastAsia="宋体" w:cs="宋体"/>
                <w:color w:val="auto"/>
                <w:kern w:val="0"/>
                <w:szCs w:val="21"/>
                <w:lang w:eastAsia="zh-CN" w:bidi="ar"/>
              </w:rPr>
              <w:t>单项</w:t>
            </w:r>
          </w:p>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条目号</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产品名称</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规   格</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数量</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单位</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eastAsia="zh-CN" w:bidi="ar"/>
              </w:rPr>
              <w:t>单项限价</w:t>
            </w:r>
            <w:r>
              <w:rPr>
                <w:rFonts w:hint="eastAsia" w:ascii="宋体" w:hAnsi="宋体" w:eastAsia="宋体" w:cs="宋体"/>
                <w:color w:val="auto"/>
                <w:kern w:val="0"/>
                <w:szCs w:val="21"/>
                <w:lang w:bidi="ar"/>
              </w:rPr>
              <w:t>（万元）</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tcPr>
          <w:p>
            <w:pPr>
              <w:widowControl/>
              <w:spacing w:after="0" w:line="400" w:lineRule="exact"/>
              <w:jc w:val="center"/>
              <w:textAlignment w:val="center"/>
              <w:rPr>
                <w:rFonts w:ascii="宋体" w:hAnsi="宋体" w:eastAsia="宋体" w:cs="宋体"/>
                <w:color w:val="auto"/>
                <w:kern w:val="0"/>
                <w:szCs w:val="21"/>
                <w:lang w:bidi="ar"/>
              </w:rPr>
            </w:pPr>
            <w:bookmarkStart w:id="16" w:name="OLE_LINK21"/>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（一）</w:t>
            </w:r>
            <w:bookmarkEnd w:id="16"/>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手动档案密集架</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900*550*2700（七层）</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szCs w:val="21"/>
              </w:rPr>
            </w:pPr>
            <w:r>
              <w:rPr>
                <w:rFonts w:hint="eastAsia" w:ascii="宋体" w:hAnsi="宋体" w:eastAsia="宋体" w:cs="宋体"/>
                <w:color w:val="auto"/>
                <w:kern w:val="0"/>
                <w:szCs w:val="21"/>
                <w:lang w:bidi="ar"/>
              </w:rPr>
              <w:t>1600</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szCs w:val="21"/>
              </w:rPr>
            </w:pPr>
            <w:r>
              <w:rPr>
                <w:rFonts w:hint="eastAsia" w:ascii="宋体" w:hAnsi="宋体" w:eastAsia="宋体" w:cs="宋体"/>
                <w:color w:val="auto"/>
                <w:kern w:val="0"/>
                <w:szCs w:val="21"/>
                <w:lang w:bidi="ar"/>
              </w:rPr>
              <w:t>立方米</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192</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bookmarkStart w:id="17" w:name="OLE_LINK18"/>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（二）</w:t>
            </w:r>
            <w:bookmarkEnd w:id="17"/>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办公桌</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bookmarkStart w:id="18" w:name="_Hlk191032348"/>
            <w:r>
              <w:rPr>
                <w:rFonts w:hint="eastAsia" w:ascii="宋体" w:hAnsi="宋体" w:eastAsia="宋体" w:cs="宋体"/>
                <w:color w:val="auto"/>
                <w:kern w:val="0"/>
                <w:szCs w:val="21"/>
                <w:lang w:bidi="ar"/>
              </w:rPr>
              <w:t>1600*800*760</w:t>
            </w:r>
            <w:bookmarkEnd w:id="18"/>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8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0.72</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（三）</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办公椅</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转椅</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18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1.17</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（四）</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五节文件柜</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900*4</w:t>
            </w:r>
            <w:r>
              <w:rPr>
                <w:rFonts w:hint="eastAsia" w:ascii="宋体" w:hAnsi="宋体" w:eastAsia="宋体" w:cs="宋体"/>
                <w:color w:val="auto"/>
                <w:kern w:val="0"/>
                <w:szCs w:val="21"/>
                <w:highlight w:val="none"/>
                <w:lang w:bidi="ar"/>
              </w:rPr>
              <w:t>00*2050</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4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0.54</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（五）</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更衣柜</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bookmarkStart w:id="19" w:name="_Hlk191032011"/>
            <w:r>
              <w:rPr>
                <w:rFonts w:hint="eastAsia" w:ascii="宋体" w:hAnsi="宋体" w:eastAsia="宋体" w:cs="宋体"/>
                <w:color w:val="auto"/>
                <w:kern w:val="0"/>
                <w:szCs w:val="21"/>
                <w:lang w:bidi="ar"/>
              </w:rPr>
              <w:t>900*500*20</w:t>
            </w:r>
            <w:r>
              <w:rPr>
                <w:rFonts w:hint="eastAsia" w:ascii="宋体" w:hAnsi="宋体" w:eastAsia="宋体" w:cs="宋体"/>
                <w:color w:val="auto"/>
                <w:kern w:val="0"/>
                <w:szCs w:val="21"/>
                <w:lang w:val="en-US" w:eastAsia="zh-CN" w:bidi="ar"/>
              </w:rPr>
              <w:t>5</w:t>
            </w:r>
            <w:r>
              <w:rPr>
                <w:rFonts w:hint="eastAsia" w:ascii="宋体" w:hAnsi="宋体" w:eastAsia="宋体" w:cs="宋体"/>
                <w:color w:val="auto"/>
                <w:kern w:val="0"/>
                <w:szCs w:val="21"/>
                <w:lang w:bidi="ar"/>
              </w:rPr>
              <w:t>0（两门）</w:t>
            </w:r>
            <w:bookmarkEnd w:id="19"/>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6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0.42</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（六）</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茶水柜</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val="en-US" w:eastAsia="zh-CN" w:bidi="ar"/>
              </w:rPr>
              <w:t>900</w:t>
            </w:r>
            <w:r>
              <w:rPr>
                <w:rFonts w:ascii="宋体" w:hAnsi="宋体" w:eastAsia="宋体" w:cs="宋体"/>
                <w:color w:val="auto"/>
                <w:kern w:val="0"/>
                <w:szCs w:val="21"/>
                <w:lang w:bidi="ar"/>
              </w:rPr>
              <w:t>*</w:t>
            </w:r>
            <w:r>
              <w:rPr>
                <w:rFonts w:hint="eastAsia" w:ascii="宋体" w:hAnsi="宋体" w:eastAsia="宋体" w:cs="宋体"/>
                <w:color w:val="auto"/>
                <w:kern w:val="0"/>
                <w:szCs w:val="21"/>
                <w:lang w:val="en-US" w:eastAsia="zh-CN" w:bidi="ar"/>
              </w:rPr>
              <w:t>4</w:t>
            </w:r>
            <w:r>
              <w:rPr>
                <w:rFonts w:ascii="宋体" w:hAnsi="宋体" w:eastAsia="宋体" w:cs="宋体"/>
                <w:color w:val="auto"/>
                <w:kern w:val="0"/>
                <w:szCs w:val="21"/>
                <w:lang w:bidi="ar"/>
              </w:rPr>
              <w:t>00*</w:t>
            </w:r>
            <w:r>
              <w:rPr>
                <w:rFonts w:hint="eastAsia" w:ascii="宋体" w:hAnsi="宋体" w:eastAsia="宋体" w:cs="宋体"/>
                <w:color w:val="auto"/>
                <w:kern w:val="0"/>
                <w:szCs w:val="21"/>
                <w:lang w:val="en-US" w:eastAsia="zh-CN" w:bidi="ar"/>
              </w:rPr>
              <w:t>900</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2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0.156</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（七）</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阅览桌</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2000*1000*760</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0.21</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（八）</w:t>
            </w:r>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整理台</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2000*1000*760</w:t>
            </w:r>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1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0.21</w:t>
            </w:r>
          </w:p>
        </w:tc>
      </w:tr>
      <w:tr>
        <w:tblPrEx>
          <w:tblCellMar>
            <w:top w:w="0" w:type="dxa"/>
            <w:left w:w="0" w:type="dxa"/>
            <w:bottom w:w="0" w:type="dxa"/>
            <w:right w:w="0" w:type="dxa"/>
          </w:tblCellMar>
        </w:tblPrEx>
        <w:trPr>
          <w:trHeight w:val="285"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spacing w:after="0" w:line="400" w:lineRule="exact"/>
              <w:jc w:val="center"/>
              <w:textAlignment w:val="center"/>
              <w:rPr>
                <w:rFonts w:ascii="宋体" w:hAnsi="宋体" w:eastAsia="宋体" w:cs="宋体"/>
                <w:color w:val="auto"/>
                <w:kern w:val="0"/>
                <w:szCs w:val="21"/>
                <w:lang w:bidi="ar"/>
              </w:rPr>
            </w:pPr>
            <w:bookmarkStart w:id="20" w:name="OLE_LINK19"/>
            <w:r>
              <w:rPr>
                <w:rFonts w:hint="eastAsia" w:ascii="宋体" w:hAnsi="宋体" w:eastAsia="宋体" w:cs="宋体"/>
                <w:color w:val="auto"/>
                <w:kern w:val="0"/>
                <w:szCs w:val="21"/>
                <w:lang w:eastAsia="zh-CN" w:bidi="ar"/>
              </w:rPr>
              <w:t>四</w:t>
            </w:r>
            <w:r>
              <w:rPr>
                <w:rFonts w:hint="eastAsia" w:ascii="宋体" w:hAnsi="宋体" w:eastAsia="宋体" w:cs="宋体"/>
                <w:color w:val="auto"/>
                <w:kern w:val="0"/>
                <w:szCs w:val="21"/>
                <w:lang w:bidi="ar"/>
              </w:rPr>
              <w:t>（九）</w:t>
            </w:r>
            <w:bookmarkEnd w:id="20"/>
          </w:p>
        </w:tc>
        <w:tc>
          <w:tcPr>
            <w:tcW w:w="17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整理架</w:t>
            </w:r>
          </w:p>
        </w:tc>
        <w:tc>
          <w:tcPr>
            <w:tcW w:w="22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bookmarkStart w:id="21" w:name="_Hlk191032771"/>
            <w:r>
              <w:rPr>
                <w:rFonts w:hint="eastAsia" w:ascii="宋体" w:hAnsi="宋体" w:eastAsia="宋体" w:cs="宋体"/>
                <w:color w:val="auto"/>
                <w:kern w:val="0"/>
                <w:szCs w:val="21"/>
                <w:lang w:bidi="ar"/>
              </w:rPr>
              <w:t>1800*550*2200</w:t>
            </w:r>
            <w:bookmarkEnd w:id="21"/>
          </w:p>
        </w:tc>
        <w:tc>
          <w:tcPr>
            <w:tcW w:w="111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after="0" w:line="400" w:lineRule="exact"/>
              <w:jc w:val="center"/>
              <w:textAlignment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 xml:space="preserve">6 </w:t>
            </w:r>
          </w:p>
        </w:tc>
        <w:tc>
          <w:tcPr>
            <w:tcW w:w="14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ascii="宋体" w:hAnsi="宋体" w:eastAsia="宋体" w:cs="宋体"/>
                <w:color w:val="auto"/>
                <w:kern w:val="0"/>
                <w:szCs w:val="21"/>
                <w:lang w:bidi="ar"/>
              </w:rPr>
            </w:pPr>
            <w:r>
              <w:rPr>
                <w:rFonts w:hint="eastAsia" w:ascii="宋体" w:hAnsi="宋体" w:eastAsia="宋体" w:cs="宋体"/>
                <w:color w:val="auto"/>
                <w:kern w:val="0"/>
                <w:szCs w:val="21"/>
                <w:lang w:bidi="ar"/>
              </w:rPr>
              <w:t>个</w:t>
            </w:r>
          </w:p>
        </w:tc>
        <w:tc>
          <w:tcPr>
            <w:tcW w:w="9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after="0" w:line="400" w:lineRule="exact"/>
              <w:jc w:val="center"/>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Cs w:val="21"/>
                <w:lang w:bidi="ar"/>
              </w:rPr>
              <w:t>0.822</w:t>
            </w:r>
          </w:p>
        </w:tc>
      </w:tr>
    </w:tbl>
    <w:p>
      <w:pPr>
        <w:numPr>
          <w:ilvl w:val="0"/>
          <w:numId w:val="3"/>
        </w:numPr>
        <w:spacing w:line="440" w:lineRule="exact"/>
        <w:ind w:firstLine="480" w:firstLineChars="200"/>
        <w:rPr>
          <w:rFonts w:hint="eastAsia" w:ascii="宋体" w:hAnsi="宋体" w:cs="仿宋_GB2312"/>
          <w:color w:val="auto"/>
          <w:sz w:val="24"/>
          <w:lang w:eastAsia="zh-CN"/>
        </w:rPr>
      </w:pPr>
      <w:bookmarkStart w:id="22" w:name="OLE_LINK20"/>
      <w:r>
        <w:rPr>
          <w:rFonts w:hint="eastAsia" w:ascii="宋体" w:hAnsi="宋体" w:eastAsia="宋体" w:cs="仿宋_GB2312"/>
          <w:color w:val="auto"/>
          <w:sz w:val="24"/>
        </w:rPr>
        <w:t>本项目</w:t>
      </w:r>
      <w:r>
        <w:rPr>
          <w:rFonts w:hint="eastAsia" w:ascii="宋体" w:hAnsi="宋体" w:eastAsia="宋体" w:cs="仿宋_GB2312"/>
          <w:color w:val="auto"/>
          <w:sz w:val="24"/>
          <w:lang w:eastAsia="zh-CN"/>
        </w:rPr>
        <w:t>手动</w:t>
      </w:r>
      <w:r>
        <w:rPr>
          <w:rFonts w:hint="eastAsia" w:ascii="宋体" w:hAnsi="宋体" w:cs="仿宋_GB2312"/>
          <w:color w:val="auto"/>
          <w:sz w:val="24"/>
          <w:lang w:eastAsia="zh-CN"/>
        </w:rPr>
        <w:t>档案</w:t>
      </w:r>
      <w:r>
        <w:rPr>
          <w:rFonts w:hint="eastAsia" w:ascii="宋体" w:hAnsi="宋体" w:eastAsia="宋体" w:cs="仿宋_GB2312"/>
          <w:color w:val="auto"/>
          <w:sz w:val="24"/>
          <w:lang w:eastAsia="zh-CN"/>
        </w:rPr>
        <w:t>密集架的招标数量为采购人根据图纸</w:t>
      </w:r>
      <w:r>
        <w:rPr>
          <w:rFonts w:hint="eastAsia" w:ascii="宋体" w:hAnsi="宋体" w:eastAsia="宋体" w:cs="仿宋_GB2312"/>
          <w:b/>
          <w:bCs/>
          <w:color w:val="auto"/>
          <w:sz w:val="24"/>
          <w:lang w:eastAsia="zh-CN"/>
        </w:rPr>
        <w:t>预估</w:t>
      </w:r>
      <w:r>
        <w:rPr>
          <w:rFonts w:hint="eastAsia" w:ascii="宋体" w:hAnsi="宋体" w:eastAsia="宋体" w:cs="仿宋_GB2312"/>
          <w:color w:val="auto"/>
          <w:sz w:val="24"/>
          <w:lang w:eastAsia="zh-CN"/>
        </w:rPr>
        <w:t>数量，中标后现场</w:t>
      </w:r>
      <w:r>
        <w:rPr>
          <w:rFonts w:hint="eastAsia" w:ascii="宋体" w:hAnsi="宋体" w:cs="仿宋_GB2312"/>
          <w:color w:val="auto"/>
          <w:sz w:val="24"/>
          <w:lang w:eastAsia="zh-CN"/>
        </w:rPr>
        <w:t>实际测算</w:t>
      </w:r>
      <w:r>
        <w:rPr>
          <w:rFonts w:hint="eastAsia" w:ascii="宋体" w:hAnsi="宋体" w:eastAsia="宋体" w:cs="仿宋_GB2312"/>
          <w:color w:val="auto"/>
          <w:sz w:val="24"/>
          <w:lang w:eastAsia="zh-CN"/>
        </w:rPr>
        <w:t>的数量可能上下浮动，</w:t>
      </w:r>
      <w:r>
        <w:rPr>
          <w:rFonts w:hint="eastAsia" w:ascii="宋体" w:hAnsi="宋体" w:cs="仿宋_GB2312"/>
          <w:color w:val="auto"/>
          <w:sz w:val="24"/>
          <w:lang w:eastAsia="zh-CN"/>
        </w:rPr>
        <w:t>投标人需承担实际采购数量或许低于招标数量的风险。中标后，上表条目号为</w:t>
      </w:r>
      <w:r>
        <w:rPr>
          <w:rFonts w:hint="eastAsia" w:ascii="宋体" w:hAnsi="宋体" w:eastAsia="宋体" w:cs="仿宋_GB2312"/>
          <w:color w:val="auto"/>
          <w:sz w:val="24"/>
          <w:lang w:eastAsia="zh-CN"/>
        </w:rPr>
        <w:t>四</w:t>
      </w:r>
      <w:r>
        <w:rPr>
          <w:rFonts w:hint="eastAsia" w:ascii="宋体" w:hAnsi="宋体" w:eastAsia="宋体" w:cs="仿宋_GB2312"/>
          <w:color w:val="auto"/>
          <w:sz w:val="24"/>
        </w:rPr>
        <w:t>（二）</w:t>
      </w:r>
      <w:r>
        <w:rPr>
          <w:rFonts w:hint="eastAsia" w:ascii="宋体" w:hAnsi="宋体" w:eastAsia="宋体" w:cs="仿宋_GB2312"/>
          <w:color w:val="auto"/>
          <w:sz w:val="24"/>
          <w:lang w:eastAsia="zh-CN"/>
        </w:rPr>
        <w:t>至四</w:t>
      </w:r>
      <w:r>
        <w:rPr>
          <w:rFonts w:hint="eastAsia" w:ascii="宋体" w:hAnsi="宋体" w:eastAsia="宋体" w:cs="仿宋_GB2312"/>
          <w:color w:val="auto"/>
          <w:sz w:val="24"/>
        </w:rPr>
        <w:t>（九）</w:t>
      </w:r>
      <w:r>
        <w:rPr>
          <w:rFonts w:hint="eastAsia" w:ascii="宋体" w:hAnsi="宋体" w:eastAsia="宋体" w:cs="仿宋_GB2312"/>
          <w:color w:val="auto"/>
          <w:sz w:val="24"/>
          <w:lang w:eastAsia="zh-CN"/>
        </w:rPr>
        <w:t>的办公家具按照</w:t>
      </w:r>
      <w:r>
        <w:rPr>
          <w:rFonts w:hint="eastAsia" w:ascii="宋体" w:hAnsi="宋体" w:cs="仿宋_GB2312"/>
          <w:color w:val="auto"/>
          <w:sz w:val="24"/>
          <w:lang w:eastAsia="zh-CN"/>
        </w:rPr>
        <w:t>本</w:t>
      </w:r>
      <w:r>
        <w:rPr>
          <w:rFonts w:hint="eastAsia" w:ascii="宋体" w:hAnsi="宋体" w:eastAsia="宋体" w:cs="仿宋_GB2312"/>
          <w:color w:val="auto"/>
          <w:sz w:val="24"/>
          <w:lang w:eastAsia="zh-CN"/>
        </w:rPr>
        <w:t>招标</w:t>
      </w:r>
      <w:r>
        <w:rPr>
          <w:rFonts w:hint="eastAsia" w:ascii="宋体" w:hAnsi="宋体" w:cs="仿宋_GB2312"/>
          <w:color w:val="auto"/>
          <w:sz w:val="24"/>
          <w:lang w:eastAsia="zh-CN"/>
        </w:rPr>
        <w:t>文件公布的</w:t>
      </w:r>
      <w:r>
        <w:rPr>
          <w:rFonts w:hint="eastAsia" w:ascii="宋体" w:hAnsi="宋体" w:eastAsia="宋体" w:cs="仿宋_GB2312"/>
          <w:color w:val="auto"/>
          <w:sz w:val="24"/>
          <w:lang w:eastAsia="zh-CN"/>
        </w:rPr>
        <w:t>数量签订政府采购合同</w:t>
      </w:r>
      <w:r>
        <w:rPr>
          <w:rFonts w:hint="eastAsia" w:ascii="宋体" w:hAnsi="宋体" w:cs="仿宋_GB2312"/>
          <w:color w:val="auto"/>
          <w:sz w:val="24"/>
          <w:lang w:eastAsia="zh-CN"/>
        </w:rPr>
        <w:t>，为总合同的一部分；关于条目号为四（一）的手动档案档案密集架，则根据中标人和采购人现场实际测定的采购数量分两种情况签订政府采购合同：</w:t>
      </w:r>
    </w:p>
    <w:p>
      <w:pPr>
        <w:numPr>
          <w:ilvl w:val="0"/>
          <w:numId w:val="4"/>
        </w:numPr>
        <w:spacing w:line="440" w:lineRule="exact"/>
        <w:ind w:firstLine="480" w:firstLineChars="200"/>
        <w:rPr>
          <w:rFonts w:hint="eastAsia" w:ascii="宋体" w:hAnsi="宋体" w:cs="仿宋_GB2312"/>
          <w:color w:val="auto"/>
          <w:sz w:val="24"/>
          <w:lang w:eastAsia="zh-CN"/>
        </w:rPr>
      </w:pPr>
      <w:r>
        <w:rPr>
          <w:rFonts w:hint="eastAsia" w:ascii="宋体" w:hAnsi="宋体" w:cs="仿宋_GB2312"/>
          <w:color w:val="auto"/>
          <w:sz w:val="24"/>
          <w:lang w:eastAsia="zh-CN"/>
        </w:rPr>
        <w:t>若现场实际测量的数量低于招标数量，双方直接按照实际测量的数量和中标单价核算手动档案密集架的中标金额，汇总办公家具后签订政府采购合同，作为本项目实际供货数量和财政结算依据。系统自动生成的中标通知书金额不作为签订合同的金额依据。</w:t>
      </w:r>
    </w:p>
    <w:p>
      <w:pPr>
        <w:numPr>
          <w:ilvl w:val="0"/>
          <w:numId w:val="4"/>
        </w:numPr>
        <w:spacing w:line="440" w:lineRule="exact"/>
        <w:ind w:firstLine="480" w:firstLineChars="200"/>
        <w:rPr>
          <w:rFonts w:hint="eastAsia" w:ascii="宋体" w:hAnsi="宋体" w:cs="仿宋_GB2312"/>
          <w:color w:val="auto"/>
          <w:sz w:val="24"/>
          <w:lang w:eastAsia="zh-CN"/>
        </w:rPr>
      </w:pPr>
      <w:r>
        <w:rPr>
          <w:rFonts w:hint="eastAsia" w:ascii="宋体" w:hAnsi="宋体" w:cs="仿宋_GB2312"/>
          <w:color w:val="auto"/>
          <w:sz w:val="24"/>
          <w:lang w:eastAsia="zh-CN"/>
        </w:rPr>
        <w:t>若现场实际测量的数量高于招标数量，依照政府采购法相关规定执行。</w:t>
      </w:r>
    </w:p>
    <w:bookmarkEnd w:id="22"/>
    <w:p>
      <w:pPr>
        <w:numPr>
          <w:ilvl w:val="0"/>
          <w:numId w:val="3"/>
        </w:numPr>
        <w:spacing w:line="440" w:lineRule="exact"/>
        <w:ind w:firstLine="480" w:firstLineChars="200"/>
        <w:rPr>
          <w:rFonts w:hint="eastAsia" w:ascii="宋体" w:hAnsi="宋体" w:eastAsia="宋体" w:cs="仿宋_GB2312"/>
          <w:color w:val="auto"/>
          <w:sz w:val="24"/>
          <w:lang w:eastAsia="zh-CN"/>
        </w:rPr>
      </w:pPr>
      <w:r>
        <w:rPr>
          <w:rFonts w:hint="eastAsia" w:ascii="宋体" w:hAnsi="宋体" w:cs="仿宋_GB2312"/>
          <w:color w:val="auto"/>
          <w:sz w:val="24"/>
          <w:lang w:eastAsia="zh-CN"/>
        </w:rPr>
        <w:t>中标人在中标后</w:t>
      </w:r>
      <w:r>
        <w:rPr>
          <w:rFonts w:hint="eastAsia" w:ascii="宋体" w:hAnsi="宋体" w:cs="仿宋_GB2312"/>
          <w:color w:val="auto"/>
          <w:sz w:val="24"/>
          <w:lang w:val="en-US" w:eastAsia="zh-CN"/>
        </w:rPr>
        <w:t>5</w:t>
      </w:r>
      <w:r>
        <w:rPr>
          <w:rFonts w:hint="eastAsia" w:ascii="宋体" w:hAnsi="宋体" w:cs="仿宋_GB2312"/>
          <w:color w:val="auto"/>
          <w:sz w:val="24"/>
          <w:lang w:eastAsia="zh-CN"/>
        </w:rPr>
        <w:t>日内根据图纸和现场测算，向招标方提供最优化的档案库</w:t>
      </w:r>
      <w:r>
        <w:rPr>
          <w:rFonts w:hint="eastAsia" w:ascii="宋体" w:hAnsi="宋体" w:eastAsia="宋体" w:cs="仿宋_GB2312"/>
          <w:color w:val="auto"/>
          <w:sz w:val="24"/>
        </w:rPr>
        <w:t>房安装手动密集架设计方案，包含每个库房具体安装的数量和位置，双方确认后</w:t>
      </w:r>
      <w:r>
        <w:rPr>
          <w:rFonts w:hint="eastAsia" w:ascii="宋体" w:hAnsi="宋体" w:cs="仿宋_GB2312"/>
          <w:color w:val="auto"/>
          <w:sz w:val="24"/>
          <w:lang w:eastAsia="zh-CN"/>
        </w:rPr>
        <w:t>依照法律和本招标文件规定</w:t>
      </w:r>
      <w:r>
        <w:rPr>
          <w:rFonts w:hint="eastAsia" w:ascii="宋体" w:hAnsi="宋体" w:eastAsia="宋体" w:cs="仿宋_GB2312"/>
          <w:color w:val="auto"/>
          <w:sz w:val="24"/>
        </w:rPr>
        <w:t>签订</w:t>
      </w:r>
      <w:r>
        <w:rPr>
          <w:rFonts w:hint="eastAsia" w:ascii="宋体" w:hAnsi="宋体" w:cs="仿宋_GB2312"/>
          <w:color w:val="auto"/>
          <w:sz w:val="24"/>
          <w:lang w:eastAsia="zh-CN"/>
        </w:rPr>
        <w:t>政府采购合同</w:t>
      </w:r>
      <w:r>
        <w:rPr>
          <w:rFonts w:hint="eastAsia" w:ascii="宋体" w:hAnsi="宋体" w:eastAsia="宋体" w:cs="仿宋_GB2312"/>
          <w:color w:val="auto"/>
          <w:sz w:val="24"/>
        </w:rPr>
        <w:t>。</w:t>
      </w:r>
    </w:p>
    <w:p>
      <w:pPr>
        <w:pStyle w:val="2"/>
        <w:numPr>
          <w:ilvl w:val="0"/>
          <w:numId w:val="3"/>
        </w:numPr>
        <w:ind w:left="0" w:leftChars="0" w:firstLine="480" w:firstLineChars="200"/>
        <w:rPr>
          <w:rFonts w:hint="eastAsia" w:ascii="宋体" w:hAnsi="宋体" w:eastAsia="宋体" w:cs="仿宋_GB2312"/>
          <w:b/>
          <w:bCs/>
          <w:color w:val="auto"/>
          <w:sz w:val="24"/>
          <w:lang w:eastAsia="zh-CN"/>
        </w:rPr>
      </w:pPr>
      <w:r>
        <w:rPr>
          <w:rFonts w:hint="eastAsia" w:ascii="宋体" w:hAnsi="宋体" w:cs="仿宋_GB2312"/>
          <w:color w:val="auto"/>
          <w:sz w:val="24"/>
          <w:lang w:eastAsia="zh-CN"/>
        </w:rPr>
        <w:t>投标人对</w:t>
      </w:r>
      <w:r>
        <w:rPr>
          <w:rFonts w:hint="eastAsia" w:ascii="宋体" w:hAnsi="宋体" w:eastAsia="宋体" w:cs="仿宋_GB2312"/>
          <w:color w:val="auto"/>
          <w:sz w:val="24"/>
          <w:lang w:eastAsia="zh-CN"/>
        </w:rPr>
        <w:t>各单项产品所报单价与</w:t>
      </w:r>
      <w:r>
        <w:rPr>
          <w:rFonts w:hint="eastAsia" w:ascii="宋体" w:hAnsi="宋体" w:cs="仿宋_GB2312"/>
          <w:color w:val="auto"/>
          <w:sz w:val="24"/>
          <w:lang w:eastAsia="zh-CN"/>
        </w:rPr>
        <w:t>上表</w:t>
      </w:r>
      <w:r>
        <w:rPr>
          <w:rFonts w:hint="eastAsia" w:ascii="宋体" w:hAnsi="宋体" w:eastAsia="宋体" w:cs="仿宋_GB2312"/>
          <w:color w:val="auto"/>
          <w:sz w:val="24"/>
          <w:lang w:eastAsia="zh-CN"/>
        </w:rPr>
        <w:t>数量合计后不得超过对应的单项限价，</w:t>
      </w:r>
      <w:r>
        <w:rPr>
          <w:rFonts w:hint="eastAsia" w:ascii="宋体" w:hAnsi="宋体" w:eastAsia="宋体" w:cs="仿宋_GB2312"/>
          <w:b/>
          <w:bCs/>
          <w:color w:val="auto"/>
          <w:sz w:val="24"/>
          <w:lang w:eastAsia="zh-CN"/>
        </w:rPr>
        <w:t>否则投标无效。</w:t>
      </w:r>
    </w:p>
    <w:p>
      <w:pPr>
        <w:spacing w:line="440" w:lineRule="exact"/>
        <w:ind w:firstLine="482" w:firstLineChars="200"/>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四</w:t>
      </w:r>
      <w:r>
        <w:rPr>
          <w:rFonts w:hint="eastAsia" w:ascii="宋体" w:hAnsi="宋体" w:eastAsia="宋体" w:cs="宋体"/>
          <w:b/>
          <w:bCs/>
          <w:color w:val="auto"/>
          <w:sz w:val="24"/>
          <w:szCs w:val="24"/>
        </w:rPr>
        <w:t>、项目技术参数及质量要</w:t>
      </w:r>
      <w:r>
        <w:rPr>
          <w:rFonts w:hint="eastAsia" w:ascii="宋体" w:hAnsi="宋体" w:eastAsia="宋体" w:cs="宋体"/>
          <w:b/>
          <w:bCs/>
          <w:color w:val="auto"/>
          <w:sz w:val="24"/>
          <w:szCs w:val="24"/>
          <w:lang w:eastAsia="zh-CN"/>
        </w:rPr>
        <w:t>求</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（一）手动密集架技术 规格：</w:t>
      </w:r>
      <w:r>
        <w:rPr>
          <w:rFonts w:hint="eastAsia" w:ascii="宋体" w:hAnsi="宋体" w:eastAsia="宋体" w:cs="宋体"/>
          <w:b/>
          <w:bCs/>
          <w:color w:val="auto"/>
          <w:sz w:val="24"/>
          <w:szCs w:val="24"/>
          <w:lang w:val="en-US" w:eastAsia="zh-CN"/>
        </w:rPr>
        <w:t>1600</w:t>
      </w:r>
      <w:r>
        <w:rPr>
          <w:rFonts w:hint="eastAsia" w:ascii="宋体" w:hAnsi="宋体" w:eastAsia="宋体" w:cs="宋体"/>
          <w:b/>
          <w:bCs/>
          <w:color w:val="auto"/>
          <w:sz w:val="24"/>
          <w:szCs w:val="24"/>
        </w:rPr>
        <w:t>立方米</w:t>
      </w:r>
    </w:p>
    <w:p>
      <w:pPr>
        <w:spacing w:line="440" w:lineRule="exact"/>
        <w:ind w:firstLine="480" w:firstLineChars="200"/>
        <w:rPr>
          <w:rFonts w:hint="eastAsia" w:ascii="宋体" w:hAnsi="宋体" w:eastAsia="宋体" w:cs="宋体"/>
          <w:color w:val="auto"/>
          <w:sz w:val="24"/>
          <w:szCs w:val="24"/>
        </w:rPr>
      </w:pPr>
      <w:bookmarkStart w:id="23" w:name="_Hlk191036083"/>
      <w:r>
        <w:rPr>
          <w:rFonts w:hint="eastAsia" w:ascii="宋体" w:hAnsi="宋体" w:eastAsia="宋体" w:cs="宋体"/>
          <w:color w:val="auto"/>
          <w:sz w:val="24"/>
          <w:szCs w:val="24"/>
        </w:rPr>
        <w:t>1、基材：采用一级冷轧钢板及</w:t>
      </w:r>
      <w:bookmarkStart w:id="24" w:name="_Hlk191017569"/>
      <w:r>
        <w:rPr>
          <w:rFonts w:hint="eastAsia" w:ascii="宋体" w:hAnsi="宋体" w:eastAsia="宋体" w:cs="宋体"/>
          <w:color w:val="auto"/>
          <w:sz w:val="24"/>
          <w:szCs w:val="24"/>
        </w:rPr>
        <w:t>实心钢</w:t>
      </w:r>
      <w:bookmarkEnd w:id="24"/>
      <w:r>
        <w:rPr>
          <w:rFonts w:hint="eastAsia" w:ascii="宋体" w:hAnsi="宋体" w:eastAsia="宋体" w:cs="宋体"/>
          <w:color w:val="auto"/>
          <w:sz w:val="24"/>
          <w:szCs w:val="24"/>
        </w:rPr>
        <w:t>。钢板厚度：底梁、防倾倒装置≥3.0mm，立柱≥1.5mm，挂板1.2mm，门板、搁板、顶板、隔棒、防尘板≥1.0mm；轨道采用20mm×20mm 的实心方钢、传动轴采用45#实心钢；所有的金属表面经除油、除锈、陶化后喷塑处理。</w:t>
      </w:r>
      <w:r>
        <w:rPr>
          <w:rFonts w:hint="eastAsia" w:ascii="宋体" w:hAnsi="宋体" w:cs="宋体"/>
          <w:color w:val="auto"/>
          <w:sz w:val="24"/>
          <w:szCs w:val="24"/>
          <w:lang w:eastAsia="zh-CN"/>
        </w:rPr>
        <w:t>所有</w:t>
      </w:r>
      <w:r>
        <w:rPr>
          <w:rFonts w:hint="eastAsia" w:ascii="宋体" w:hAnsi="宋体" w:eastAsia="宋体" w:cs="宋体"/>
          <w:color w:val="auto"/>
          <w:sz w:val="24"/>
          <w:szCs w:val="24"/>
        </w:rPr>
        <w:t>全金属架体、板材必须采用品牌钢材厂的优质钢板，所有材料厚度均以裸板计算，禁止使用非标准板材。</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w:t>
      </w:r>
      <w:bookmarkEnd w:id="23"/>
      <w:r>
        <w:rPr>
          <w:rFonts w:hint="eastAsia" w:ascii="宋体" w:hAnsi="宋体" w:eastAsia="宋体" w:cs="宋体"/>
          <w:color w:val="auto"/>
          <w:sz w:val="24"/>
          <w:szCs w:val="24"/>
        </w:rPr>
        <w:t>外观采用上、中、下三段式侧挂板，设有标签框；架体采用双柱式结构，立柱冲压折弯成形，正面宽度≥50mm，侧面宽度≥35mm，三面均设有加强筋；每层设有两块搁板，搁板能在＞50mm 内调整高度，标准层净高≥330mm，搁板采用双面结构，厚度为≥25mm，边缘采用三折弯处理，设有压制成型的加强筋，每层均承重≥ 80kg，内部存放空间设有防惯性掉落搁板设计；顶板边缘四次折弯处理，一次成型。导轨采用预埋式，表面镀铬处理，轨道每米载荷≥1000kg；顶板边缘四次折弯处理；隔棒冲压折弯成形，两端配有自锁结构；密集架每组闭合两端设有上、下板门，门上安装密集架常用锁具；操纵</w:t>
      </w:r>
      <w:bookmarkStart w:id="25" w:name="_Hlk191043835"/>
      <w:r>
        <w:rPr>
          <w:rFonts w:hint="eastAsia" w:ascii="宋体" w:hAnsi="宋体" w:eastAsia="宋体" w:cs="宋体"/>
          <w:color w:val="auto"/>
          <w:sz w:val="24"/>
          <w:szCs w:val="24"/>
        </w:rPr>
        <w:t>手摇柄</w:t>
      </w:r>
      <w:bookmarkEnd w:id="25"/>
      <w:r>
        <w:rPr>
          <w:rFonts w:hint="eastAsia" w:ascii="宋体" w:hAnsi="宋体" w:eastAsia="宋体" w:cs="宋体"/>
          <w:color w:val="auto"/>
          <w:sz w:val="24"/>
          <w:szCs w:val="24"/>
        </w:rPr>
        <w:t>采用钢或锌合金等其他材料，手柄可折叠；E级精密轴承、摩托车链条；设有防鼠、防尘、防水等功能；每列的框架结构中配置斜接杆。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 xml:space="preserve">、其他要求：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26" w:name="_Hlk191025225"/>
      <w:r>
        <w:rPr>
          <w:rFonts w:hint="eastAsia" w:ascii="宋体" w:hAnsi="宋体" w:eastAsia="宋体" w:cs="宋体"/>
          <w:color w:val="auto"/>
          <w:sz w:val="24"/>
          <w:szCs w:val="24"/>
        </w:rPr>
        <w:t>带CMA及CNAS标识的</w:t>
      </w:r>
      <w:bookmarkEnd w:id="26"/>
      <w:r>
        <w:rPr>
          <w:rFonts w:hint="eastAsia" w:ascii="宋体" w:hAnsi="宋体" w:eastAsia="宋体" w:cs="宋体"/>
          <w:color w:val="auto"/>
          <w:sz w:val="24"/>
          <w:szCs w:val="24"/>
        </w:rPr>
        <w:t>手动密集架检测报告；</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（2）带CMA及CNAS标识的密集架底梁、轨道、传动机构总成、重型轴承、传动轴、链轮、3.0、1.5、1.2、1.0的钢板的检测报告。</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（二）办公桌 </w:t>
      </w:r>
      <w:bookmarkStart w:id="27" w:name="_Hlk191045339"/>
      <w:r>
        <w:rPr>
          <w:rFonts w:hint="eastAsia" w:ascii="宋体" w:hAnsi="宋体" w:eastAsia="宋体" w:cs="宋体"/>
          <w:b/>
          <w:bCs/>
          <w:color w:val="auto"/>
          <w:sz w:val="24"/>
          <w:szCs w:val="24"/>
        </w:rPr>
        <w:t xml:space="preserve"> 规格：1600*800*760</w:t>
      </w:r>
    </w:p>
    <w:bookmarkEnd w:id="27"/>
    <w:p>
      <w:pPr>
        <w:spacing w:line="440" w:lineRule="exact"/>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1、基材：</w:t>
      </w:r>
      <w:r>
        <w:rPr>
          <w:rFonts w:hint="eastAsia" w:ascii="宋体" w:hAnsi="宋体" w:eastAsia="宋体" w:cs="宋体"/>
          <w:color w:val="auto"/>
          <w:sz w:val="24"/>
          <w:szCs w:val="24"/>
          <w:lang w:eastAsia="zh-CN"/>
        </w:rPr>
        <w:t>桌面</w:t>
      </w:r>
      <w:r>
        <w:rPr>
          <w:rFonts w:hint="eastAsia" w:ascii="宋体" w:hAnsi="宋体" w:eastAsia="宋体" w:cs="宋体"/>
          <w:color w:val="auto"/>
          <w:sz w:val="24"/>
          <w:szCs w:val="24"/>
        </w:rPr>
        <w:t>采用E</w:t>
      </w:r>
      <w:r>
        <w:rPr>
          <w:rFonts w:hint="eastAsia" w:ascii="宋体" w:hAnsi="宋体" w:eastAsia="宋体" w:cs="宋体"/>
          <w:color w:val="auto"/>
          <w:sz w:val="24"/>
          <w:szCs w:val="24"/>
          <w:vertAlign w:val="subscript"/>
        </w:rPr>
        <w:t>NF</w:t>
      </w:r>
      <w:r>
        <w:rPr>
          <w:rFonts w:hint="eastAsia" w:ascii="宋体" w:hAnsi="宋体" w:eastAsia="宋体" w:cs="宋体"/>
          <w:color w:val="auto"/>
          <w:sz w:val="24"/>
          <w:szCs w:val="24"/>
        </w:rPr>
        <w:t>级</w:t>
      </w:r>
      <w:r>
        <w:rPr>
          <w:rFonts w:hint="eastAsia" w:ascii="宋体" w:hAnsi="宋体" w:eastAsia="宋体" w:cs="宋体"/>
          <w:color w:val="auto"/>
          <w:sz w:val="24"/>
          <w:szCs w:val="24"/>
          <w:lang w:eastAsia="zh-CN"/>
        </w:rPr>
        <w:t>三聚氰胺饰面刨花板</w:t>
      </w:r>
      <w:r>
        <w:rPr>
          <w:rFonts w:hint="eastAsia" w:ascii="宋体" w:hAnsi="宋体" w:eastAsia="宋体" w:cs="宋体"/>
          <w:color w:val="auto"/>
          <w:sz w:val="24"/>
          <w:szCs w:val="24"/>
        </w:rPr>
        <w:t>，桌面厚度≥25mm</w:t>
      </w:r>
      <w:r>
        <w:rPr>
          <w:rFonts w:hint="eastAsia" w:ascii="宋体" w:hAnsi="宋体" w:eastAsia="宋体" w:cs="宋体"/>
          <w:color w:val="auto"/>
          <w:sz w:val="24"/>
          <w:szCs w:val="24"/>
          <w:lang w:eastAsia="zh-CN"/>
        </w:rPr>
        <w:t>，采用</w:t>
      </w:r>
      <w:r>
        <w:rPr>
          <w:rFonts w:hint="eastAsia" w:ascii="宋体" w:hAnsi="宋体" w:eastAsia="宋体" w:cs="宋体"/>
          <w:color w:val="auto"/>
          <w:sz w:val="24"/>
          <w:szCs w:val="24"/>
          <w:lang w:val="en-US" w:eastAsia="zh-CN"/>
        </w:rPr>
        <w:t>ABS激光封边。</w:t>
      </w:r>
      <w:r>
        <w:rPr>
          <w:rFonts w:hint="eastAsia" w:ascii="宋体" w:hAnsi="宋体" w:eastAsia="宋体" w:cs="宋体"/>
          <w:color w:val="auto"/>
          <w:sz w:val="24"/>
          <w:szCs w:val="24"/>
          <w:lang w:eastAsia="zh-CN"/>
        </w:rPr>
        <w:t>桌架采用金属桌架，钢管壁厚</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mm</w:t>
      </w:r>
      <w:r>
        <w:rPr>
          <w:rFonts w:hint="eastAsia" w:ascii="宋体" w:hAnsi="宋体" w:eastAsia="宋体" w:cs="宋体"/>
          <w:color w:val="auto"/>
          <w:sz w:val="24"/>
          <w:szCs w:val="24"/>
          <w:lang w:eastAsia="zh-CN"/>
        </w:rPr>
        <w:t>，所有金属表面均除油、除锈、陶化后喷塑处理。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2、功能设置：桌面上设有走线孔及多功能电源插座；设有</w:t>
      </w:r>
      <w:r>
        <w:rPr>
          <w:rFonts w:hint="eastAsia" w:ascii="宋体" w:hAnsi="宋体" w:eastAsia="宋体" w:cs="宋体"/>
          <w:color w:val="auto"/>
          <w:sz w:val="24"/>
          <w:szCs w:val="24"/>
          <w:lang w:eastAsia="zh-CN"/>
        </w:rPr>
        <w:t>非</w:t>
      </w:r>
      <w:r>
        <w:rPr>
          <w:rFonts w:hint="eastAsia" w:ascii="宋体" w:hAnsi="宋体" w:eastAsia="宋体" w:cs="宋体"/>
          <w:color w:val="auto"/>
          <w:sz w:val="24"/>
          <w:szCs w:val="24"/>
        </w:rPr>
        <w:t>落地式前挡板；桌面下中间设有键盘架，桌面下两侧设有三抽屉柜和</w:t>
      </w:r>
      <w:r>
        <w:rPr>
          <w:rFonts w:hint="eastAsia" w:ascii="宋体" w:hAnsi="宋体" w:eastAsia="宋体" w:cs="宋体"/>
          <w:color w:val="auto"/>
          <w:sz w:val="24"/>
          <w:szCs w:val="24"/>
          <w:lang w:eastAsia="zh-CN"/>
        </w:rPr>
        <w:t>主机箱柜</w:t>
      </w:r>
      <w:r>
        <w:rPr>
          <w:rFonts w:hint="eastAsia" w:ascii="宋体" w:hAnsi="宋体" w:eastAsia="宋体" w:cs="宋体"/>
          <w:color w:val="auto"/>
          <w:sz w:val="24"/>
          <w:szCs w:val="24"/>
        </w:rPr>
        <w:t xml:space="preserve">，屉面、柜门设有扣手及锁具；下脚设有调节脚。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、五金件：金属连接件、三节静音滑轨、锁具。</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、工艺要求：隐蔽部位封闭处理。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、其他要求：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需提供带CMA及CNAS标识的办公桌及中密度纤维板、胶粘剂、水性漆检测报告。</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（三）办公椅 规格:常规、高背、带扶手</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1、设有可升降头枕。背框采用ABS工程塑料，上覆尼龙网布覆面（内嵌式），设有可移动腰托；座软包，外覆环保麻绒面料覆面，覆面下为一次成型高回弹PU泡棉，密度≥35Kg/m</w:t>
      </w:r>
      <w:r>
        <w:rPr>
          <w:rFonts w:hint="eastAsia" w:ascii="宋体" w:hAnsi="宋体" w:eastAsia="宋体" w:cs="宋体"/>
          <w:color w:val="auto"/>
          <w:sz w:val="24"/>
          <w:szCs w:val="24"/>
          <w:vertAlign w:val="superscript"/>
        </w:rPr>
        <w:t>3</w:t>
      </w:r>
      <w:r>
        <w:rPr>
          <w:rFonts w:hint="eastAsia" w:ascii="宋体" w:hAnsi="宋体" w:eastAsia="宋体" w:cs="宋体"/>
          <w:color w:val="auto"/>
          <w:sz w:val="24"/>
          <w:szCs w:val="24"/>
        </w:rPr>
        <w:t>，回弹性≥40%，衬板采用E</w:t>
      </w:r>
      <w:r>
        <w:rPr>
          <w:rFonts w:hint="eastAsia" w:ascii="宋体" w:hAnsi="宋体" w:eastAsia="宋体" w:cs="宋体"/>
          <w:color w:val="auto"/>
          <w:sz w:val="24"/>
          <w:szCs w:val="24"/>
          <w:vertAlign w:val="subscript"/>
        </w:rPr>
        <w:t>0</w:t>
      </w:r>
      <w:r>
        <w:rPr>
          <w:rFonts w:hint="eastAsia" w:ascii="宋体" w:hAnsi="宋体" w:eastAsia="宋体" w:cs="宋体"/>
          <w:color w:val="auto"/>
          <w:sz w:val="24"/>
          <w:szCs w:val="24"/>
        </w:rPr>
        <w:t>级≥12mm厚的硬杂木曲木多层胶合板；PU扶手可前后移动；底盘钢板厚度≥3.0mm，前置式同步倾仰机构，名牌气压棒具有升降、倾仰（≥130</w:t>
      </w:r>
      <w:r>
        <w:rPr>
          <w:rFonts w:hint="eastAsia" w:ascii="宋体" w:hAnsi="宋体" w:eastAsia="宋体" w:cs="宋体"/>
          <w:color w:val="auto"/>
          <w:sz w:val="24"/>
          <w:szCs w:val="24"/>
          <w:vertAlign w:val="superscript"/>
        </w:rPr>
        <w:t>0</w:t>
      </w:r>
      <w:r>
        <w:rPr>
          <w:rFonts w:hint="eastAsia" w:ascii="宋体" w:hAnsi="宋体" w:eastAsia="宋体" w:cs="宋体"/>
          <w:color w:val="auto"/>
          <w:sz w:val="24"/>
          <w:szCs w:val="24"/>
        </w:rPr>
        <w:t>）、锁定功能，行程≥60，最低座面高≤420，座面下设有金属推拉脚托板；工程塑料五星脚，半径≥350mm； PU脚轮。</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2、提供带有CMA或CNAS标识的泡棉、胶合板的检测报告。</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（四）五节文件柜  规格：900*400*20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 xml:space="preserve">0   </w:t>
      </w:r>
      <w:r>
        <w:rPr>
          <w:rFonts w:hint="eastAsia" w:ascii="宋体" w:hAnsi="宋体" w:eastAsia="宋体" w:cs="宋体"/>
          <w:color w:val="auto"/>
          <w:sz w:val="24"/>
          <w:szCs w:val="24"/>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薄边柜。</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1、基材：采用一级冷轧钢板，钢板厚度≥0.8，所有金属部件表面经除油、除锈后，喷塑处理。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w:t>
      </w:r>
      <w:bookmarkStart w:id="28" w:name="_Hlk191047097"/>
      <w:r>
        <w:rPr>
          <w:rFonts w:hint="eastAsia" w:ascii="宋体" w:hAnsi="宋体" w:eastAsia="宋体" w:cs="宋体"/>
          <w:color w:val="auto"/>
          <w:sz w:val="24"/>
          <w:szCs w:val="24"/>
        </w:rPr>
        <w:t>均为对开板门，门设标签框，门设抠手及锁具为一体的锁具；每节两侧设有暗藏式扣手；底脚为围座式且设金属可调下脚。</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3、五金件：阻尼铰链、锁具。</w:t>
      </w:r>
    </w:p>
    <w:bookmarkEnd w:id="28"/>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4、其他要求：</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需提供带有CMA或CNAS标识的塑粉检测报告。 </w:t>
      </w:r>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（五）更衣柜   规格：900*500*20</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0</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薄边柜。</w:t>
      </w:r>
    </w:p>
    <w:p>
      <w:pPr>
        <w:spacing w:line="440" w:lineRule="exact"/>
        <w:ind w:firstLine="480" w:firstLineChars="200"/>
        <w:rPr>
          <w:rFonts w:hint="eastAsia" w:ascii="宋体" w:hAnsi="宋体" w:eastAsia="宋体" w:cs="宋体"/>
          <w:color w:val="auto"/>
          <w:sz w:val="24"/>
          <w:szCs w:val="24"/>
        </w:rPr>
      </w:pPr>
      <w:bookmarkStart w:id="29" w:name="_Hlk191033446"/>
      <w:r>
        <w:rPr>
          <w:rFonts w:hint="eastAsia" w:ascii="宋体" w:hAnsi="宋体" w:eastAsia="宋体" w:cs="宋体"/>
          <w:color w:val="auto"/>
          <w:sz w:val="24"/>
          <w:szCs w:val="24"/>
        </w:rPr>
        <w:t>1、基材：采用一级冷轧钢板，钢板厚度≥0.8，所有金属部件表面经除油、除锈后，喷塑处理。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为两扇通体顺开板门，门面设有标签框、抠手及锁具（锁具钥匙具有折弯功能）；门内上部设有一块搁板，搁板下设有挂衣杆，门板内侧配置小镜子；钢板边缘三折弯处理；底脚为围座式且设金属可调下脚。</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3、五金件：阻尼铰链、锁具。</w:t>
      </w:r>
      <w:bookmarkEnd w:id="29"/>
    </w:p>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（六）茶水柜  </w:t>
      </w:r>
      <w:bookmarkStart w:id="30" w:name="_Hlk191034330"/>
      <w:r>
        <w:rPr>
          <w:rFonts w:hint="eastAsia" w:ascii="宋体" w:hAnsi="宋体" w:eastAsia="宋体" w:cs="宋体"/>
          <w:b/>
          <w:bCs/>
          <w:color w:val="auto"/>
          <w:sz w:val="24"/>
          <w:szCs w:val="24"/>
        </w:rPr>
        <w:t>900*400*900</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1、基材：采用E</w:t>
      </w:r>
      <w:r>
        <w:rPr>
          <w:rFonts w:hint="eastAsia" w:ascii="宋体" w:hAnsi="宋体" w:eastAsia="宋体" w:cs="宋体"/>
          <w:color w:val="auto"/>
          <w:sz w:val="24"/>
          <w:szCs w:val="24"/>
          <w:vertAlign w:val="subscript"/>
        </w:rPr>
        <w:t>NF</w:t>
      </w:r>
      <w:r>
        <w:rPr>
          <w:rFonts w:hint="eastAsia" w:ascii="宋体" w:hAnsi="宋体" w:eastAsia="宋体" w:cs="宋体"/>
          <w:color w:val="auto"/>
          <w:sz w:val="24"/>
          <w:szCs w:val="24"/>
        </w:rPr>
        <w:t>级三聚氰胺饰面刨花板，柜面、两山板厚25mm厚，其它部分18mm厚，采用ABS激光封边。</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2、功能设置：柜面上设有三围挡水沿，柜面下设有两个抽屉，下部为对开板门，内设一块活动搁板；底脚为围座式且设金属可调下脚。颜色可选。</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3、五金件：金属连接件、阻尼铰链、三节静音滑轨、锁具。</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4、工艺要求：所有的隐蔽部位封闭处理。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5、其他要求：需提供带有CMA或CNAS标识的三聚氰胺饰面刨花板检验报告复印件。</w:t>
      </w:r>
    </w:p>
    <w:bookmarkEnd w:id="30"/>
    <w:p>
      <w:pPr>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（七）阅览桌  规格：2000*1000*760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1、基材：采用一级楸木实木桌架，木材含水率8%-12%，架内嵌E</w:t>
      </w:r>
      <w:r>
        <w:rPr>
          <w:rFonts w:hint="eastAsia" w:ascii="宋体" w:hAnsi="宋体" w:eastAsia="宋体" w:cs="宋体"/>
          <w:color w:val="auto"/>
          <w:sz w:val="24"/>
          <w:szCs w:val="24"/>
          <w:vertAlign w:val="subscript"/>
        </w:rPr>
        <w:t>NF</w:t>
      </w:r>
      <w:r>
        <w:rPr>
          <w:rFonts w:hint="eastAsia" w:ascii="宋体" w:hAnsi="宋体" w:eastAsia="宋体" w:cs="宋体"/>
          <w:color w:val="auto"/>
          <w:sz w:val="24"/>
          <w:szCs w:val="24"/>
        </w:rPr>
        <w:t>级中密度纤维板，上覆0.6mm厚的胡桃木实木双贴。</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2、功能设置：桌面边框厚度≥50mm，桌腿边框厚度≥50mm；桌面上设有走线孔及多功能电源插座，下脚设有金属调节脚。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3、表面处理：所有的木质表面采用水性漆，均衡涂饰，隐孔半哑光效果，硬度≥2H。</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4、工艺要求：实木部分采用榫卯结构。</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5、其他要求：需提供带有CMA或CNAS标识的阅览桌检测报告。</w:t>
      </w:r>
    </w:p>
    <w:p>
      <w:pPr>
        <w:spacing w:line="440" w:lineRule="exact"/>
        <w:ind w:firstLine="42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（八）整理台   规格：2000*1000*760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1、基材：采用E</w:t>
      </w:r>
      <w:r>
        <w:rPr>
          <w:rFonts w:hint="eastAsia" w:ascii="宋体" w:hAnsi="宋体" w:eastAsia="宋体" w:cs="宋体"/>
          <w:color w:val="auto"/>
          <w:sz w:val="24"/>
          <w:szCs w:val="24"/>
          <w:vertAlign w:val="subscript"/>
        </w:rPr>
        <w:t>NF</w:t>
      </w:r>
      <w:r>
        <w:rPr>
          <w:rFonts w:hint="eastAsia" w:ascii="宋体" w:hAnsi="宋体" w:eastAsia="宋体" w:cs="宋体"/>
          <w:color w:val="auto"/>
          <w:sz w:val="24"/>
          <w:szCs w:val="24"/>
        </w:rPr>
        <w:t>级三聚氰胺饰面刨花板，柜面、两山板厚25mm厚，其它部分18mm厚，采用ABS激光封边；铝合金金属桌架，金属表面经除油、除锈、陶化后喷塑处理。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 45</w:t>
      </w:r>
      <w:r>
        <w:rPr>
          <w:rFonts w:hint="eastAsia" w:ascii="宋体" w:hAnsi="宋体" w:eastAsia="宋体" w:cs="宋体"/>
          <w:color w:val="auto"/>
          <w:sz w:val="24"/>
          <w:szCs w:val="24"/>
          <w:vertAlign w:val="superscript"/>
        </w:rPr>
        <w:t>0</w:t>
      </w:r>
      <w:r>
        <w:rPr>
          <w:rFonts w:hint="eastAsia" w:ascii="宋体" w:hAnsi="宋体" w:eastAsia="宋体" w:cs="宋体"/>
          <w:color w:val="auto"/>
          <w:sz w:val="24"/>
          <w:szCs w:val="24"/>
        </w:rPr>
        <w:t>压铸斜桌脚，设有金属调节脚。</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3、五金件：金属连接件。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4、工艺要求：所有的隐蔽部位封闭处理。</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（九）整理架  规格: 1800*550*2200  </w:t>
      </w:r>
      <w:r>
        <w:rPr>
          <w:rFonts w:hint="eastAsia" w:ascii="宋体" w:hAnsi="宋体" w:eastAsia="宋体" w:cs="宋体"/>
          <w:color w:val="auto"/>
          <w:sz w:val="24"/>
          <w:szCs w:val="24"/>
        </w:rPr>
        <w:t xml:space="preserve">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1、基材：采用一级冷轧钢板，钢板厚度：立柱≥1.2mm，搁板≥1.0mm，横梁1.2mm；所有的金属表面经除油、除锈、陶化后喷塑处理。</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2、功能设置：</w:t>
      </w:r>
      <w:bookmarkStart w:id="31" w:name="_Hlk191047804"/>
      <w:r>
        <w:rPr>
          <w:rFonts w:hint="eastAsia" w:ascii="宋体" w:hAnsi="宋体" w:eastAsia="宋体" w:cs="宋体"/>
          <w:color w:val="auto"/>
          <w:sz w:val="24"/>
          <w:szCs w:val="24"/>
        </w:rPr>
        <w:t>设有五层，搁板下设有加强筋，钢板边缘三折弯处理。</w:t>
      </w:r>
    </w:p>
    <w:p>
      <w:pPr>
        <w:pStyle w:val="2"/>
        <w:rPr>
          <w:rFonts w:hint="eastAsia" w:ascii="宋体" w:hAnsi="宋体" w:eastAsia="宋体" w:cs="宋体"/>
          <w:color w:val="auto"/>
          <w:sz w:val="24"/>
          <w:szCs w:val="24"/>
        </w:rPr>
      </w:pPr>
    </w:p>
    <w:p>
      <w:pPr>
        <w:pStyle w:val="2"/>
        <w:rPr>
          <w:rFonts w:hint="eastAsia" w:ascii="宋体" w:hAnsi="宋体" w:eastAsia="宋体" w:cs="宋体"/>
          <w:color w:val="auto"/>
          <w:sz w:val="24"/>
          <w:szCs w:val="24"/>
        </w:rPr>
      </w:pPr>
    </w:p>
    <w:p>
      <w:pPr>
        <w:numPr>
          <w:ilvl w:val="0"/>
          <w:numId w:val="0"/>
        </w:numPr>
        <w:spacing w:line="360" w:lineRule="auto"/>
        <w:ind w:left="2310" w:leftChars="0" w:firstLine="602" w:firstLineChars="200"/>
        <w:rPr>
          <w:rFonts w:hint="eastAsia" w:ascii="宋体" w:hAnsi="宋体" w:eastAsia="宋体" w:cs="宋体"/>
          <w:color w:val="auto"/>
          <w:sz w:val="24"/>
          <w:szCs w:val="24"/>
        </w:rPr>
      </w:pPr>
      <w:bookmarkStart w:id="32" w:name="OLE_LINK17"/>
      <w:r>
        <w:rPr>
          <w:rFonts w:hint="eastAsia" w:ascii="宋体" w:hAnsi="宋体"/>
          <w:b/>
          <w:bCs/>
          <w:color w:val="auto"/>
          <w:sz w:val="30"/>
          <w:szCs w:val="30"/>
          <w:lang w:val="en-US" w:eastAsia="zh-CN"/>
        </w:rPr>
        <w:t>第二部分  其他要求</w:t>
      </w:r>
    </w:p>
    <w:bookmarkEnd w:id="31"/>
    <w:p>
      <w:pPr>
        <w:spacing w:line="440" w:lineRule="exact"/>
        <w:ind w:firstLine="482" w:firstLineChars="200"/>
        <w:rPr>
          <w:rFonts w:hint="eastAsia" w:ascii="宋体" w:hAnsi="宋体" w:eastAsia="宋体" w:cs="宋体"/>
          <w:b/>
          <w:color w:val="auto"/>
          <w:sz w:val="24"/>
          <w:szCs w:val="24"/>
        </w:rPr>
      </w:pPr>
      <w:r>
        <w:rPr>
          <w:rFonts w:hint="eastAsia" w:ascii="宋体" w:hAnsi="宋体" w:cs="宋体"/>
          <w:b/>
          <w:color w:val="auto"/>
          <w:sz w:val="24"/>
          <w:szCs w:val="24"/>
          <w:lang w:eastAsia="zh-CN"/>
        </w:rPr>
        <w:t>一</w:t>
      </w:r>
      <w:r>
        <w:rPr>
          <w:rFonts w:hint="eastAsia" w:ascii="宋体" w:hAnsi="宋体" w:eastAsia="宋体" w:cs="宋体"/>
          <w:b/>
          <w:color w:val="auto"/>
          <w:sz w:val="24"/>
          <w:szCs w:val="24"/>
        </w:rPr>
        <w:t xml:space="preserve">、商务要求 </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（一）项目实施时间和地点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交货日期：自合同签订之日起4个月内完成密集架及</w:t>
      </w:r>
      <w:r>
        <w:rPr>
          <w:rFonts w:hint="eastAsia" w:ascii="宋体" w:hAnsi="宋体" w:eastAsia="宋体" w:cs="宋体"/>
          <w:color w:val="auto"/>
          <w:sz w:val="24"/>
          <w:szCs w:val="24"/>
          <w:lang w:eastAsia="zh-CN"/>
        </w:rPr>
        <w:t>其他</w:t>
      </w:r>
      <w:r>
        <w:rPr>
          <w:rFonts w:hint="eastAsia" w:ascii="宋体" w:hAnsi="宋体" w:eastAsia="宋体" w:cs="宋体"/>
          <w:color w:val="auto"/>
          <w:sz w:val="24"/>
          <w:szCs w:val="24"/>
        </w:rPr>
        <w:t>办公家具</w:t>
      </w:r>
      <w:r>
        <w:rPr>
          <w:rFonts w:hint="eastAsia" w:ascii="宋体" w:hAnsi="宋体" w:eastAsia="宋体" w:cs="宋体"/>
          <w:color w:val="auto"/>
          <w:sz w:val="24"/>
          <w:szCs w:val="24"/>
          <w:lang w:eastAsia="zh-CN"/>
        </w:rPr>
        <w:t>的安装调试和正式验收。</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交货地点：采购人指定 </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 xml:space="preserve">（二）付款条件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合同价款的支付：款项分两次支付。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1.首付款：合同签订且中标人递交约定金额的履约保证金后采购人支付合同总价的60%；尾款：所有货物运送到现场安装调试完毕并验收合格后，采购人支付合同总价的40</w:t>
      </w:r>
      <w:r>
        <w:rPr>
          <w:rFonts w:hint="eastAsia" w:ascii="宋体" w:hAnsi="宋体" w:eastAsia="宋体" w:cs="宋体"/>
          <w:color w:val="auto"/>
          <w:sz w:val="24"/>
          <w:szCs w:val="24"/>
          <w:highlight w:val="none"/>
        </w:rPr>
        <w:t>%，</w:t>
      </w:r>
      <w:r>
        <w:rPr>
          <w:rFonts w:hint="eastAsia" w:ascii="宋体" w:hAnsi="宋体" w:eastAsia="宋体" w:cs="宋体"/>
          <w:sz w:val="24"/>
          <w:szCs w:val="24"/>
          <w:highlight w:val="none"/>
          <w:lang w:eastAsia="zh-CN"/>
        </w:rPr>
        <w:t>如需财政评审，将以评审结算金额支付尾款</w:t>
      </w:r>
      <w:r>
        <w:rPr>
          <w:rFonts w:hint="eastAsia" w:ascii="宋体" w:hAnsi="宋体" w:eastAsia="宋体" w:cs="宋体"/>
          <w:color w:val="auto"/>
          <w:sz w:val="24"/>
          <w:szCs w:val="24"/>
          <w:highlight w:val="none"/>
        </w:rPr>
        <w:t>。</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2.每次付款前，中标人应向采购人提供足额发票等资料申请付款；采购人对中标人提交的付款资料审核通过且财政拨款到位后，应在10个工作日内将相应款项拨付至中标人给定账户。</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3.履约保证金：合同签订后10个工作日内递交合同金额的5%作为履约保证金。项目验收合格之日起满半年且设备无明显质量问题，甲方按程序一次性无息退还全部履约保证金。</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不予退还情形：中标人未在规定时间内交货的，或出现违反合同约定的。</w:t>
      </w:r>
    </w:p>
    <w:p>
      <w:pPr>
        <w:spacing w:line="440" w:lineRule="exact"/>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若中标人未按要求递交履约保证金的，视为中标人自动放弃该项目的中标权利，采购人可依照政府采购法相关规定处置。</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（三）验收方式及标准</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1.产品须完好无损送达交货地点，如有缺漏、损坏，由中标人负责。</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2.中标人对送达现场的产品自行保管，如发生丢失、损坏等情况，由中标人负责。</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3.中标人提供的产品未达到招标文件规定要求，且对采购人造成损失的，由中标人承担一切责任，并赔偿所造成的损失。</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4.产品在安装调试并试运行符合要求后，方能进行验收。</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5.检测方式、内容及费用</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投标人验收同时递交国家认可的省级及以上质量检测机构对本次采购的产品检测报告，检测结果作为项目验收的依据。</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与验收相关的费用和</w:t>
      </w:r>
      <w:r>
        <w:rPr>
          <w:rFonts w:hint="eastAsia" w:ascii="宋体" w:hAnsi="宋体" w:eastAsia="宋体" w:cs="宋体"/>
          <w:bCs/>
          <w:color w:val="auto"/>
          <w:sz w:val="24"/>
          <w:szCs w:val="24"/>
        </w:rPr>
        <w:t>检测费用由中标人承担（包括因检测不合格而进行重复检测所产生的检测费用）。</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未尽事宜双方根据以上原则，在合同中另行约定。</w:t>
      </w:r>
    </w:p>
    <w:p>
      <w:pPr>
        <w:spacing w:line="440" w:lineRule="exact"/>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6.档案密集架体积计算方式及标准：以密集架柜体长（架体两端侧面板间的距离，不含摇手柄及导轨）×宽（架体合拢后前后门板间的距离，不含门拉手及导轨）×高（密集架顶板到底梁底面距离），不含局部超出密集架柜体的部分，包括并不限于以下部分：防尘帽（板）、密集架手柄等，密集架底梁底面至轨道间部分也不计入。</w:t>
      </w:r>
    </w:p>
    <w:p>
      <w:pPr>
        <w:spacing w:line="440" w:lineRule="exact"/>
        <w:ind w:firstLine="480" w:firstLineChars="200"/>
        <w:rPr>
          <w:rFonts w:hint="eastAsia" w:ascii="宋体" w:hAnsi="宋体" w:eastAsia="宋体" w:cs="宋体"/>
          <w:b/>
          <w:color w:val="auto"/>
          <w:sz w:val="24"/>
          <w:szCs w:val="24"/>
        </w:rPr>
      </w:pPr>
      <w:r>
        <w:rPr>
          <w:rFonts w:hint="eastAsia" w:ascii="宋体" w:hAnsi="宋体" w:eastAsia="宋体" w:cs="宋体"/>
          <w:bCs/>
          <w:color w:val="auto"/>
          <w:sz w:val="24"/>
          <w:szCs w:val="24"/>
        </w:rPr>
        <w:t>7.根据需要，中标人应配合采购人完成项目审计等工作。</w:t>
      </w:r>
    </w:p>
    <w:p>
      <w:pPr>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cs="宋体"/>
          <w:b/>
          <w:color w:val="auto"/>
          <w:sz w:val="24"/>
          <w:szCs w:val="24"/>
          <w:lang w:eastAsia="zh-CN"/>
        </w:rPr>
        <w:t>四</w:t>
      </w:r>
      <w:r>
        <w:rPr>
          <w:rFonts w:hint="eastAsia" w:ascii="宋体" w:hAnsi="宋体" w:eastAsia="宋体" w:cs="宋体"/>
          <w:b/>
          <w:color w:val="auto"/>
          <w:sz w:val="24"/>
          <w:szCs w:val="24"/>
        </w:rPr>
        <w:t xml:space="preserve">）质量保证及售后服务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1.质保期：不少于</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年（手动密集架不少于10年）。质保期的起始日期为产品验收合格之日起计算，除非人为因素原因外，采购人不需支付产品维修的任何费用。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2.在质保期内，所有服务费用包括备件费、维修费等均包含在投标报价中。必须保证提供的备件是全新的未经使用的出厂检验合格产品。在质保期内更换的任何零配件，必须与合同货物保持一致。 </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3.培训：中标人须免费对采购人提供产品使用操作培训和相关的技术资料。</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维修响应时间：质保期内发生故障，投标人至少应在8小时内对采购人的服务要求做出响应，接到采购人维修通知后至少在24小时内必须到达现场完成故障修复，如在上述时间内不能及时修复，应提供同等档次备品。投标人应保证设备维护的时效性，确保货物能稳定使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5.投标人在质保期内应对货物进行定期巡检，每年不低于2次。质保期结束前投标人应对整个项目全部货物进行整体检测，确保货物正常使用。</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6.质量保证期过后，中标人应同样提供免费电话咨询服务，并应承诺提供产品上门维护服务。采购人需要继续由原中标人提供售后服务的，该中标人应以优惠价格提供售后服务。</w:t>
      </w:r>
    </w:p>
    <w:p>
      <w:pPr>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w:t>
      </w:r>
      <w:r>
        <w:rPr>
          <w:rFonts w:hint="eastAsia" w:ascii="宋体" w:hAnsi="宋体" w:cs="宋体"/>
          <w:b/>
          <w:bCs/>
          <w:color w:val="auto"/>
          <w:sz w:val="24"/>
          <w:szCs w:val="24"/>
          <w:lang w:eastAsia="zh-CN"/>
        </w:rPr>
        <w:t>五</w:t>
      </w:r>
      <w:r>
        <w:rPr>
          <w:rFonts w:hint="eastAsia" w:ascii="宋体" w:hAnsi="宋体" w:eastAsia="宋体" w:cs="宋体"/>
          <w:b/>
          <w:bCs/>
          <w:color w:val="auto"/>
          <w:sz w:val="24"/>
          <w:szCs w:val="24"/>
        </w:rPr>
        <w:t>）其他</w:t>
      </w:r>
    </w:p>
    <w:p>
      <w:pPr>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1.投标人须在投标文件中明确承诺具体的内容，且必须满足本招标文件相关要求。</w:t>
      </w:r>
    </w:p>
    <w:p>
      <w:pPr>
        <w:pStyle w:val="2"/>
        <w:widowControl w:val="0"/>
        <w:numPr>
          <w:ilvl w:val="0"/>
          <w:numId w:val="0"/>
        </w:numPr>
        <w:spacing w:after="160" w:line="259" w:lineRule="auto"/>
        <w:ind w:firstLine="480" w:firstLineChars="200"/>
        <w:jc w:val="both"/>
        <w:textAlignment w:val="baseline"/>
        <w:rPr>
          <w:rFonts w:hint="eastAsia"/>
          <w:lang w:val="en-US" w:eastAsia="zh-CN"/>
        </w:rPr>
      </w:pPr>
      <w:r>
        <w:rPr>
          <w:rFonts w:hint="eastAsia" w:ascii="宋体" w:hAnsi="宋体" w:eastAsia="宋体" w:cs="宋体"/>
          <w:color w:val="auto"/>
          <w:sz w:val="24"/>
          <w:szCs w:val="24"/>
        </w:rPr>
        <w:t>2.其他未尽事宜，供需双方可在采购合同中另行约定。</w:t>
      </w:r>
    </w:p>
    <w:p>
      <w:pPr>
        <w:spacing w:line="360" w:lineRule="auto"/>
        <w:ind w:firstLine="480" w:firstLineChars="200"/>
        <w:contextualSpacing/>
        <w:rPr>
          <w:sz w:val="24"/>
        </w:rPr>
      </w:pPr>
      <w:r>
        <w:rPr>
          <w:sz w:val="24"/>
        </w:rPr>
        <w:t>3. 包装和运输（如适用，须满足《关于印发〈商品包装政府采购需求标准（试行）〉、〈快递包装政府采购需求标准（试行）〉的通知》（财办库﹝2020﹞123号）</w:t>
      </w:r>
    </w:p>
    <w:p>
      <w:pPr>
        <w:spacing w:line="360" w:lineRule="auto"/>
        <w:ind w:firstLine="480" w:firstLineChars="200"/>
        <w:contextualSpacing/>
        <w:rPr>
          <w:b/>
          <w:i/>
          <w:sz w:val="24"/>
        </w:rPr>
      </w:pPr>
      <w:r>
        <w:rPr>
          <w:rFonts w:hint="eastAsia"/>
          <w:sz w:val="24"/>
          <w:lang w:val="en-US" w:eastAsia="zh-CN"/>
        </w:rPr>
        <w:t>4</w:t>
      </w:r>
      <w:r>
        <w:rPr>
          <w:sz w:val="24"/>
        </w:rPr>
        <w:t>. 保险（如适用）</w:t>
      </w:r>
      <w:r>
        <w:rPr>
          <w:rFonts w:hint="eastAsia"/>
          <w:sz w:val="24"/>
          <w:lang w:eastAsia="zh-CN"/>
        </w:rPr>
        <w:t>：本项目涉及的货物和人员的一切保险费用和责任均由乙方承担。</w:t>
      </w:r>
    </w:p>
    <w:p>
      <w:pPr>
        <w:pStyle w:val="36"/>
        <w:numPr>
          <w:ilvl w:val="0"/>
          <w:numId w:val="0"/>
        </w:numPr>
        <w:spacing w:line="360" w:lineRule="auto"/>
        <w:ind w:leftChars="0"/>
        <w:contextualSpacing/>
        <w:rPr>
          <w:rFonts w:ascii="Times New Roman" w:hAnsi="Times New Roman"/>
          <w:b/>
          <w:sz w:val="24"/>
          <w:szCs w:val="24"/>
        </w:rPr>
      </w:pPr>
      <w:r>
        <w:rPr>
          <w:rFonts w:hint="eastAsia" w:ascii="Times New Roman" w:hAnsi="Times New Roman"/>
          <w:b/>
          <w:sz w:val="24"/>
          <w:szCs w:val="24"/>
          <w:lang w:eastAsia="zh-CN"/>
        </w:rPr>
        <w:t>二、通用</w:t>
      </w:r>
      <w:r>
        <w:rPr>
          <w:rFonts w:ascii="Times New Roman" w:hAnsi="Times New Roman"/>
          <w:b/>
          <w:sz w:val="24"/>
          <w:szCs w:val="24"/>
        </w:rPr>
        <w:t>技术要求</w:t>
      </w:r>
    </w:p>
    <w:p>
      <w:pPr>
        <w:spacing w:line="360" w:lineRule="auto"/>
        <w:contextualSpacing/>
        <w:rPr>
          <w:sz w:val="24"/>
        </w:rPr>
      </w:pPr>
      <w:r>
        <w:rPr>
          <w:sz w:val="24"/>
        </w:rPr>
        <w:t>1</w:t>
      </w:r>
      <w:r>
        <w:rPr>
          <w:rFonts w:hint="eastAsia"/>
          <w:sz w:val="24"/>
          <w:lang w:val="en-US" w:eastAsia="zh-CN"/>
        </w:rPr>
        <w:t xml:space="preserve">. </w:t>
      </w:r>
      <w:r>
        <w:rPr>
          <w:sz w:val="24"/>
        </w:rPr>
        <w:t>基本要求</w:t>
      </w:r>
    </w:p>
    <w:p>
      <w:pPr>
        <w:spacing w:line="360" w:lineRule="auto"/>
        <w:ind w:firstLine="480" w:firstLineChars="200"/>
        <w:contextualSpacing/>
        <w:rPr>
          <w:rFonts w:hint="eastAsia"/>
          <w:sz w:val="24"/>
          <w:lang w:eastAsia="zh-CN"/>
        </w:rPr>
      </w:pPr>
      <w:r>
        <w:rPr>
          <w:sz w:val="24"/>
        </w:rPr>
        <w:t>1.1 采购标的需</w:t>
      </w:r>
      <w:r>
        <w:rPr>
          <w:rFonts w:hint="eastAsia"/>
          <w:sz w:val="24"/>
          <w:lang w:eastAsia="zh-CN"/>
        </w:rPr>
        <w:t>按甲方要求安装调试至可正常使用。</w:t>
      </w:r>
    </w:p>
    <w:p>
      <w:pPr>
        <w:spacing w:line="360" w:lineRule="auto"/>
        <w:ind w:firstLine="480" w:firstLineChars="200"/>
        <w:contextualSpacing/>
        <w:rPr>
          <w:rFonts w:hint="eastAsia" w:eastAsia="宋体"/>
          <w:sz w:val="24"/>
          <w:lang w:eastAsia="zh-CN"/>
        </w:rPr>
      </w:pPr>
      <w:r>
        <w:rPr>
          <w:sz w:val="24"/>
        </w:rPr>
        <w:t>1.2 需执行</w:t>
      </w:r>
      <w:r>
        <w:rPr>
          <w:rFonts w:hint="eastAsia"/>
          <w:sz w:val="24"/>
          <w:lang w:eastAsia="zh-CN"/>
        </w:rPr>
        <w:t>相关的</w:t>
      </w:r>
      <w:r>
        <w:rPr>
          <w:sz w:val="24"/>
        </w:rPr>
        <w:t>国家相关标准</w:t>
      </w:r>
      <w:r>
        <w:rPr>
          <w:rFonts w:hint="eastAsia"/>
          <w:sz w:val="24"/>
          <w:lang w:eastAsia="zh-CN"/>
        </w:rPr>
        <w:t>和</w:t>
      </w:r>
      <w:r>
        <w:rPr>
          <w:sz w:val="24"/>
        </w:rPr>
        <w:t>行业标准</w:t>
      </w:r>
      <w:r>
        <w:rPr>
          <w:rFonts w:hint="eastAsia"/>
          <w:sz w:val="24"/>
          <w:lang w:eastAsia="zh-CN"/>
        </w:rPr>
        <w:t>。</w:t>
      </w:r>
    </w:p>
    <w:p>
      <w:pPr>
        <w:spacing w:line="360" w:lineRule="auto"/>
        <w:contextualSpacing/>
        <w:rPr>
          <w:rFonts w:hint="eastAsia" w:eastAsia="宋体"/>
          <w:sz w:val="24"/>
          <w:lang w:eastAsia="zh-CN"/>
        </w:rPr>
      </w:pPr>
      <w:r>
        <w:rPr>
          <w:sz w:val="24"/>
        </w:rPr>
        <w:t>2. 服务内容及要求/货物技术要求</w:t>
      </w:r>
      <w:r>
        <w:rPr>
          <w:rFonts w:hint="eastAsia"/>
          <w:sz w:val="24"/>
          <w:lang w:eastAsia="zh-CN"/>
        </w:rPr>
        <w:t>（应执行与本项目相关的标准）</w:t>
      </w:r>
    </w:p>
    <w:p>
      <w:pPr>
        <w:spacing w:line="360" w:lineRule="auto"/>
        <w:ind w:firstLine="480" w:firstLineChars="200"/>
        <w:contextualSpacing/>
        <w:rPr>
          <w:rFonts w:hint="eastAsia" w:eastAsia="宋体"/>
          <w:sz w:val="24"/>
        </w:rPr>
      </w:pPr>
      <w:r>
        <w:rPr>
          <w:rFonts w:hint="eastAsia" w:eastAsia="宋体"/>
          <w:sz w:val="24"/>
          <w:lang w:val="en-US" w:eastAsia="zh-CN"/>
        </w:rPr>
        <w:t>2.1</w:t>
      </w:r>
      <w:r>
        <w:rPr>
          <w:rFonts w:hint="eastAsia" w:eastAsia="宋体"/>
          <w:sz w:val="24"/>
        </w:rPr>
        <w:t>所投产品及其原、辅材料必须符合相关国家及行业环保标准要求</w:t>
      </w:r>
      <w:r>
        <w:rPr>
          <w:rFonts w:hint="eastAsia" w:eastAsia="宋体"/>
          <w:sz w:val="24"/>
          <w:lang w:eastAsia="zh-CN"/>
        </w:rPr>
        <w:t>，包括但不限于以下标准：</w:t>
      </w:r>
      <w:r>
        <w:rPr>
          <w:rFonts w:hint="eastAsia" w:eastAsia="宋体"/>
          <w:sz w:val="24"/>
        </w:rPr>
        <w:t>GB/T 4897《刨花板》、GB18580《室内装饰装修材料 人造板及其制品中甲醛释放限量》、GB/T 39600《人造板及其制品甲醛释放量分级》</w:t>
      </w:r>
      <w:r>
        <w:rPr>
          <w:rFonts w:hint="eastAsia" w:eastAsia="宋体"/>
          <w:sz w:val="24"/>
          <w:lang w:eastAsia="zh-CN"/>
        </w:rPr>
        <w:t>、</w:t>
      </w:r>
      <w:r>
        <w:rPr>
          <w:rFonts w:hint="eastAsia" w:eastAsia="宋体"/>
          <w:sz w:val="24"/>
        </w:rPr>
        <w:t>GB18580室内装饰装修材料 人造板及其制品中甲醛释放限量、GB18581室内装饰装修材料 溶剂型木器涂料中有害物质限量、GB/T 7911《热固性树脂浸渍纸高压装饰层积板(HPL)》、GB 18580《室内装饰装修材料人造板及其制品中甲醛释放限量》、GB/T 39600《人造板及其制品甲醛释放量分级》</w:t>
      </w:r>
      <w:r>
        <w:rPr>
          <w:rFonts w:hint="eastAsia" w:eastAsia="宋体"/>
          <w:sz w:val="24"/>
          <w:lang w:eastAsia="zh-CN"/>
        </w:rPr>
        <w:t>、</w:t>
      </w:r>
      <w:r>
        <w:rPr>
          <w:rFonts w:hint="eastAsia" w:eastAsia="宋体"/>
          <w:sz w:val="24"/>
          <w:lang w:val="en-US" w:eastAsia="zh-CN"/>
        </w:rPr>
        <w:t xml:space="preserve">HG/T 2006《热固性和热塑性粉末涂料》、QB/T 2454《家具五金 抽屉导轨》、QB/T 3826《轻工产品金属镀层和化学处理层的耐腐蚀试验方法中性盐雾试验(NSS)法》、QB/T 3827《轻工产品金属镀层和化学处理层的耐腐蚀试验方法乙酸盐雾试验(ASS)法》、QB/T3832《轻工产品金属镀层腐蚀试验结果的评价》GB 18401《国家纺织产品基本安全技术规范》、GB/T 32487《塑料家具通用技术条件》、GB/T 3325《金属家具通用技术条件》、  </w:t>
      </w:r>
      <w:r>
        <w:rPr>
          <w:rFonts w:hint="eastAsia" w:eastAsia="宋体"/>
          <w:sz w:val="24"/>
        </w:rPr>
        <w:t>GB18583</w:t>
      </w:r>
      <w:r>
        <w:rPr>
          <w:rFonts w:hint="eastAsia" w:eastAsia="宋体"/>
          <w:sz w:val="24"/>
          <w:lang w:val="en-US" w:eastAsia="zh-CN"/>
        </w:rPr>
        <w:t>《</w:t>
      </w:r>
      <w:r>
        <w:rPr>
          <w:rFonts w:hint="eastAsia" w:eastAsia="宋体"/>
          <w:sz w:val="24"/>
        </w:rPr>
        <w:t>室内装饰装修材料 胶粘剂有害物质限量</w:t>
      </w:r>
      <w:r>
        <w:rPr>
          <w:rFonts w:hint="eastAsia" w:eastAsia="宋体"/>
          <w:sz w:val="24"/>
          <w:lang w:val="en-US" w:eastAsia="zh-CN"/>
        </w:rPr>
        <w:t>》</w:t>
      </w:r>
      <w:r>
        <w:rPr>
          <w:rFonts w:hint="eastAsia" w:eastAsia="宋体"/>
          <w:sz w:val="24"/>
        </w:rPr>
        <w:t>、GB18584</w:t>
      </w:r>
      <w:r>
        <w:rPr>
          <w:rFonts w:hint="eastAsia" w:eastAsia="宋体"/>
          <w:sz w:val="24"/>
          <w:lang w:val="en-US" w:eastAsia="zh-CN"/>
        </w:rPr>
        <w:t>《</w:t>
      </w:r>
      <w:r>
        <w:rPr>
          <w:rFonts w:hint="eastAsia" w:eastAsia="宋体"/>
          <w:sz w:val="24"/>
        </w:rPr>
        <w:t>室内装饰装修材料 木家具中有害物质限量</w:t>
      </w:r>
      <w:r>
        <w:rPr>
          <w:rFonts w:hint="eastAsia" w:eastAsia="宋体"/>
          <w:sz w:val="24"/>
          <w:lang w:val="en-US" w:eastAsia="zh-CN"/>
        </w:rPr>
        <w:t>》</w:t>
      </w:r>
      <w:r>
        <w:rPr>
          <w:rFonts w:hint="eastAsia" w:eastAsia="宋体"/>
          <w:sz w:val="24"/>
        </w:rPr>
        <w:t>。</w:t>
      </w:r>
    </w:p>
    <w:p>
      <w:pPr>
        <w:spacing w:line="360" w:lineRule="auto"/>
        <w:ind w:firstLine="480" w:firstLineChars="200"/>
        <w:contextualSpacing/>
        <w:rPr>
          <w:rFonts w:hint="eastAsia" w:eastAsia="宋体"/>
          <w:sz w:val="24"/>
        </w:rPr>
      </w:pPr>
      <w:r>
        <w:rPr>
          <w:rFonts w:hint="eastAsia" w:eastAsia="宋体"/>
          <w:sz w:val="24"/>
          <w:lang w:val="en-US" w:eastAsia="zh-CN"/>
        </w:rPr>
        <w:t>2.2</w:t>
      </w:r>
      <w:r>
        <w:rPr>
          <w:rFonts w:hint="eastAsia" w:eastAsia="宋体"/>
          <w:sz w:val="24"/>
        </w:rPr>
        <w:t>家具制作应符合相关国家及行业标准</w:t>
      </w:r>
      <w:r>
        <w:rPr>
          <w:rFonts w:hint="eastAsia"/>
          <w:sz w:val="24"/>
          <w:lang w:eastAsia="zh-CN"/>
        </w:rPr>
        <w:t>：</w:t>
      </w:r>
      <w:r>
        <w:rPr>
          <w:rFonts w:hint="eastAsia" w:eastAsia="宋体"/>
          <w:sz w:val="24"/>
        </w:rPr>
        <w:t xml:space="preserve"> GB/T 3324木家具通用技术条件、GB/T 3325金属家具通用技术条件；学生课桌椅制作符合GB/T3976相关要求；相关产品符合QB/T2280办公椅、QB/T2384木制写字桌、GB/T 16799家具用皮革、GB/T 9846胶合板、</w:t>
      </w:r>
      <w:r>
        <w:rPr>
          <w:rFonts w:hint="eastAsia" w:eastAsia="宋体"/>
          <w:sz w:val="24"/>
          <w:lang w:val="en-US" w:eastAsia="zh-CN"/>
        </w:rPr>
        <w:t>GB-</w:t>
      </w:r>
      <w:r>
        <w:rPr>
          <w:rFonts w:hint="eastAsia" w:eastAsia="宋体"/>
          <w:sz w:val="24"/>
        </w:rPr>
        <w:t>T1</w:t>
      </w:r>
      <w:r>
        <w:rPr>
          <w:rFonts w:hint="eastAsia" w:eastAsia="宋体"/>
          <w:sz w:val="24"/>
          <w:lang w:val="en-US" w:eastAsia="zh-CN"/>
        </w:rPr>
        <w:t>5102</w:t>
      </w:r>
      <w:r>
        <w:rPr>
          <w:rFonts w:hint="eastAsia" w:eastAsia="宋体"/>
          <w:sz w:val="24"/>
          <w:lang w:eastAsia="zh-CN"/>
        </w:rPr>
        <w:t>浸渍胶膜纸饰面人造板</w:t>
      </w:r>
      <w:r>
        <w:rPr>
          <w:rFonts w:hint="eastAsia" w:eastAsia="宋体"/>
          <w:sz w:val="24"/>
        </w:rPr>
        <w:t>；GB/T 13668钢制书柜、资料柜通用技术条件</w:t>
      </w:r>
      <w:r>
        <w:rPr>
          <w:rFonts w:hint="eastAsia" w:eastAsia="宋体"/>
          <w:sz w:val="24"/>
          <w:lang w:eastAsia="zh-CN"/>
        </w:rPr>
        <w:t>。</w:t>
      </w:r>
    </w:p>
    <w:p>
      <w:pPr>
        <w:numPr>
          <w:ilvl w:val="0"/>
          <w:numId w:val="5"/>
        </w:numPr>
        <w:spacing w:line="440" w:lineRule="exact"/>
        <w:rPr>
          <w:sz w:val="24"/>
        </w:rPr>
      </w:pPr>
      <w:r>
        <w:rPr>
          <w:sz w:val="24"/>
        </w:rPr>
        <w:t>验收标准</w:t>
      </w:r>
    </w:p>
    <w:p>
      <w:pPr>
        <w:widowControl/>
        <w:spacing w:line="360" w:lineRule="auto"/>
        <w:ind w:firstLine="480" w:firstLineChars="200"/>
        <w:contextualSpacing/>
        <w:rPr>
          <w:rFonts w:hint="eastAsia"/>
          <w:sz w:val="24"/>
          <w:lang w:eastAsia="zh-CN"/>
        </w:rPr>
      </w:pPr>
      <w:r>
        <w:rPr>
          <w:rFonts w:hint="eastAsia"/>
          <w:sz w:val="24"/>
          <w:lang w:val="en-US" w:eastAsia="zh-CN"/>
        </w:rPr>
        <w:t>3.1</w:t>
      </w:r>
      <w:r>
        <w:rPr>
          <w:rFonts w:hint="eastAsia"/>
          <w:sz w:val="24"/>
        </w:rPr>
        <w:t>当满足以下条件时，采购人认为验收合格</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default"/>
          <w:sz w:val="24"/>
          <w:lang w:val="en-US"/>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6" name="任意多边形 6" hidden="1"/>
                <wp:cNvGraphicFramePr/>
                <a:graphic xmlns:a="http://schemas.openxmlformats.org/drawingml/2006/main">
                  <a:graphicData uri="http://schemas.microsoft.com/office/word/2010/wordprocessingShape">
                    <wps:wsp>
                      <wps:cNvSpPr/>
                      <wps:spPr>
                        <a:xfrm>
                          <a:off x="0" y="0"/>
                          <a:ext cx="635000" cy="635000"/>
                        </a:xfrm>
                        <a:custGeom>
                          <a:avLst/>
                          <a:gdLst>
                            <a:gd name="A1" fmla="val 0"/>
                            <a:gd name="A2" fmla="val 0"/>
                          </a:gdLst>
                          <a:ahLst/>
                          <a:cxnLst>
                            <a:cxn ang="0">
                              <a:pos x="0" y="0"/>
                            </a:cxn>
                            <a:cxn ang="0">
                              <a:pos x="0" y="0"/>
                            </a:cxn>
                            <a:cxn ang="0">
                              <a:pos x="635000" y="0"/>
                            </a:cxn>
                            <a:cxn ang="0">
                              <a:pos x="635000" y="0"/>
                            </a:cxn>
                            <a:cxn ang="0">
                              <a:pos x="635000" y="635000"/>
                            </a:cxn>
                            <a:cxn ang="0">
                              <a:pos x="635000" y="635000"/>
                            </a:cxn>
                            <a:cxn ang="0">
                              <a:pos x="0" y="635000"/>
                            </a:cxn>
                            <a:cxn ang="0">
                              <a:pos x="0" y="635000"/>
                            </a:cxn>
                            <a:cxn ang="0">
                              <a:pos x="0" y="0"/>
                            </a:cxn>
                          </a:cxnLst>
                          <a:pathLst>
                            <a:path w="53760" h="28489">
                              <a:moveTo>
                                <a:pt x="0" y="0"/>
                              </a:moveTo>
                              <a:lnTo>
                                <a:pt x="0" y="0"/>
                              </a:lnTo>
                              <a:lnTo>
                                <a:pt x="53760" y="0"/>
                              </a:lnTo>
                              <a:lnTo>
                                <a:pt x="53760" y="28489"/>
                              </a:lnTo>
                              <a:lnTo>
                                <a:pt x="0" y="28489"/>
                              </a:lnTo>
                              <a:lnTo>
                                <a:pt x="0" y="0"/>
                              </a:lnTo>
                              <a:close/>
                            </a:path>
                          </a:pathLst>
                        </a:cu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 id="_x0000_s1026" o:spid="_x0000_s1026" o:spt="100" style="position:absolute;left:0pt;margin-left:0pt;margin-top:0pt;height:50pt;width:50pt;visibility:hidden;z-index:251660288;mso-width-relative:page;mso-height-relative:page;" fillcolor="#FFFFFF" filled="t" stroked="t" coordsize="53760,28489" o:gfxdata="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Duy8/C0gAAAAUBAAAPAAAAAAAAAAEAIAAAACIAAABkcnMvZG93bnJldi54bWxQ&#10;SwECFAAUAAAACACHTuJAQuQ6SKgCAAAwBwAADgAAAAAAAAABACAAAAAhAQAAZHJzL2Uyb0RvYy54&#10;bWxQSwUGAAAAAAYABgBZAQAAOwYAAAAA&#10;" path="m0,0l0,0,53760,0,53760,28489,0,28489,0,0xe">
                <v:path o:connectlocs="0,0;0,0;635000,0;635000,0;635000,635000;635000,635000;0,635000;0,635000;0,0" o:connectangles="0,0,0,0,0,0,0,0,0"/>
                <v:fill on="t" focussize="0,0"/>
                <v:stroke color="#000000" joinstyle="miter"/>
                <v:imagedata o:title=""/>
                <o:lock v:ext="edit" aspectratio="f"/>
              </v:shape>
            </w:pict>
          </mc:Fallback>
        </mc:AlternateContent>
      </w:r>
      <w:r>
        <w:rPr>
          <w:rFonts w:hint="default"/>
          <w:sz w:val="24"/>
          <w:lang w:val="en-US"/>
        </w:rPr>
        <mc:AlternateContent>
          <mc:Choice Requires="wps">
            <w:drawing>
              <wp:anchor distT="0" distB="0" distL="114300" distR="114300" simplePos="0" relativeHeight="251659264" behindDoc="1" locked="0" layoutInCell="1" allowOverlap="1">
                <wp:simplePos x="0" y="0"/>
                <wp:positionH relativeFrom="page">
                  <wp:posOffset>359410</wp:posOffset>
                </wp:positionH>
                <wp:positionV relativeFrom="page">
                  <wp:posOffset>359410</wp:posOffset>
                </wp:positionV>
                <wp:extent cx="6827520" cy="3618230"/>
                <wp:effectExtent l="0" t="0" r="0" b="0"/>
                <wp:wrapNone/>
                <wp:docPr id="8" name="任意多边形 8"/>
                <wp:cNvGraphicFramePr/>
                <a:graphic xmlns:a="http://schemas.openxmlformats.org/drawingml/2006/main">
                  <a:graphicData uri="http://schemas.microsoft.com/office/word/2010/wordprocessingShape">
                    <wps:wsp>
                      <wps:cNvSpPr/>
                      <wps:spPr>
                        <a:xfrm>
                          <a:off x="0" y="0"/>
                          <a:ext cx="6827520" cy="3618230"/>
                        </a:xfrm>
                        <a:custGeom>
                          <a:avLst/>
                          <a:gdLst>
                            <a:gd name="A1" fmla="val 0"/>
                            <a:gd name="A2" fmla="val 0"/>
                          </a:gdLst>
                          <a:ahLst/>
                          <a:cxnLst>
                            <a:cxn ang="0">
                              <a:pos x="3413760" y="0"/>
                            </a:cxn>
                            <a:cxn ang="0">
                              <a:pos x="853440" y="1808947"/>
                            </a:cxn>
                            <a:cxn ang="0">
                              <a:pos x="3413760" y="904557"/>
                            </a:cxn>
                            <a:cxn ang="0">
                              <a:pos x="7680960" y="1809115"/>
                            </a:cxn>
                            <a:cxn ang="0">
                              <a:pos x="5974080" y="2713672"/>
                            </a:cxn>
                            <a:cxn ang="0">
                              <a:pos x="4267200" y="1809115"/>
                            </a:cxn>
                          </a:cxnLst>
                          <a:pathLst>
                            <a:path w="21600" h="21600">
                              <a:moveTo>
                                <a:pt x="16200" y="10800"/>
                              </a:moveTo>
                              <a:lnTo>
                                <a:pt x="16200" y="10800"/>
                              </a:lnTo>
                              <a:cubicBezTo>
                                <a:pt x="16200" y="7817"/>
                                <a:pt x="13782" y="5400"/>
                                <a:pt x="10800" y="5400"/>
                              </a:cubicBezTo>
                              <a:cubicBezTo>
                                <a:pt x="7817" y="5400"/>
                                <a:pt x="5400" y="7817"/>
                                <a:pt x="5400" y="10799"/>
                              </a:cubicBezTo>
                              <a:lnTo>
                                <a:pt x="0" y="10800"/>
                              </a:lnTo>
                              <a:lnTo>
                                <a:pt x="0" y="10799"/>
                              </a:lnTo>
                              <a:cubicBezTo>
                                <a:pt x="0" y="4835"/>
                                <a:pt x="4835" y="0"/>
                                <a:pt x="10800" y="0"/>
                              </a:cubicBezTo>
                              <a:cubicBezTo>
                                <a:pt x="16764" y="0"/>
                                <a:pt x="21600" y="4835"/>
                                <a:pt x="21600" y="10800"/>
                              </a:cubicBezTo>
                              <a:lnTo>
                                <a:pt x="24300" y="10800"/>
                              </a:lnTo>
                              <a:lnTo>
                                <a:pt x="18900" y="16200"/>
                              </a:lnTo>
                              <a:lnTo>
                                <a:pt x="13500" y="10800"/>
                              </a:lnTo>
                              <a:lnTo>
                                <a:pt x="16200" y="10800"/>
                              </a:lnTo>
                              <a:close/>
                            </a:path>
                          </a:pathLst>
                        </a:custGeom>
                        <a:noFill/>
                        <a:ln>
                          <a:noFill/>
                        </a:ln>
                        <a:effectLst/>
                      </wps:spPr>
                      <wps:bodyPr upright="1"/>
                    </wps:wsp>
                  </a:graphicData>
                </a:graphic>
              </wp:anchor>
            </w:drawing>
          </mc:Choice>
          <mc:Fallback>
            <w:pict>
              <v:shape id="_x0000_s1026" o:spid="_x0000_s1026" o:spt="100" style="position:absolute;left:0pt;margin-left:28.3pt;margin-top:28.3pt;height:284.9pt;width:537.6pt;mso-position-horizontal-relative:page;mso-position-vertical-relative:page;z-index:-251657216;mso-width-relative:page;mso-height-relative:page;" filled="f" stroked="f" coordsize="21600,21600" o:gfxdata="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" path="m16200,10800l16200,10800c16200,7817,13782,5400,10800,5400c7817,5400,5400,7817,5400,10799l0,10800,0,10799c0,4835,4835,0,10800,0c16764,0,21600,4835,21600,10800l24300,10800,18900,16200,13500,10800,16200,10800xe">
                <v:path o:connectlocs="3413760,0;853440,1808947;3413760,904557;7680960,1809115;5974080,2713672;4267200,1809115" o:connectangles="0,0,0,0,0,0"/>
                <v:fill on="f" focussize="0,0"/>
                <v:stroke on="f"/>
                <v:imagedata o:title=""/>
                <o:lock v:ext="edit" aspectratio="f"/>
              </v:shape>
            </w:pict>
          </mc:Fallback>
        </mc:AlternateContent>
      </w:r>
      <w:r>
        <w:rPr>
          <w:rFonts w:hint="eastAsia"/>
          <w:sz w:val="24"/>
          <w:lang w:val="en-US" w:eastAsia="zh-CN"/>
        </w:rPr>
        <w:t>3.1.1</w:t>
      </w:r>
      <w:r>
        <w:rPr>
          <w:sz w:val="24"/>
        </w:rPr>
        <w:t>安装工作结束</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eastAsia"/>
          <w:sz w:val="24"/>
          <w:lang w:val="en-US" w:eastAsia="zh-CN"/>
        </w:rPr>
        <w:t>3.1.2</w:t>
      </w:r>
      <w:r>
        <w:rPr>
          <w:sz w:val="24"/>
        </w:rPr>
        <w:t>外观检查完成</w:t>
      </w:r>
      <w:r>
        <w:rPr>
          <w:rFonts w:hint="eastAsia"/>
          <w:sz w:val="24"/>
          <w:lang w:eastAsia="zh-CN"/>
        </w:rPr>
        <w:t>；</w:t>
      </w:r>
    </w:p>
    <w:p>
      <w:pPr>
        <w:widowControl/>
        <w:spacing w:line="360" w:lineRule="auto"/>
        <w:ind w:firstLine="960" w:firstLineChars="400"/>
        <w:contextualSpacing/>
        <w:rPr>
          <w:rFonts w:hint="eastAsia"/>
          <w:sz w:val="24"/>
          <w:lang w:eastAsia="zh-CN"/>
        </w:rPr>
      </w:pPr>
      <w:r>
        <w:rPr>
          <w:rFonts w:hint="eastAsia"/>
          <w:sz w:val="24"/>
          <w:lang w:val="en-US" w:eastAsia="zh-CN"/>
        </w:rPr>
        <w:t>3.1.3</w:t>
      </w:r>
      <w:r>
        <w:rPr>
          <w:sz w:val="24"/>
        </w:rPr>
        <w:t>试运转工作结束</w:t>
      </w:r>
      <w:r>
        <w:rPr>
          <w:rFonts w:hint="eastAsia"/>
          <w:sz w:val="24"/>
          <w:lang w:eastAsia="zh-CN"/>
        </w:rPr>
        <w:t>；</w:t>
      </w:r>
    </w:p>
    <w:p>
      <w:pPr>
        <w:widowControl/>
        <w:spacing w:line="360" w:lineRule="auto"/>
        <w:ind w:left="479" w:leftChars="228" w:firstLine="480" w:firstLineChars="200"/>
        <w:contextualSpacing/>
        <w:rPr>
          <w:rFonts w:hint="eastAsia"/>
          <w:sz w:val="24"/>
          <w:lang w:eastAsia="zh-CN"/>
        </w:rPr>
      </w:pPr>
      <w:r>
        <w:rPr>
          <w:rFonts w:hint="eastAsia"/>
          <w:sz w:val="24"/>
          <w:lang w:val="en-US" w:eastAsia="zh-CN"/>
        </w:rPr>
        <w:t>3.1.4</w:t>
      </w:r>
      <w:r>
        <w:rPr>
          <w:sz w:val="24"/>
        </w:rPr>
        <w:t>综合效能试验测定，各项指标满足国家标准和设计要求，并提供安装调试报告</w:t>
      </w:r>
      <w:r>
        <w:rPr>
          <w:rFonts w:hint="eastAsia"/>
          <w:sz w:val="24"/>
          <w:lang w:eastAsia="zh-CN"/>
        </w:rPr>
        <w:t>；</w:t>
      </w:r>
    </w:p>
    <w:p>
      <w:pPr>
        <w:widowControl/>
        <w:spacing w:line="360" w:lineRule="auto"/>
        <w:ind w:left="479" w:leftChars="228" w:firstLine="480" w:firstLineChars="200"/>
        <w:contextualSpacing/>
        <w:rPr>
          <w:sz w:val="24"/>
        </w:rPr>
      </w:pPr>
      <w:r>
        <w:rPr>
          <w:rFonts w:hint="eastAsia"/>
          <w:sz w:val="24"/>
          <w:lang w:val="en-US" w:eastAsia="zh-CN"/>
        </w:rPr>
        <w:t>3.1.5</w:t>
      </w:r>
      <w:r>
        <w:rPr>
          <w:sz w:val="24"/>
        </w:rPr>
        <w:t>技术资料、安装和测试资料齐全。</w:t>
      </w:r>
    </w:p>
    <w:p>
      <w:pPr>
        <w:widowControl/>
        <w:spacing w:line="360" w:lineRule="auto"/>
        <w:ind w:firstLine="480" w:firstLineChars="200"/>
        <w:contextualSpacing/>
        <w:rPr>
          <w:sz w:val="24"/>
        </w:rPr>
      </w:pPr>
      <w:r>
        <w:rPr>
          <w:rFonts w:hint="eastAsia"/>
          <w:sz w:val="24"/>
          <w:lang w:val="en-US" w:eastAsia="zh-CN"/>
        </w:rPr>
        <w:t>3.2拆除（如有）、运输、</w:t>
      </w:r>
      <w:r>
        <w:rPr>
          <w:rFonts w:hint="eastAsia"/>
          <w:sz w:val="24"/>
        </w:rPr>
        <w:t>保管、施工、安装、调试和验收</w:t>
      </w:r>
    </w:p>
    <w:p>
      <w:pPr>
        <w:widowControl/>
        <w:spacing w:line="360" w:lineRule="auto"/>
        <w:ind w:left="479" w:leftChars="228" w:firstLine="480" w:firstLineChars="200"/>
        <w:contextualSpacing/>
        <w:rPr>
          <w:sz w:val="24"/>
        </w:rPr>
      </w:pPr>
      <w:r>
        <w:rPr>
          <w:rFonts w:hint="eastAsia"/>
          <w:sz w:val="24"/>
          <w:lang w:val="en-US" w:eastAsia="zh-CN"/>
        </w:rPr>
        <w:t>3.2.1</w:t>
      </w:r>
      <w:r>
        <w:rPr>
          <w:rFonts w:hint="eastAsia"/>
          <w:sz w:val="24"/>
        </w:rPr>
        <w:t>本项目为交钥匙工程</w:t>
      </w:r>
      <w:r>
        <w:rPr>
          <w:rFonts w:hint="eastAsia"/>
          <w:sz w:val="24"/>
          <w:lang w:eastAsia="zh-CN"/>
        </w:rPr>
        <w:t>，</w:t>
      </w:r>
      <w:r>
        <w:rPr>
          <w:rFonts w:hint="eastAsia"/>
          <w:sz w:val="24"/>
        </w:rPr>
        <w:t>即由中标人负责设备及系统安装工程的供货、保管、安装、调试，直至检验合格</w:t>
      </w:r>
      <w:r>
        <w:rPr>
          <w:rFonts w:hint="eastAsia"/>
          <w:sz w:val="24"/>
          <w:lang w:eastAsia="zh-CN"/>
        </w:rPr>
        <w:t>，与本项目相关的一切服务和工程产生的费用均由</w:t>
      </w:r>
      <w:r>
        <w:rPr>
          <w:rFonts w:hint="eastAsia"/>
          <w:sz w:val="24"/>
        </w:rPr>
        <w:t>中标人</w:t>
      </w:r>
      <w:r>
        <w:rPr>
          <w:rFonts w:hint="eastAsia"/>
          <w:sz w:val="24"/>
          <w:lang w:eastAsia="zh-CN"/>
        </w:rPr>
        <w:t>承担</w:t>
      </w:r>
      <w:r>
        <w:rPr>
          <w:rFonts w:hint="eastAsia"/>
          <w:sz w:val="24"/>
        </w:rPr>
        <w:t>。</w:t>
      </w:r>
    </w:p>
    <w:p>
      <w:pPr>
        <w:widowControl/>
        <w:spacing w:line="360" w:lineRule="auto"/>
        <w:ind w:firstLine="960" w:firstLineChars="400"/>
        <w:contextualSpacing/>
        <w:rPr>
          <w:sz w:val="24"/>
        </w:rPr>
      </w:pPr>
      <w:r>
        <w:rPr>
          <w:rFonts w:hint="eastAsia"/>
          <w:sz w:val="24"/>
          <w:lang w:val="en-US" w:eastAsia="zh-CN"/>
        </w:rPr>
        <w:t>3.2.2</w:t>
      </w:r>
      <w:r>
        <w:rPr>
          <w:rFonts w:hint="eastAsia"/>
          <w:sz w:val="24"/>
        </w:rPr>
        <w:t>派驻项目负责人对工程全面负责。</w:t>
      </w:r>
    </w:p>
    <w:p>
      <w:pPr>
        <w:widowControl/>
        <w:spacing w:line="360" w:lineRule="auto"/>
        <w:ind w:firstLine="960" w:firstLineChars="400"/>
        <w:contextualSpacing/>
        <w:rPr>
          <w:b/>
          <w:sz w:val="24"/>
        </w:rPr>
      </w:pPr>
      <w:r>
        <w:rPr>
          <w:rFonts w:hint="eastAsia"/>
          <w:sz w:val="24"/>
          <w:lang w:val="en-US" w:eastAsia="zh-CN"/>
        </w:rPr>
        <w:t>3.2.3</w:t>
      </w:r>
      <w:r>
        <w:rPr>
          <w:rFonts w:hint="eastAsia"/>
          <w:sz w:val="24"/>
        </w:rPr>
        <w:t>验收：</w:t>
      </w:r>
      <w:r>
        <w:rPr>
          <w:rFonts w:hint="eastAsia"/>
          <w:sz w:val="24"/>
          <w:lang w:eastAsia="zh-CN"/>
        </w:rPr>
        <w:t>货物</w:t>
      </w:r>
      <w:r>
        <w:rPr>
          <w:rFonts w:hint="eastAsia"/>
          <w:sz w:val="24"/>
        </w:rPr>
        <w:t>安装完毕后应由中标人提供合同中规定的全部货物和完整的技术资料；提供的货物符合合同和招标文件规定；验收合格后，办理移交手续。</w:t>
      </w:r>
    </w:p>
    <w:bookmarkEnd w:id="32"/>
    <w:p>
      <w:pPr>
        <w:spacing w:line="360" w:lineRule="auto"/>
        <w:rPr>
          <w:rFonts w:ascii="宋体" w:cs="宋体"/>
          <w:b/>
          <w:bCs/>
          <w:sz w:val="24"/>
        </w:rPr>
      </w:pPr>
    </w:p>
    <w:p>
      <w:pPr>
        <w:pStyle w:val="2"/>
        <w:rPr>
          <w:rFonts w:ascii="宋体" w:cs="宋体"/>
          <w:b/>
          <w:bCs/>
          <w:sz w:val="24"/>
        </w:rPr>
      </w:pPr>
    </w:p>
    <w:p>
      <w:pPr>
        <w:pStyle w:val="2"/>
        <w:rPr>
          <w:rFonts w:ascii="宋体" w:cs="宋体"/>
          <w:b/>
          <w:bCs/>
          <w:sz w:val="24"/>
        </w:rPr>
      </w:pPr>
    </w:p>
    <w:bookmarkEnd w:id="0"/>
    <w:bookmarkEnd w:id="1"/>
    <w:bookmarkEnd w:id="2"/>
    <w:bookmarkEnd w:id="3"/>
    <w:bookmarkEnd w:id="4"/>
    <w:bookmarkEnd w:id="5"/>
    <w:bookmarkEnd w:id="6"/>
    <w:bookmarkEnd w:id="7"/>
    <w:bookmarkEnd w:id="8"/>
    <w:bookmarkEnd w:id="9"/>
    <w:bookmarkEnd w:id="10"/>
    <w:bookmarkEnd w:id="11"/>
    <w:bookmarkEnd w:id="12"/>
    <w:bookmarkEnd w:id="13"/>
    <w:p/>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418" w:left="1701"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2DWsUAgAAFQQAAA4AAABkcnMvZTJvRG9jLnhtbK1Ty47TMBTdI/EP&#10;lvc0aRGjUj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VtKNFPY0enH99PPh9OvbwQ6ANRaP4PfxsIzdO9MB+dB76GMc3eV&#10;U/HGRAR2QH28wCu6QHgMmk6m0xwmDtvwQP7sMdw6H94Lo0gUCuqwvwQrO6x96F0Hl1hNm1UjZdqh&#10;1KQt6NXrN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2zYNaxQCAAAVBAAADgAAAAAAAAAB&#10;ACAAAAAfAQAAZHJzL2Uyb0RvYy54bWxQSwUGAAAAAAYABgBZAQAApQU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fldChar w:fldCharType="end"/>
    </w:r>
  </w:p>
  <w:p>
    <w:pPr>
      <w:pStyle w:val="15"/>
      <w:ind w:right="360"/>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0E907"/>
    <w:multiLevelType w:val="singleLevel"/>
    <w:tmpl w:val="B020E907"/>
    <w:lvl w:ilvl="0" w:tentative="0">
      <w:start w:val="2"/>
      <w:numFmt w:val="chineseCounting"/>
      <w:suff w:val="nothing"/>
      <w:lvlText w:val="%1、"/>
      <w:lvlJc w:val="left"/>
      <w:pPr>
        <w:ind w:left="481" w:leftChars="0" w:firstLine="0" w:firstLineChars="0"/>
      </w:pPr>
      <w:rPr>
        <w:rFonts w:hint="eastAsia"/>
      </w:rPr>
    </w:lvl>
  </w:abstractNum>
  <w:abstractNum w:abstractNumId="1">
    <w:nsid w:val="C31B2BCB"/>
    <w:multiLevelType w:val="singleLevel"/>
    <w:tmpl w:val="C31B2BCB"/>
    <w:lvl w:ilvl="0" w:tentative="0">
      <w:start w:val="1"/>
      <w:numFmt w:val="decimal"/>
      <w:suff w:val="nothing"/>
      <w:lvlText w:val="%1、"/>
      <w:lvlJc w:val="left"/>
    </w:lvl>
  </w:abstractNum>
  <w:abstractNum w:abstractNumId="2">
    <w:nsid w:val="1C7B8258"/>
    <w:multiLevelType w:val="singleLevel"/>
    <w:tmpl w:val="1C7B8258"/>
    <w:lvl w:ilvl="0" w:tentative="0">
      <w:start w:val="1"/>
      <w:numFmt w:val="chineseCounting"/>
      <w:suff w:val="space"/>
      <w:lvlText w:val="第%1部分"/>
      <w:lvlJc w:val="left"/>
      <w:rPr>
        <w:rFonts w:hint="eastAsia"/>
      </w:rPr>
    </w:lvl>
  </w:abstractNum>
  <w:abstractNum w:abstractNumId="3">
    <w:nsid w:val="595EA3B5"/>
    <w:multiLevelType w:val="singleLevel"/>
    <w:tmpl w:val="595EA3B5"/>
    <w:lvl w:ilvl="0" w:tentative="0">
      <w:start w:val="3"/>
      <w:numFmt w:val="decimal"/>
      <w:suff w:val="space"/>
      <w:lvlText w:val="%1."/>
      <w:lvlJc w:val="left"/>
    </w:lvl>
  </w:abstractNum>
  <w:abstractNum w:abstractNumId="4">
    <w:nsid w:val="5F4F6AF3"/>
    <w:multiLevelType w:val="singleLevel"/>
    <w:tmpl w:val="5F4F6AF3"/>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xNmUyN2M1NDExYWQ2NTIwYWUyZTMzYWRkNjUxZDMifQ=="/>
  </w:docVars>
  <w:rsids>
    <w:rsidRoot w:val="00172A27"/>
    <w:rsid w:val="00672DB6"/>
    <w:rsid w:val="008A079A"/>
    <w:rsid w:val="00D856F2"/>
    <w:rsid w:val="00FB2CC5"/>
    <w:rsid w:val="01ED65BB"/>
    <w:rsid w:val="020972B2"/>
    <w:rsid w:val="02123107"/>
    <w:rsid w:val="026B6BF7"/>
    <w:rsid w:val="02811267"/>
    <w:rsid w:val="02827CA1"/>
    <w:rsid w:val="02EF1337"/>
    <w:rsid w:val="030228D6"/>
    <w:rsid w:val="03766107"/>
    <w:rsid w:val="03CE70FD"/>
    <w:rsid w:val="03DB1BEE"/>
    <w:rsid w:val="042135CE"/>
    <w:rsid w:val="04882B19"/>
    <w:rsid w:val="04F375D8"/>
    <w:rsid w:val="05002D07"/>
    <w:rsid w:val="05C85BEC"/>
    <w:rsid w:val="064B2507"/>
    <w:rsid w:val="064C3D6B"/>
    <w:rsid w:val="06A7190D"/>
    <w:rsid w:val="06E66DC6"/>
    <w:rsid w:val="06F9358E"/>
    <w:rsid w:val="075E5A60"/>
    <w:rsid w:val="07A5696B"/>
    <w:rsid w:val="07BF24DD"/>
    <w:rsid w:val="081C4CF5"/>
    <w:rsid w:val="0A2831C7"/>
    <w:rsid w:val="0A802237"/>
    <w:rsid w:val="0AF568EF"/>
    <w:rsid w:val="0B6B28C4"/>
    <w:rsid w:val="0B896484"/>
    <w:rsid w:val="0B9F1ED2"/>
    <w:rsid w:val="0B9F392F"/>
    <w:rsid w:val="0BD3346C"/>
    <w:rsid w:val="0BF22EDE"/>
    <w:rsid w:val="0CD049AA"/>
    <w:rsid w:val="0D0E548F"/>
    <w:rsid w:val="0D697519"/>
    <w:rsid w:val="0D772FF8"/>
    <w:rsid w:val="0D831A66"/>
    <w:rsid w:val="0D9B1925"/>
    <w:rsid w:val="0DE275F0"/>
    <w:rsid w:val="0E255AF8"/>
    <w:rsid w:val="0EAE55AB"/>
    <w:rsid w:val="0F0A25F4"/>
    <w:rsid w:val="0F684EEB"/>
    <w:rsid w:val="0F6C31F7"/>
    <w:rsid w:val="0FBB72C1"/>
    <w:rsid w:val="108B49D3"/>
    <w:rsid w:val="10946E46"/>
    <w:rsid w:val="10B9362C"/>
    <w:rsid w:val="11AB1672"/>
    <w:rsid w:val="12421FD4"/>
    <w:rsid w:val="127408B9"/>
    <w:rsid w:val="138C26C3"/>
    <w:rsid w:val="13A354A0"/>
    <w:rsid w:val="13AC0DCF"/>
    <w:rsid w:val="140D4F8B"/>
    <w:rsid w:val="1420438F"/>
    <w:rsid w:val="147209EF"/>
    <w:rsid w:val="14EF10EE"/>
    <w:rsid w:val="151A266A"/>
    <w:rsid w:val="152D2E30"/>
    <w:rsid w:val="15304F83"/>
    <w:rsid w:val="15F75D82"/>
    <w:rsid w:val="16577539"/>
    <w:rsid w:val="165F6799"/>
    <w:rsid w:val="166C6B95"/>
    <w:rsid w:val="168449AC"/>
    <w:rsid w:val="17792900"/>
    <w:rsid w:val="17934516"/>
    <w:rsid w:val="17C85D88"/>
    <w:rsid w:val="185861F3"/>
    <w:rsid w:val="1892153F"/>
    <w:rsid w:val="18B17034"/>
    <w:rsid w:val="197F1FF6"/>
    <w:rsid w:val="1B2E1787"/>
    <w:rsid w:val="1B640991"/>
    <w:rsid w:val="1B663F42"/>
    <w:rsid w:val="1BBC5521"/>
    <w:rsid w:val="1BCC25D0"/>
    <w:rsid w:val="1D195CF0"/>
    <w:rsid w:val="1D8A1C34"/>
    <w:rsid w:val="1DED0E3A"/>
    <w:rsid w:val="1E4B763C"/>
    <w:rsid w:val="1E6C34CF"/>
    <w:rsid w:val="1EA71413"/>
    <w:rsid w:val="1F11217F"/>
    <w:rsid w:val="1F3E669A"/>
    <w:rsid w:val="1F9F1F7C"/>
    <w:rsid w:val="1FEA0F01"/>
    <w:rsid w:val="20052731"/>
    <w:rsid w:val="20337150"/>
    <w:rsid w:val="20564610"/>
    <w:rsid w:val="206A7604"/>
    <w:rsid w:val="209223DF"/>
    <w:rsid w:val="20E57242"/>
    <w:rsid w:val="20FF46A1"/>
    <w:rsid w:val="21896C32"/>
    <w:rsid w:val="21D16162"/>
    <w:rsid w:val="21DC3175"/>
    <w:rsid w:val="22B221B0"/>
    <w:rsid w:val="22B61B85"/>
    <w:rsid w:val="238F165A"/>
    <w:rsid w:val="23EF1F51"/>
    <w:rsid w:val="242D709D"/>
    <w:rsid w:val="245049CD"/>
    <w:rsid w:val="25E23C8E"/>
    <w:rsid w:val="270C1A9B"/>
    <w:rsid w:val="275A6940"/>
    <w:rsid w:val="2782759B"/>
    <w:rsid w:val="28382ECA"/>
    <w:rsid w:val="285719DB"/>
    <w:rsid w:val="2863691C"/>
    <w:rsid w:val="286612BB"/>
    <w:rsid w:val="28E40E95"/>
    <w:rsid w:val="29375261"/>
    <w:rsid w:val="29F17E7B"/>
    <w:rsid w:val="2A2D4E51"/>
    <w:rsid w:val="2B1A01BB"/>
    <w:rsid w:val="2B77607F"/>
    <w:rsid w:val="2C7411DC"/>
    <w:rsid w:val="2C8C37A5"/>
    <w:rsid w:val="2DC92A3B"/>
    <w:rsid w:val="2DDB2C48"/>
    <w:rsid w:val="2ED677BE"/>
    <w:rsid w:val="2F451B53"/>
    <w:rsid w:val="2F9432ED"/>
    <w:rsid w:val="2FB9580A"/>
    <w:rsid w:val="300D78AA"/>
    <w:rsid w:val="311F783F"/>
    <w:rsid w:val="31484A12"/>
    <w:rsid w:val="31943DAC"/>
    <w:rsid w:val="31E8345D"/>
    <w:rsid w:val="321346A0"/>
    <w:rsid w:val="34563267"/>
    <w:rsid w:val="34D170DB"/>
    <w:rsid w:val="355E5025"/>
    <w:rsid w:val="35825618"/>
    <w:rsid w:val="35A73C58"/>
    <w:rsid w:val="3617546D"/>
    <w:rsid w:val="365228B9"/>
    <w:rsid w:val="374B4BD9"/>
    <w:rsid w:val="37A0788C"/>
    <w:rsid w:val="37E40ACC"/>
    <w:rsid w:val="38DE7D09"/>
    <w:rsid w:val="38E979E8"/>
    <w:rsid w:val="3AC92DEF"/>
    <w:rsid w:val="3AEE759E"/>
    <w:rsid w:val="3B346604"/>
    <w:rsid w:val="3B951C95"/>
    <w:rsid w:val="3CC8615B"/>
    <w:rsid w:val="3CEA556A"/>
    <w:rsid w:val="3D1B0F42"/>
    <w:rsid w:val="3D5A0713"/>
    <w:rsid w:val="3D907320"/>
    <w:rsid w:val="3E046108"/>
    <w:rsid w:val="3E6A045F"/>
    <w:rsid w:val="3ED8218F"/>
    <w:rsid w:val="3F3D49DF"/>
    <w:rsid w:val="3F502B43"/>
    <w:rsid w:val="3FAE614B"/>
    <w:rsid w:val="3FF852A0"/>
    <w:rsid w:val="40FC3C9F"/>
    <w:rsid w:val="41BB4060"/>
    <w:rsid w:val="41F17DFE"/>
    <w:rsid w:val="42123454"/>
    <w:rsid w:val="422E7F43"/>
    <w:rsid w:val="430A54B9"/>
    <w:rsid w:val="432F3DB4"/>
    <w:rsid w:val="432F6D6A"/>
    <w:rsid w:val="43605151"/>
    <w:rsid w:val="43622EBB"/>
    <w:rsid w:val="43803C54"/>
    <w:rsid w:val="438050B7"/>
    <w:rsid w:val="44290B83"/>
    <w:rsid w:val="4468162B"/>
    <w:rsid w:val="45220EE9"/>
    <w:rsid w:val="4577281B"/>
    <w:rsid w:val="45A94060"/>
    <w:rsid w:val="45F11809"/>
    <w:rsid w:val="463866E7"/>
    <w:rsid w:val="46AD21E9"/>
    <w:rsid w:val="46D8086B"/>
    <w:rsid w:val="470F2706"/>
    <w:rsid w:val="4728397B"/>
    <w:rsid w:val="47CE14DD"/>
    <w:rsid w:val="47D82769"/>
    <w:rsid w:val="48095BCB"/>
    <w:rsid w:val="49307703"/>
    <w:rsid w:val="496067DB"/>
    <w:rsid w:val="49650BB4"/>
    <w:rsid w:val="49A63B7C"/>
    <w:rsid w:val="4A653DAC"/>
    <w:rsid w:val="4AD126C5"/>
    <w:rsid w:val="4B053478"/>
    <w:rsid w:val="4B6771CC"/>
    <w:rsid w:val="4C1A3882"/>
    <w:rsid w:val="4DA41A4D"/>
    <w:rsid w:val="4DEF7B31"/>
    <w:rsid w:val="4E09369C"/>
    <w:rsid w:val="4E172B60"/>
    <w:rsid w:val="4E3C5B07"/>
    <w:rsid w:val="4EA07CDC"/>
    <w:rsid w:val="4F0816A7"/>
    <w:rsid w:val="4F537250"/>
    <w:rsid w:val="4F5E26FA"/>
    <w:rsid w:val="4FB66F57"/>
    <w:rsid w:val="4FD91E9E"/>
    <w:rsid w:val="50266403"/>
    <w:rsid w:val="50966381"/>
    <w:rsid w:val="50DA2080"/>
    <w:rsid w:val="51562339"/>
    <w:rsid w:val="51BB6BB2"/>
    <w:rsid w:val="538042E5"/>
    <w:rsid w:val="53C15ED5"/>
    <w:rsid w:val="53E1108C"/>
    <w:rsid w:val="54190912"/>
    <w:rsid w:val="54ED6EDB"/>
    <w:rsid w:val="554651BC"/>
    <w:rsid w:val="56645477"/>
    <w:rsid w:val="566A2E50"/>
    <w:rsid w:val="57607534"/>
    <w:rsid w:val="58047176"/>
    <w:rsid w:val="58E2636C"/>
    <w:rsid w:val="59A76270"/>
    <w:rsid w:val="5A215BC9"/>
    <w:rsid w:val="5A782A92"/>
    <w:rsid w:val="5AFC602C"/>
    <w:rsid w:val="5B5A2F49"/>
    <w:rsid w:val="5B836D08"/>
    <w:rsid w:val="5B8C28FE"/>
    <w:rsid w:val="5BBC1D09"/>
    <w:rsid w:val="5C9347A9"/>
    <w:rsid w:val="5D610F48"/>
    <w:rsid w:val="5DA5144D"/>
    <w:rsid w:val="5DC21B32"/>
    <w:rsid w:val="5E353499"/>
    <w:rsid w:val="5EBE3575"/>
    <w:rsid w:val="5F0A5DF4"/>
    <w:rsid w:val="5F663430"/>
    <w:rsid w:val="60023FF8"/>
    <w:rsid w:val="60032C60"/>
    <w:rsid w:val="601C6DD4"/>
    <w:rsid w:val="602510A2"/>
    <w:rsid w:val="60505B43"/>
    <w:rsid w:val="60780CDF"/>
    <w:rsid w:val="60953B23"/>
    <w:rsid w:val="60DB6E06"/>
    <w:rsid w:val="61E1400B"/>
    <w:rsid w:val="620C4C34"/>
    <w:rsid w:val="625642DC"/>
    <w:rsid w:val="62E724E1"/>
    <w:rsid w:val="639D1457"/>
    <w:rsid w:val="63BF34D9"/>
    <w:rsid w:val="63C52979"/>
    <w:rsid w:val="640A1078"/>
    <w:rsid w:val="64456CB7"/>
    <w:rsid w:val="64672EA5"/>
    <w:rsid w:val="64B56DF7"/>
    <w:rsid w:val="657B588A"/>
    <w:rsid w:val="65BA05BF"/>
    <w:rsid w:val="65DD680A"/>
    <w:rsid w:val="66B25EF6"/>
    <w:rsid w:val="670A6778"/>
    <w:rsid w:val="679807C0"/>
    <w:rsid w:val="6799704A"/>
    <w:rsid w:val="67A63587"/>
    <w:rsid w:val="67FF539D"/>
    <w:rsid w:val="6801624E"/>
    <w:rsid w:val="68675723"/>
    <w:rsid w:val="68A34E96"/>
    <w:rsid w:val="691B0194"/>
    <w:rsid w:val="6A977B61"/>
    <w:rsid w:val="6B4F26EF"/>
    <w:rsid w:val="6B761A43"/>
    <w:rsid w:val="6B817F25"/>
    <w:rsid w:val="6B9E01ED"/>
    <w:rsid w:val="6BD77DEC"/>
    <w:rsid w:val="6BF82C3C"/>
    <w:rsid w:val="6C1B05F0"/>
    <w:rsid w:val="6D5F64CF"/>
    <w:rsid w:val="6D8B4857"/>
    <w:rsid w:val="6E0179B3"/>
    <w:rsid w:val="6ED74BAA"/>
    <w:rsid w:val="6F8B5D51"/>
    <w:rsid w:val="6FB22D12"/>
    <w:rsid w:val="70052F7A"/>
    <w:rsid w:val="70605A0B"/>
    <w:rsid w:val="715A2B8F"/>
    <w:rsid w:val="7161478E"/>
    <w:rsid w:val="71657DB8"/>
    <w:rsid w:val="716D7B2E"/>
    <w:rsid w:val="719D7F21"/>
    <w:rsid w:val="71B4726D"/>
    <w:rsid w:val="72073BAF"/>
    <w:rsid w:val="72165B5B"/>
    <w:rsid w:val="722B6021"/>
    <w:rsid w:val="723B701D"/>
    <w:rsid w:val="73367407"/>
    <w:rsid w:val="73475CB3"/>
    <w:rsid w:val="73722F12"/>
    <w:rsid w:val="73F47688"/>
    <w:rsid w:val="757A10E2"/>
    <w:rsid w:val="75A05B0A"/>
    <w:rsid w:val="76196986"/>
    <w:rsid w:val="76C61105"/>
    <w:rsid w:val="77914715"/>
    <w:rsid w:val="77E016E2"/>
    <w:rsid w:val="77FD0767"/>
    <w:rsid w:val="78385A6F"/>
    <w:rsid w:val="7A3E1F55"/>
    <w:rsid w:val="7AAE0E91"/>
    <w:rsid w:val="7B270EF0"/>
    <w:rsid w:val="7B4E76FB"/>
    <w:rsid w:val="7BA22674"/>
    <w:rsid w:val="7BDB4DBC"/>
    <w:rsid w:val="7C023CBF"/>
    <w:rsid w:val="7C15418E"/>
    <w:rsid w:val="7C9C3600"/>
    <w:rsid w:val="7CD91F23"/>
    <w:rsid w:val="7CE01C8E"/>
    <w:rsid w:val="7CED3AC8"/>
    <w:rsid w:val="7D324841"/>
    <w:rsid w:val="7E517ADB"/>
    <w:rsid w:val="7EAF59BB"/>
    <w:rsid w:val="7ECB0A53"/>
    <w:rsid w:val="7F392981"/>
    <w:rsid w:val="7F4D213E"/>
    <w:rsid w:val="7F6A0F42"/>
    <w:rsid w:val="7FBB5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5"/>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8"/>
    <w:basedOn w:val="1"/>
    <w:next w:val="1"/>
    <w:qFormat/>
    <w:uiPriority w:val="1"/>
    <w:pPr>
      <w:ind w:left="764"/>
      <w:outlineLvl w:val="7"/>
    </w:pPr>
    <w:rPr>
      <w:b/>
      <w:bCs/>
      <w:sz w:val="24"/>
      <w:szCs w:val="24"/>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customStyle="1" w:styleId="2">
    <w:name w:val="PlainText"/>
    <w:basedOn w:val="1"/>
    <w:qFormat/>
    <w:uiPriority w:val="0"/>
    <w:pPr>
      <w:textAlignment w:val="baseline"/>
    </w:pPr>
    <w:rPr>
      <w:rFonts w:hAnsi="Courier New"/>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8">
    <w:name w:val="annotation text"/>
    <w:basedOn w:val="1"/>
    <w:qFormat/>
    <w:uiPriority w:val="0"/>
    <w:pPr>
      <w:jc w:val="left"/>
    </w:pPr>
  </w:style>
  <w:style w:type="paragraph" w:styleId="9">
    <w:name w:val="Body Text"/>
    <w:basedOn w:val="1"/>
    <w:next w:val="10"/>
    <w:qFormat/>
    <w:uiPriority w:val="0"/>
    <w:pPr>
      <w:tabs>
        <w:tab w:val="left" w:pos="567"/>
      </w:tabs>
      <w:spacing w:before="120" w:line="22" w:lineRule="atLeast"/>
    </w:pPr>
    <w:rPr>
      <w:rFonts w:ascii="宋体" w:hAnsi="宋体"/>
      <w:sz w:val="24"/>
    </w:rPr>
  </w:style>
  <w:style w:type="paragraph" w:styleId="10">
    <w:name w:val="Intense Quote"/>
    <w:next w:val="1"/>
    <w:qFormat/>
    <w:uiPriority w:val="0"/>
    <w:pPr>
      <w:wordWrap w:val="0"/>
      <w:spacing w:before="360" w:after="360"/>
      <w:ind w:left="950" w:right="950"/>
      <w:jc w:val="center"/>
    </w:pPr>
    <w:rPr>
      <w:rFonts w:ascii="宋体" w:hAnsi="宋体" w:eastAsia="Times New Roman" w:cs="Times New Roman"/>
      <w:i/>
      <w:sz w:val="21"/>
      <w:lang w:val="en-US" w:eastAsia="zh-CN" w:bidi="ar-SA"/>
    </w:rPr>
  </w:style>
  <w:style w:type="paragraph" w:styleId="11">
    <w:name w:val="Body Text Indent"/>
    <w:basedOn w:val="1"/>
    <w:next w:val="12"/>
    <w:qFormat/>
    <w:uiPriority w:val="0"/>
    <w:pPr>
      <w:spacing w:after="120"/>
      <w:ind w:left="200" w:leftChars="200"/>
    </w:pPr>
    <w:rPr>
      <w:kern w:val="0"/>
      <w:sz w:val="20"/>
      <w:szCs w:val="20"/>
    </w:rPr>
  </w:style>
  <w:style w:type="paragraph" w:styleId="12">
    <w:name w:val="envelope return"/>
    <w:basedOn w:val="1"/>
    <w:qFormat/>
    <w:uiPriority w:val="0"/>
    <w:pPr>
      <w:snapToGrid w:val="0"/>
    </w:pPr>
    <w:rPr>
      <w:rFonts w:ascii="Arial" w:hAnsi="Arial" w:cs="Arial"/>
    </w:rPr>
  </w:style>
  <w:style w:type="paragraph" w:styleId="13">
    <w:name w:val="Plain Text"/>
    <w:basedOn w:val="1"/>
    <w:qFormat/>
    <w:uiPriority w:val="0"/>
    <w:rPr>
      <w:rFonts w:hint="eastAsia" w:ascii="宋体" w:hAnsi="Courier New"/>
      <w:szCs w:val="20"/>
    </w:rPr>
  </w:style>
  <w:style w:type="paragraph" w:styleId="14">
    <w:name w:val="Body Text Indent 2"/>
    <w:basedOn w:val="1"/>
    <w:qFormat/>
    <w:uiPriority w:val="0"/>
    <w:pPr>
      <w:ind w:firstLine="480" w:firstLineChars="200"/>
    </w:pPr>
    <w:rPr>
      <w:rFonts w:ascii="仿宋_GB2312" w:eastAsia="仿宋_GB2312"/>
    </w:rPr>
  </w:style>
  <w:style w:type="paragraph" w:styleId="1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left" w:pos="1050"/>
        <w:tab w:val="right" w:leader="dot" w:pos="8937"/>
      </w:tabs>
      <w:spacing w:line="300" w:lineRule="auto"/>
    </w:pPr>
    <w:rPr>
      <w:rFonts w:ascii="宋体" w:hAnsi="宋体"/>
      <w:b/>
      <w:sz w:val="24"/>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Body Text First Indent"/>
    <w:basedOn w:val="9"/>
    <w:qFormat/>
    <w:uiPriority w:val="0"/>
    <w:pPr>
      <w:ind w:firstLine="420" w:firstLineChars="100"/>
    </w:pPr>
  </w:style>
  <w:style w:type="paragraph" w:styleId="20">
    <w:name w:val="Body Text First Indent 2"/>
    <w:basedOn w:val="11"/>
    <w:qFormat/>
    <w:uiPriority w:val="0"/>
    <w:pPr>
      <w:ind w:firstLine="200" w:firstLineChars="200"/>
    </w:pPr>
  </w:style>
  <w:style w:type="table" w:styleId="22">
    <w:name w:val="Table Grid"/>
    <w:basedOn w:val="21"/>
    <w:qFormat/>
    <w:uiPriority w:val="39"/>
    <w:rPr>
      <w:rFonts w:ascii="等线" w:hAnsi="等线" w:eastAsia="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FollowedHyperlink"/>
    <w:basedOn w:val="23"/>
    <w:qFormat/>
    <w:uiPriority w:val="0"/>
    <w:rPr>
      <w:color w:val="800080"/>
      <w:u w:val="none"/>
    </w:rPr>
  </w:style>
  <w:style w:type="character" w:styleId="26">
    <w:name w:val="Emphasis"/>
    <w:basedOn w:val="23"/>
    <w:qFormat/>
    <w:uiPriority w:val="0"/>
  </w:style>
  <w:style w:type="character" w:styleId="27">
    <w:name w:val="HTML Definition"/>
    <w:basedOn w:val="23"/>
    <w:qFormat/>
    <w:uiPriority w:val="0"/>
  </w:style>
  <w:style w:type="character" w:styleId="28">
    <w:name w:val="HTML Acronym"/>
    <w:basedOn w:val="23"/>
    <w:qFormat/>
    <w:uiPriority w:val="0"/>
  </w:style>
  <w:style w:type="character" w:styleId="29">
    <w:name w:val="HTML Variable"/>
    <w:basedOn w:val="23"/>
    <w:qFormat/>
    <w:uiPriority w:val="0"/>
  </w:style>
  <w:style w:type="character" w:styleId="30">
    <w:name w:val="Hyperlink"/>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annotation reference"/>
    <w:basedOn w:val="23"/>
    <w:qFormat/>
    <w:uiPriority w:val="0"/>
    <w:rPr>
      <w:sz w:val="21"/>
      <w:szCs w:val="21"/>
    </w:rPr>
  </w:style>
  <w:style w:type="character" w:styleId="33">
    <w:name w:val="HTML Cite"/>
    <w:basedOn w:val="23"/>
    <w:qFormat/>
    <w:uiPriority w:val="0"/>
  </w:style>
  <w:style w:type="paragraph" w:customStyle="1" w:styleId="34">
    <w:name w:val="样式 首行缩进:  2 字符"/>
    <w:basedOn w:val="1"/>
    <w:qFormat/>
    <w:uiPriority w:val="0"/>
    <w:pPr>
      <w:spacing w:line="480" w:lineRule="exact"/>
      <w:ind w:firstLine="200" w:firstLineChars="200"/>
      <w:jc w:val="left"/>
    </w:pPr>
    <w:rPr>
      <w:color w:val="7030A0"/>
      <w:kern w:val="0"/>
      <w:sz w:val="24"/>
      <w:szCs w:val="20"/>
    </w:rPr>
  </w:style>
  <w:style w:type="paragraph" w:customStyle="1" w:styleId="35">
    <w:name w:val="Default"/>
    <w:qFormat/>
    <w:uiPriority w:val="0"/>
    <w:pPr>
      <w:widowControl w:val="0"/>
      <w:autoSpaceDE w:val="0"/>
      <w:autoSpaceDN w:val="0"/>
      <w:adjustRightInd w:val="0"/>
      <w:spacing w:after="160" w:line="259" w:lineRule="auto"/>
    </w:pPr>
    <w:rPr>
      <w:rFonts w:ascii="Symbol" w:hAnsi="Symbol" w:eastAsia="宋体" w:cs="Symbol"/>
      <w:color w:val="000000"/>
      <w:sz w:val="24"/>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paragraph" w:customStyle="1" w:styleId="37">
    <w:name w:val="Table Paragraph"/>
    <w:basedOn w:val="1"/>
    <w:qFormat/>
    <w:uiPriority w:val="0"/>
    <w:pPr>
      <w:autoSpaceDE w:val="0"/>
      <w:autoSpaceDN w:val="0"/>
      <w:jc w:val="left"/>
    </w:pPr>
    <w:rPr>
      <w:rFonts w:ascii="宋体" w:cs="宋体"/>
      <w:kern w:val="0"/>
      <w:sz w:val="22"/>
      <w:szCs w:val="22"/>
      <w:lang w:eastAsia="en-US"/>
    </w:rPr>
  </w:style>
  <w:style w:type="table" w:customStyle="1" w:styleId="38">
    <w:name w:val="Table Normal"/>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微软雅黑" w:hAnsi="微软雅黑" w:eastAsia="微软雅黑" w:cs="微软雅黑"/>
      <w:sz w:val="18"/>
      <w:szCs w:val="18"/>
    </w:rPr>
  </w:style>
  <w:style w:type="character" w:customStyle="1" w:styleId="40">
    <w:name w:val="font261"/>
    <w:basedOn w:val="23"/>
    <w:qFormat/>
    <w:uiPriority w:val="0"/>
    <w:rPr>
      <w:rFonts w:hint="eastAsia" w:ascii="宋体" w:hAnsi="宋体" w:eastAsia="宋体" w:cs="宋体"/>
      <w:color w:val="FF0000"/>
      <w:sz w:val="24"/>
      <w:szCs w:val="24"/>
      <w:u w:val="none"/>
    </w:rPr>
  </w:style>
  <w:style w:type="character" w:customStyle="1" w:styleId="41">
    <w:name w:val="font251"/>
    <w:basedOn w:val="23"/>
    <w:qFormat/>
    <w:uiPriority w:val="0"/>
    <w:rPr>
      <w:rFonts w:hint="eastAsia" w:ascii="宋体" w:hAnsi="宋体" w:eastAsia="宋体" w:cs="宋体"/>
      <w:color w:val="FF0000"/>
      <w:sz w:val="24"/>
      <w:szCs w:val="24"/>
      <w:u w:val="none"/>
      <w:vertAlign w:val="subscript"/>
    </w:rPr>
  </w:style>
  <w:style w:type="character" w:customStyle="1" w:styleId="42">
    <w:name w:val="font241"/>
    <w:basedOn w:val="23"/>
    <w:qFormat/>
    <w:uiPriority w:val="0"/>
    <w:rPr>
      <w:rFonts w:hint="eastAsia" w:ascii="宋体" w:hAnsi="宋体" w:eastAsia="宋体" w:cs="宋体"/>
      <w:color w:val="00CCFF"/>
      <w:sz w:val="24"/>
      <w:szCs w:val="24"/>
      <w:u w:val="none"/>
    </w:rPr>
  </w:style>
  <w:style w:type="character" w:customStyle="1" w:styleId="43">
    <w:name w:val="font91"/>
    <w:basedOn w:val="23"/>
    <w:qFormat/>
    <w:uiPriority w:val="0"/>
    <w:rPr>
      <w:rFonts w:hint="eastAsia" w:ascii="宋体" w:hAnsi="宋体" w:eastAsia="宋体" w:cs="宋体"/>
      <w:color w:val="FF0000"/>
      <w:sz w:val="24"/>
      <w:szCs w:val="24"/>
      <w:u w:val="none"/>
    </w:rPr>
  </w:style>
  <w:style w:type="character" w:customStyle="1" w:styleId="44">
    <w:name w:val="font181"/>
    <w:basedOn w:val="23"/>
    <w:qFormat/>
    <w:uiPriority w:val="0"/>
    <w:rPr>
      <w:rFonts w:hint="eastAsia" w:ascii="宋体" w:hAnsi="宋体" w:eastAsia="宋体" w:cs="宋体"/>
      <w:color w:val="FF0000"/>
      <w:sz w:val="24"/>
      <w:szCs w:val="24"/>
      <w:u w:val="none"/>
      <w:vertAlign w:val="subscript"/>
    </w:rPr>
  </w:style>
  <w:style w:type="character" w:customStyle="1" w:styleId="45">
    <w:name w:val="font22"/>
    <w:basedOn w:val="23"/>
    <w:qFormat/>
    <w:uiPriority w:val="0"/>
    <w:rPr>
      <w:rFonts w:hint="eastAsia" w:ascii="宋体" w:hAnsi="宋体" w:eastAsia="宋体" w:cs="宋体"/>
      <w:color w:val="000000"/>
      <w:sz w:val="24"/>
      <w:szCs w:val="24"/>
      <w:u w:val="none"/>
    </w:rPr>
  </w:style>
  <w:style w:type="character" w:customStyle="1" w:styleId="46">
    <w:name w:val="font171"/>
    <w:basedOn w:val="23"/>
    <w:qFormat/>
    <w:uiPriority w:val="0"/>
    <w:rPr>
      <w:rFonts w:hint="eastAsia" w:ascii="宋体" w:hAnsi="宋体" w:eastAsia="宋体" w:cs="宋体"/>
      <w:color w:val="00CCFF"/>
      <w:sz w:val="24"/>
      <w:szCs w:val="24"/>
      <w:u w:val="none"/>
    </w:rPr>
  </w:style>
  <w:style w:type="character" w:customStyle="1" w:styleId="47">
    <w:name w:val="font201"/>
    <w:basedOn w:val="23"/>
    <w:qFormat/>
    <w:uiPriority w:val="0"/>
    <w:rPr>
      <w:rFonts w:hint="eastAsia" w:ascii="宋体" w:hAnsi="宋体" w:eastAsia="宋体" w:cs="宋体"/>
      <w:color w:val="333333"/>
      <w:sz w:val="24"/>
      <w:szCs w:val="24"/>
      <w:u w:val="none"/>
    </w:rPr>
  </w:style>
  <w:style w:type="character" w:customStyle="1" w:styleId="48">
    <w:name w:val="font71"/>
    <w:basedOn w:val="23"/>
    <w:qFormat/>
    <w:uiPriority w:val="0"/>
    <w:rPr>
      <w:rFonts w:hint="eastAsia" w:ascii="宋体" w:hAnsi="宋体" w:eastAsia="宋体" w:cs="宋体"/>
      <w:color w:val="008000"/>
      <w:sz w:val="24"/>
      <w:szCs w:val="24"/>
      <w:u w:val="none"/>
    </w:rPr>
  </w:style>
  <w:style w:type="character" w:customStyle="1" w:styleId="49">
    <w:name w:val="font151"/>
    <w:basedOn w:val="23"/>
    <w:qFormat/>
    <w:uiPriority w:val="0"/>
    <w:rPr>
      <w:rFonts w:hint="eastAsia" w:ascii="宋体" w:hAnsi="宋体" w:eastAsia="宋体" w:cs="宋体"/>
      <w:color w:val="FF0000"/>
      <w:sz w:val="24"/>
      <w:szCs w:val="24"/>
      <w:u w:val="none"/>
      <w:vertAlign w:val="superscript"/>
    </w:rPr>
  </w:style>
  <w:style w:type="character" w:customStyle="1" w:styleId="50">
    <w:name w:val="font141"/>
    <w:basedOn w:val="23"/>
    <w:qFormat/>
    <w:uiPriority w:val="0"/>
    <w:rPr>
      <w:rFonts w:hint="eastAsia" w:ascii="宋体" w:hAnsi="宋体" w:eastAsia="宋体" w:cs="宋体"/>
      <w:color w:val="FF0000"/>
      <w:sz w:val="22"/>
      <w:szCs w:val="22"/>
      <w:u w:val="none"/>
    </w:rPr>
  </w:style>
  <w:style w:type="character" w:customStyle="1" w:styleId="51">
    <w:name w:val="font51"/>
    <w:basedOn w:val="23"/>
    <w:qFormat/>
    <w:uiPriority w:val="0"/>
    <w:rPr>
      <w:rFonts w:hint="eastAsia" w:ascii="宋体" w:hAnsi="宋体" w:eastAsia="宋体" w:cs="宋体"/>
      <w:color w:val="FF0000"/>
      <w:sz w:val="22"/>
      <w:szCs w:val="22"/>
      <w:u w:val="none"/>
      <w:vertAlign w:val="subscript"/>
    </w:rPr>
  </w:style>
  <w:style w:type="character" w:customStyle="1" w:styleId="52">
    <w:name w:val="font01"/>
    <w:basedOn w:val="23"/>
    <w:qFormat/>
    <w:uiPriority w:val="0"/>
    <w:rPr>
      <w:rFonts w:hint="eastAsia" w:ascii="宋体" w:hAnsi="宋体" w:eastAsia="宋体" w:cs="宋体"/>
      <w:color w:val="000000"/>
      <w:sz w:val="22"/>
      <w:szCs w:val="22"/>
      <w:u w:val="none"/>
    </w:rPr>
  </w:style>
  <w:style w:type="character" w:customStyle="1" w:styleId="53">
    <w:name w:val="font41"/>
    <w:basedOn w:val="23"/>
    <w:qFormat/>
    <w:uiPriority w:val="0"/>
    <w:rPr>
      <w:rFonts w:hint="eastAsia" w:ascii="宋体" w:hAnsi="宋体" w:eastAsia="宋体" w:cs="宋体"/>
      <w:color w:val="00CCFF"/>
      <w:sz w:val="22"/>
      <w:szCs w:val="22"/>
      <w:u w:val="none"/>
    </w:rPr>
  </w:style>
  <w:style w:type="paragraph" w:customStyle="1" w:styleId="54">
    <w:name w:val="text"/>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character" w:customStyle="1" w:styleId="55">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2023-08-24T01:38:00Z</dcterms:created>
  <dc:creator>Administrator</dc:creator>
  <cp:lastModifiedBy>Administrator</cp:lastModifiedBy>
  <cp:lastPrinted>2025-01-15T06:05:00Z</cp:lastPrinted>
  <dcterms:modified xsi:type="dcterms:W3CDTF">2025-03-20T00:17:19Z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71BCD18DA6C249DC94F8CC981C336095_12</vt:lpwstr>
  </property>
</Properties>
</file>